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t>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00"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ind w:left="60"/>
        <w:spacing w:after="0"/>
        <w:rPr>
          <w:sz w:val="20"/>
          <w:szCs w:val="20"/>
          <w:color w:val="auto"/>
        </w:rPr>
      </w:pPr>
      <w:r>
        <w:rPr>
          <w:rFonts w:ascii="Arial" w:cs="Arial" w:eastAsia="Arial" w:hAnsi="Arial"/>
          <w:sz w:val="18"/>
          <w:szCs w:val="18"/>
          <w:b w:val="1"/>
          <w:bCs w:val="1"/>
          <w:color w:val="auto"/>
        </w:rPr>
        <w:t>(Mark One)</w:t>
      </w:r>
    </w:p>
    <w:p>
      <w:pPr>
        <w:spacing w:after="0" w:line="115" w:lineRule="exact"/>
        <w:rPr>
          <w:sz w:val="24"/>
          <w:szCs w:val="24"/>
          <w:color w:val="auto"/>
        </w:rPr>
      </w:pPr>
    </w:p>
    <w:p>
      <w:pPr>
        <w:ind w:left="620" w:hanging="288"/>
        <w:spacing w:after="0"/>
        <w:tabs>
          <w:tab w:leader="none" w:pos="62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w:t>
      </w:r>
    </w:p>
    <w:p>
      <w:pPr>
        <w:spacing w:after="0" w:line="52" w:lineRule="exact"/>
        <w:rPr>
          <w:rFonts w:ascii="MS PGothic" w:cs="MS PGothic" w:eastAsia="MS PGothic" w:hAnsi="MS PGothic"/>
          <w:sz w:val="21"/>
          <w:szCs w:val="21"/>
          <w:color w:val="auto"/>
        </w:rPr>
      </w:pPr>
    </w:p>
    <w:p>
      <w:pPr>
        <w:spacing w:after="0"/>
        <w:rPr>
          <w:rFonts w:ascii="MS PGothic" w:cs="MS PGothic" w:eastAsia="MS PGothic" w:hAnsi="MS PGothic"/>
          <w:sz w:val="21"/>
          <w:szCs w:val="21"/>
          <w:color w:val="auto"/>
        </w:rPr>
      </w:pPr>
      <w:r>
        <w:rPr>
          <w:rFonts w:ascii="Arial" w:cs="Arial" w:eastAsia="Arial" w:hAnsi="Arial"/>
          <w:sz w:val="22"/>
          <w:szCs w:val="22"/>
          <w:b w:val="1"/>
          <w:bCs w:val="1"/>
          <w:color w:val="auto"/>
        </w:rPr>
        <w:t>1934</w:t>
      </w:r>
    </w:p>
    <w:p>
      <w:pPr>
        <w:spacing w:after="0" w:line="12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September 30, 2019</w:t>
      </w:r>
    </w:p>
    <w:p>
      <w:pPr>
        <w:spacing w:after="0" w:line="14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35" w:lineRule="exact"/>
        <w:rPr>
          <w:sz w:val="24"/>
          <w:szCs w:val="24"/>
          <w:color w:val="auto"/>
        </w:rPr>
      </w:pPr>
    </w:p>
    <w:p>
      <w:pPr>
        <w:ind w:left="680" w:hanging="348"/>
        <w:spacing w:after="0"/>
        <w:tabs>
          <w:tab w:leader="none" w:pos="68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w:t>
      </w:r>
    </w:p>
    <w:p>
      <w:pPr>
        <w:spacing w:after="0" w:line="34"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1934</w:t>
      </w:r>
    </w:p>
    <w:p>
      <w:pPr>
        <w:jc w:val="center"/>
        <w:ind w:right="-39"/>
        <w:spacing w:after="0" w:line="195" w:lineRule="auto"/>
        <w:rPr>
          <w:sz w:val="20"/>
          <w:szCs w:val="20"/>
          <w:color w:val="auto"/>
        </w:rPr>
      </w:pPr>
      <w:r>
        <w:rPr>
          <w:rFonts w:ascii="Arial" w:cs="Arial" w:eastAsia="Arial" w:hAnsi="Arial"/>
          <w:sz w:val="18"/>
          <w:szCs w:val="18"/>
          <w:b w:val="1"/>
          <w:bCs w:val="1"/>
          <w:color w:val="auto"/>
        </w:rPr>
        <w:t>Commission file number 001-35280</w:t>
      </w:r>
    </w:p>
    <w:p>
      <w:pPr>
        <w:jc w:val="center"/>
        <w:ind w:right="-39"/>
        <w:spacing w:after="0" w:line="216" w:lineRule="auto"/>
        <w:rPr>
          <w:sz w:val="20"/>
          <w:szCs w:val="20"/>
          <w:color w:val="auto"/>
        </w:rPr>
      </w:pPr>
      <w:r>
        <w:rPr>
          <w:rFonts w:ascii="Arial" w:cs="Arial" w:eastAsia="Arial" w:hAnsi="Arial"/>
          <w:sz w:val="32"/>
          <w:szCs w:val="32"/>
          <w:b w:val="1"/>
          <w:bCs w:val="1"/>
          <w:color w:val="auto"/>
        </w:rPr>
        <w:t>VERICEL CORPORATION</w:t>
      </w: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543" w:right="259" w:bottom="1440" w:gutter="0" w:footer="0" w:header="0"/>
        </w:sectPr>
      </w:pPr>
    </w:p>
    <w:p>
      <w:pPr>
        <w:spacing w:after="0" w:line="300" w:lineRule="exact"/>
        <w:rPr>
          <w:sz w:val="24"/>
          <w:szCs w:val="24"/>
          <w:color w:val="auto"/>
        </w:rPr>
      </w:pPr>
    </w:p>
    <w:p>
      <w:pPr>
        <w:ind w:left="3080"/>
        <w:spacing w:after="0"/>
        <w:rPr>
          <w:sz w:val="20"/>
          <w:szCs w:val="20"/>
          <w:color w:val="auto"/>
        </w:rPr>
      </w:pPr>
      <w:r>
        <w:rPr>
          <w:rFonts w:ascii="Arial" w:cs="Arial" w:eastAsia="Arial" w:hAnsi="Arial"/>
          <w:sz w:val="17"/>
          <w:szCs w:val="17"/>
          <w:b w:val="1"/>
          <w:bCs w:val="1"/>
          <w:color w:val="auto"/>
        </w:rPr>
        <w:t>Michigan</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jc w:val="center"/>
        <w:ind w:right="3280"/>
        <w:spacing w:after="0"/>
        <w:rPr>
          <w:sz w:val="20"/>
          <w:szCs w:val="20"/>
          <w:color w:val="auto"/>
        </w:rPr>
      </w:pPr>
      <w:r>
        <w:rPr>
          <w:rFonts w:ascii="Arial" w:cs="Arial" w:eastAsia="Arial" w:hAnsi="Arial"/>
          <w:sz w:val="16"/>
          <w:szCs w:val="16"/>
          <w:b w:val="1"/>
          <w:bCs w:val="1"/>
          <w:color w:val="auto"/>
        </w:rPr>
        <w:t>94-3096597</w:t>
      </w:r>
    </w:p>
    <w:p>
      <w:pPr>
        <w:spacing w:after="0" w:line="90" w:lineRule="exact"/>
        <w:rPr>
          <w:sz w:val="24"/>
          <w:szCs w:val="24"/>
          <w:color w:val="auto"/>
        </w:rPr>
      </w:pPr>
    </w:p>
    <w:p>
      <w:pPr>
        <w:sectPr>
          <w:pgSz w:w="11900" w:h="16838" w:orient="portrait"/>
          <w:cols w:equalWidth="0" w:num="2">
            <w:col w:w="6520" w:space="720"/>
            <w:col w:w="4160"/>
          </w:cols>
          <w:pgMar w:left="240" w:top="543" w:right="259" w:bottom="1440" w:gutter="0" w:footer="0" w:header="0"/>
          <w:type w:val="continuous"/>
        </w:sectPr>
      </w:pPr>
    </w:p>
    <w:p>
      <w:pPr>
        <w:jc w:val="center"/>
        <w:ind w:left="5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w:t>
      </w:r>
    </w:p>
    <w:p>
      <w:pPr>
        <w:spacing w:after="0" w:line="86" w:lineRule="exact"/>
        <w:rPr>
          <w:sz w:val="24"/>
          <w:szCs w:val="24"/>
          <w:color w:val="auto"/>
        </w:rPr>
      </w:pPr>
    </w:p>
    <w:p>
      <w:pPr>
        <w:sectPr>
          <w:pgSz w:w="11900" w:h="16838" w:orient="portrait"/>
          <w:cols w:equalWidth="0" w:num="2">
            <w:col w:w="6360" w:space="720"/>
            <w:col w:w="4320"/>
          </w:cols>
          <w:pgMar w:left="240" w:top="543" w:right="259" w:bottom="1440" w:gutter="0" w:footer="0" w:header="0"/>
          <w:type w:val="continuous"/>
        </w:sectPr>
      </w:pPr>
    </w:p>
    <w:p>
      <w:pPr>
        <w:jc w:val="center"/>
        <w:ind w:left="58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identification no.)</w:t>
      </w:r>
    </w:p>
    <w:p>
      <w:pPr>
        <w:spacing w:after="0" w:line="82" w:lineRule="exact"/>
        <w:rPr>
          <w:sz w:val="24"/>
          <w:szCs w:val="24"/>
          <w:color w:val="auto"/>
        </w:rPr>
      </w:pPr>
    </w:p>
    <w:p>
      <w:pPr>
        <w:sectPr>
          <w:pgSz w:w="11900" w:h="16838" w:orient="portrait"/>
          <w:cols w:equalWidth="0" w:num="2">
            <w:col w:w="6320" w:space="720"/>
            <w:col w:w="4360"/>
          </w:cols>
          <w:pgMar w:left="240" w:top="543" w:right="259" w:bottom="1440" w:gutter="0" w:footer="0" w:header="0"/>
          <w:type w:val="continuous"/>
        </w:sectPr>
      </w:pPr>
    </w:p>
    <w:p>
      <w:pPr>
        <w:ind w:left="4800"/>
        <w:spacing w:after="0"/>
        <w:rPr>
          <w:sz w:val="20"/>
          <w:szCs w:val="20"/>
          <w:color w:val="auto"/>
        </w:rPr>
      </w:pPr>
      <w:r>
        <w:rPr>
          <w:rFonts w:ascii="Arial" w:cs="Arial" w:eastAsia="Arial" w:hAnsi="Arial"/>
          <w:sz w:val="15"/>
          <w:szCs w:val="15"/>
          <w:b w:val="1"/>
          <w:bCs w:val="1"/>
          <w:color w:val="auto"/>
        </w:rPr>
        <w:t>64 Sidney Street</w:t>
      </w:r>
    </w:p>
    <w:p>
      <w:pPr>
        <w:sectPr>
          <w:pgSz w:w="11900" w:h="16838" w:orient="portrait"/>
          <w:cols w:equalWidth="0" w:num="1">
            <w:col w:w="11400"/>
          </w:cols>
          <w:pgMar w:left="240" w:top="543" w:right="259" w:bottom="1440" w:gutter="0" w:footer="0" w:header="0"/>
          <w:type w:val="continuous"/>
        </w:sectPr>
      </w:pPr>
    </w:p>
    <w:p>
      <w:pPr>
        <w:spacing w:after="0" w:line="98" w:lineRule="exact"/>
        <w:rPr>
          <w:sz w:val="24"/>
          <w:szCs w:val="24"/>
          <w:color w:val="auto"/>
        </w:rPr>
      </w:pPr>
    </w:p>
    <w:p>
      <w:pPr>
        <w:ind w:left="3020"/>
        <w:spacing w:after="0"/>
        <w:rPr>
          <w:sz w:val="20"/>
          <w:szCs w:val="20"/>
          <w:color w:val="auto"/>
        </w:rPr>
      </w:pPr>
      <w:r>
        <w:rPr>
          <w:rFonts w:ascii="Arial" w:cs="Arial" w:eastAsia="Arial" w:hAnsi="Arial"/>
          <w:sz w:val="16"/>
          <w:szCs w:val="16"/>
          <w:b w:val="1"/>
          <w:bCs w:val="1"/>
          <w:color w:val="auto"/>
        </w:rPr>
        <w:t>Cambridge</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02139</w:t>
      </w:r>
    </w:p>
    <w:p>
      <w:pPr>
        <w:spacing w:after="0" w:line="101" w:lineRule="exact"/>
        <w:rPr>
          <w:sz w:val="24"/>
          <w:szCs w:val="24"/>
          <w:color w:val="auto"/>
        </w:rPr>
      </w:pPr>
    </w:p>
    <w:p>
      <w:pPr>
        <w:sectPr>
          <w:pgSz w:w="11900" w:h="16838" w:orient="portrait"/>
          <w:cols w:equalWidth="0" w:num="3">
            <w:col w:w="4600" w:space="720"/>
            <w:col w:w="1300" w:space="720"/>
            <w:col w:w="4060"/>
          </w:cols>
          <w:pgMar w:left="240" w:top="543" w:right="259" w:bottom="1440" w:gutter="0" w:footer="0" w:header="0"/>
          <w:type w:val="continuous"/>
        </w:sectPr>
      </w:pPr>
    </w:p>
    <w:p>
      <w:pPr>
        <w:jc w:val="center"/>
        <w:ind w:right="340"/>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94"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(800) 556-0311</w:t>
      </w:r>
    </w:p>
    <w:p>
      <w:pPr>
        <w:spacing w:after="0" w:line="148" w:lineRule="exact"/>
        <w:rPr>
          <w:sz w:val="24"/>
          <w:szCs w:val="24"/>
          <w:color w:val="auto"/>
        </w:rPr>
      </w:pPr>
    </w:p>
    <w:p>
      <w:pPr>
        <w:ind w:left="276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0" w:lineRule="exact"/>
        <w:rPr>
          <w:sz w:val="24"/>
          <w:szCs w:val="24"/>
          <w:color w:val="auto"/>
        </w:rPr>
      </w:pPr>
    </w:p>
    <w:tbl>
      <w:tblPr>
        <w:tblLayout w:type="fixed"/>
        <w:tblInd w:w="20" w:type="dxa"/>
        <w:tblCellMar>
          <w:top w:w="0" w:type="dxa"/>
          <w:left w:w="0" w:type="dxa"/>
          <w:bottom w:w="0" w:type="dxa"/>
          <w:right w:w="0" w:type="dxa"/>
        </w:tblCellMar>
      </w:tblPr>
      <w:tr>
        <w:trPr>
          <w:trHeight w:val="206"/>
        </w:trPr>
        <w:tc>
          <w:tcPr>
            <w:tcW w:w="376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Title of each class</w:t>
            </w:r>
          </w:p>
        </w:tc>
        <w:tc>
          <w:tcPr>
            <w:tcW w:w="388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Trading Symbol(s)</w:t>
            </w:r>
          </w:p>
        </w:tc>
        <w:tc>
          <w:tcPr>
            <w:tcW w:w="3740" w:type="dxa"/>
            <w:vAlign w:val="bottom"/>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33"/>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217"/>
        </w:trPr>
        <w:tc>
          <w:tcPr>
            <w:tcW w:w="376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Common Stock, no par value</w:t>
            </w:r>
          </w:p>
        </w:tc>
        <w:tc>
          <w:tcPr>
            <w:tcW w:w="3880" w:type="dxa"/>
            <w:vAlign w:val="bottom"/>
            <w:gridSpan w:val="2"/>
          </w:tcPr>
          <w:p>
            <w:pPr>
              <w:jc w:val="center"/>
              <w:ind w:right="100"/>
              <w:spacing w:after="0"/>
              <w:rPr>
                <w:sz w:val="20"/>
                <w:szCs w:val="20"/>
                <w:color w:val="auto"/>
              </w:rPr>
            </w:pPr>
            <w:r>
              <w:rPr>
                <w:rFonts w:ascii="Arial" w:cs="Arial" w:eastAsia="Arial" w:hAnsi="Arial"/>
                <w:sz w:val="16"/>
                <w:szCs w:val="16"/>
                <w:color w:val="auto"/>
              </w:rPr>
              <w:t>VCEL</w:t>
            </w:r>
          </w:p>
        </w:tc>
        <w:tc>
          <w:tcPr>
            <w:tcW w:w="3740" w:type="dxa"/>
            <w:vAlign w:val="bottom"/>
          </w:tcPr>
          <w:p>
            <w:pPr>
              <w:jc w:val="center"/>
              <w:spacing w:after="0"/>
              <w:rPr>
                <w:sz w:val="20"/>
                <w:szCs w:val="20"/>
                <w:color w:val="auto"/>
              </w:rPr>
            </w:pPr>
            <w:r>
              <w:rPr>
                <w:rFonts w:ascii="Arial" w:cs="Arial" w:eastAsia="Arial" w:hAnsi="Arial"/>
                <w:sz w:val="16"/>
                <w:szCs w:val="16"/>
                <w:color w:val="auto"/>
                <w:w w:val="97"/>
              </w:rPr>
              <w:t>NASDAQ</w:t>
            </w:r>
          </w:p>
        </w:tc>
      </w:tr>
    </w:tbl>
    <w:p>
      <w:pPr>
        <w:spacing w:after="0" w:line="302" w:lineRule="exact"/>
        <w:rPr>
          <w:sz w:val="24"/>
          <w:szCs w:val="24"/>
          <w:color w:val="auto"/>
        </w:rPr>
      </w:pPr>
    </w:p>
    <w:p>
      <w:pPr>
        <w:ind w:right="120" w:firstLine="324"/>
        <w:spacing w:after="0" w:line="22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x No - o</w:t>
      </w:r>
    </w:p>
    <w:p>
      <w:pPr>
        <w:spacing w:after="0" w:line="123" w:lineRule="exact"/>
        <w:rPr>
          <w:sz w:val="24"/>
          <w:szCs w:val="24"/>
          <w:color w:val="auto"/>
        </w:rPr>
      </w:pPr>
    </w:p>
    <w:p>
      <w:pPr>
        <w:ind w:right="280" w:firstLine="243"/>
        <w:spacing w:after="0" w:line="289"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 x No - o</w:t>
      </w:r>
    </w:p>
    <w:p>
      <w:pPr>
        <w:spacing w:after="0" w:line="84" w:lineRule="exact"/>
        <w:rPr>
          <w:sz w:val="24"/>
          <w:szCs w:val="24"/>
          <w:color w:val="auto"/>
        </w:rPr>
      </w:pPr>
    </w:p>
    <w:p>
      <w:pPr>
        <w:ind w:right="20" w:firstLine="243"/>
        <w:spacing w:after="0" w:line="22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7" w:lineRule="exact"/>
        <w:rPr>
          <w:sz w:val="24"/>
          <w:szCs w:val="24"/>
          <w:color w:val="auto"/>
        </w:rPr>
      </w:pPr>
    </w:p>
    <w:tbl>
      <w:tblPr>
        <w:tblLayout w:type="fixed"/>
        <w:tblInd w:w="2760" w:type="dxa"/>
        <w:tblCellMar>
          <w:top w:w="0" w:type="dxa"/>
          <w:left w:w="0" w:type="dxa"/>
          <w:bottom w:w="0" w:type="dxa"/>
          <w:right w:w="0" w:type="dxa"/>
        </w:tblCellMar>
      </w:tblPr>
      <w:tr>
        <w:trPr>
          <w:trHeight w:val="254"/>
        </w:trPr>
        <w:tc>
          <w:tcPr>
            <w:tcW w:w="1980" w:type="dxa"/>
            <w:vAlign w:val="bottom"/>
          </w:tcPr>
          <w:p>
            <w:pPr>
              <w:jc w:val="center"/>
              <w:ind w:right="459"/>
              <w:spacing w:after="0"/>
              <w:rPr>
                <w:sz w:val="20"/>
                <w:szCs w:val="20"/>
                <w:color w:val="auto"/>
              </w:rPr>
            </w:pPr>
            <w:r>
              <w:rPr>
                <w:rFonts w:ascii="Arial" w:cs="Arial" w:eastAsia="Arial" w:hAnsi="Arial"/>
                <w:sz w:val="16"/>
                <w:szCs w:val="16"/>
                <w:color w:val="auto"/>
                <w:w w:val="90"/>
              </w:rPr>
              <w:t>Large accelerated filer</w:t>
            </w:r>
          </w:p>
        </w:tc>
        <w:tc>
          <w:tcPr>
            <w:tcW w:w="122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2900" w:type="dxa"/>
            <w:vAlign w:val="bottom"/>
          </w:tcPr>
          <w:p>
            <w:pPr>
              <w:jc w:val="center"/>
              <w:spacing w:after="0"/>
              <w:rPr>
                <w:sz w:val="20"/>
                <w:szCs w:val="20"/>
                <w:color w:val="auto"/>
              </w:rPr>
            </w:pPr>
            <w:r>
              <w:rPr>
                <w:rFonts w:ascii="Arial" w:cs="Arial" w:eastAsia="Arial" w:hAnsi="Arial"/>
                <w:sz w:val="16"/>
                <w:szCs w:val="16"/>
                <w:color w:val="auto"/>
                <w:w w:val="95"/>
              </w:rPr>
              <w:t>Accelerated filer</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7"/>
        </w:trPr>
        <w:tc>
          <w:tcPr>
            <w:tcW w:w="1980" w:type="dxa"/>
            <w:vAlign w:val="bottom"/>
          </w:tcPr>
          <w:p>
            <w:pPr>
              <w:jc w:val="center"/>
              <w:ind w:right="459"/>
              <w:spacing w:after="0"/>
              <w:rPr>
                <w:sz w:val="20"/>
                <w:szCs w:val="20"/>
                <w:color w:val="auto"/>
              </w:rPr>
            </w:pPr>
            <w:r>
              <w:rPr>
                <w:rFonts w:ascii="Arial" w:cs="Arial" w:eastAsia="Arial" w:hAnsi="Arial"/>
                <w:sz w:val="16"/>
                <w:szCs w:val="16"/>
                <w:color w:val="auto"/>
                <w:w w:val="92"/>
              </w:rPr>
              <w:t>Non-accelerated filer</w:t>
            </w:r>
          </w:p>
        </w:tc>
        <w:tc>
          <w:tcPr>
            <w:tcW w:w="122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2900" w:type="dxa"/>
            <w:vAlign w:val="bottom"/>
          </w:tcPr>
          <w:p>
            <w:pPr>
              <w:jc w:val="center"/>
              <w:spacing w:after="0"/>
              <w:rPr>
                <w:sz w:val="20"/>
                <w:szCs w:val="20"/>
                <w:color w:val="auto"/>
              </w:rPr>
            </w:pPr>
            <w:r>
              <w:rPr>
                <w:rFonts w:ascii="Arial" w:cs="Arial" w:eastAsia="Arial" w:hAnsi="Arial"/>
                <w:sz w:val="16"/>
                <w:szCs w:val="16"/>
                <w:color w:val="auto"/>
                <w:w w:val="93"/>
              </w:rPr>
              <w:t>Smaller reporting company</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9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900" w:type="dxa"/>
            <w:vAlign w:val="bottom"/>
          </w:tcPr>
          <w:p>
            <w:pPr>
              <w:jc w:val="center"/>
              <w:spacing w:after="0"/>
              <w:rPr>
                <w:sz w:val="20"/>
                <w:szCs w:val="20"/>
                <w:color w:val="auto"/>
              </w:rPr>
            </w:pPr>
            <w:r>
              <w:rPr>
                <w:rFonts w:ascii="Arial" w:cs="Arial" w:eastAsia="Arial" w:hAnsi="Arial"/>
                <w:sz w:val="16"/>
                <w:szCs w:val="16"/>
                <w:color w:val="auto"/>
                <w:w w:val="93"/>
              </w:rPr>
              <w:t>Emerging growth company</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17" w:lineRule="exact"/>
        <w:rPr>
          <w:sz w:val="24"/>
          <w:szCs w:val="24"/>
          <w:color w:val="auto"/>
        </w:rPr>
      </w:pPr>
    </w:p>
    <w:p>
      <w:pPr>
        <w:ind w:right="80" w:firstLine="243"/>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38" w:lineRule="exact"/>
        <w:rPr>
          <w:sz w:val="24"/>
          <w:szCs w:val="24"/>
          <w:color w:val="auto"/>
        </w:rPr>
      </w:pPr>
    </w:p>
    <w:p>
      <w:pPr>
        <w:ind w:left="2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 </w:t>
      </w:r>
      <w:r>
        <w:rPr>
          <w:rFonts w:ascii="MS PGothic" w:cs="MS PGothic" w:eastAsia="MS PGothic" w:hAnsi="MS PGothic"/>
          <w:sz w:val="18"/>
          <w:szCs w:val="18"/>
          <w:color w:val="auto"/>
        </w:rPr>
        <w:t>☐</w:t>
      </w:r>
      <w:r>
        <w:rPr>
          <w:rFonts w:ascii="Arial" w:cs="Arial" w:eastAsia="Arial" w:hAnsi="Arial"/>
          <w:sz w:val="18"/>
          <w:szCs w:val="18"/>
          <w:color w:val="auto"/>
        </w:rPr>
        <w:t xml:space="preserve"> No - x</w:t>
      </w:r>
    </w:p>
    <w:p>
      <w:pPr>
        <w:spacing w:after="0" w:line="258" w:lineRule="exact"/>
        <w:rPr>
          <w:sz w:val="24"/>
          <w:szCs w:val="24"/>
          <w:color w:val="auto"/>
        </w:rPr>
      </w:pPr>
    </w:p>
    <w:p>
      <w:pPr>
        <w:ind w:left="2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383" w:lineRule="exact"/>
        <w:rPr>
          <w:sz w:val="24"/>
          <w:szCs w:val="24"/>
          <w:color w:val="auto"/>
        </w:rPr>
      </w:pPr>
    </w:p>
    <w:tbl>
      <w:tblPr>
        <w:tblLayout w:type="fixed"/>
        <w:tblInd w:w="160" w:type="dxa"/>
        <w:tblCellMar>
          <w:top w:w="0" w:type="dxa"/>
          <w:left w:w="0" w:type="dxa"/>
          <w:bottom w:w="0" w:type="dxa"/>
          <w:right w:w="0" w:type="dxa"/>
        </w:tblCellMar>
      </w:tblPr>
      <w:tr>
        <w:trPr>
          <w:trHeight w:val="234"/>
        </w:trPr>
        <w:tc>
          <w:tcPr>
            <w:tcW w:w="5540" w:type="dxa"/>
            <w:vAlign w:val="bottom"/>
          </w:tcPr>
          <w:p>
            <w:pPr>
              <w:jc w:val="center"/>
              <w:ind w:right="450"/>
              <w:spacing w:after="0"/>
              <w:rPr>
                <w:sz w:val="20"/>
                <w:szCs w:val="20"/>
                <w:color w:val="auto"/>
              </w:rPr>
            </w:pPr>
            <w:r>
              <w:rPr>
                <w:rFonts w:ascii="Arial" w:cs="Arial" w:eastAsia="Arial" w:hAnsi="Arial"/>
                <w:sz w:val="18"/>
                <w:szCs w:val="18"/>
                <w:b w:val="1"/>
                <w:bCs w:val="1"/>
                <w:color w:val="auto"/>
                <w:w w:val="99"/>
              </w:rPr>
              <w:t>COMMON STOCK, NO PAR VALUE</w:t>
            </w:r>
          </w:p>
        </w:tc>
        <w:tc>
          <w:tcPr>
            <w:tcW w:w="5580" w:type="dxa"/>
            <w:vAlign w:val="bottom"/>
          </w:tcPr>
          <w:p>
            <w:pPr>
              <w:jc w:val="right"/>
              <w:ind w:right="2350"/>
              <w:spacing w:after="0"/>
              <w:rPr>
                <w:sz w:val="20"/>
                <w:szCs w:val="20"/>
                <w:color w:val="auto"/>
              </w:rPr>
            </w:pPr>
            <w:r>
              <w:rPr>
                <w:rFonts w:ascii="Arial" w:cs="Arial" w:eastAsia="Arial" w:hAnsi="Arial"/>
                <w:sz w:val="18"/>
                <w:szCs w:val="18"/>
                <w:color w:val="auto"/>
              </w:rPr>
              <w:t>44,694,512</w:t>
            </w:r>
          </w:p>
        </w:tc>
      </w:tr>
      <w:tr>
        <w:trPr>
          <w:trHeight w:val="270"/>
        </w:trPr>
        <w:tc>
          <w:tcPr>
            <w:tcW w:w="5540" w:type="dxa"/>
            <w:vAlign w:val="bottom"/>
          </w:tcPr>
          <w:p>
            <w:pPr>
              <w:jc w:val="center"/>
              <w:ind w:right="450"/>
              <w:spacing w:after="0"/>
              <w:rPr>
                <w:sz w:val="20"/>
                <w:szCs w:val="20"/>
                <w:color w:val="auto"/>
              </w:rPr>
            </w:pPr>
            <w:r>
              <w:rPr>
                <w:rFonts w:ascii="Arial" w:cs="Arial" w:eastAsia="Arial" w:hAnsi="Arial"/>
                <w:sz w:val="18"/>
                <w:szCs w:val="18"/>
                <w:color w:val="auto"/>
                <w:w w:val="91"/>
              </w:rPr>
              <w:t>(Class)</w:t>
            </w:r>
          </w:p>
        </w:tc>
        <w:tc>
          <w:tcPr>
            <w:tcW w:w="5580" w:type="dxa"/>
            <w:vAlign w:val="bottom"/>
          </w:tcPr>
          <w:p>
            <w:pPr>
              <w:jc w:val="center"/>
              <w:ind w:right="10"/>
              <w:spacing w:after="0"/>
              <w:rPr>
                <w:sz w:val="20"/>
                <w:szCs w:val="20"/>
                <w:color w:val="auto"/>
              </w:rPr>
            </w:pPr>
            <w:r>
              <w:rPr>
                <w:rFonts w:ascii="Arial" w:cs="Arial" w:eastAsia="Arial" w:hAnsi="Arial"/>
                <w:sz w:val="18"/>
                <w:szCs w:val="18"/>
                <w:color w:val="auto"/>
                <w:w w:val="90"/>
              </w:rPr>
              <w:t>Outstanding at October 31, 2019</w:t>
            </w:r>
          </w:p>
        </w:tc>
      </w:tr>
      <w:tr>
        <w:trPr>
          <w:trHeight w:val="156"/>
        </w:trPr>
        <w:tc>
          <w:tcPr>
            <w:tcW w:w="5540" w:type="dxa"/>
            <w:vAlign w:val="bottom"/>
            <w:tcBorders>
              <w:bottom w:val="single" w:sz="8" w:color="auto"/>
            </w:tcBorders>
          </w:tcPr>
          <w:p>
            <w:pPr>
              <w:spacing w:after="0"/>
              <w:rPr>
                <w:sz w:val="13"/>
                <w:szCs w:val="13"/>
                <w:color w:val="auto"/>
              </w:rPr>
            </w:pPr>
          </w:p>
        </w:tc>
        <w:tc>
          <w:tcPr>
            <w:tcW w:w="5580" w:type="dxa"/>
            <w:vAlign w:val="bottom"/>
            <w:tcBorders>
              <w:bottom w:val="single" w:sz="8" w:color="auto"/>
            </w:tcBorders>
          </w:tcPr>
          <w:p>
            <w:pPr>
              <w:spacing w:after="0"/>
              <w:rPr>
                <w:sz w:val="13"/>
                <w:szCs w:val="13"/>
                <w:color w:val="auto"/>
              </w:rPr>
            </w:pPr>
          </w:p>
        </w:tc>
      </w:tr>
      <w:tr>
        <w:trPr>
          <w:trHeight w:val="169"/>
        </w:trPr>
        <w:tc>
          <w:tcPr>
            <w:tcW w:w="5540" w:type="dxa"/>
            <w:vAlign w:val="bottom"/>
            <w:tcBorders>
              <w:bottom w:val="single" w:sz="8" w:color="auto"/>
            </w:tcBorders>
          </w:tcPr>
          <w:p>
            <w:pPr>
              <w:spacing w:after="0"/>
              <w:rPr>
                <w:sz w:val="14"/>
                <w:szCs w:val="14"/>
                <w:color w:val="auto"/>
              </w:rPr>
            </w:pPr>
          </w:p>
        </w:tc>
        <w:tc>
          <w:tcPr>
            <w:tcW w:w="5580" w:type="dxa"/>
            <w:vAlign w:val="bottom"/>
            <w:tcBorders>
              <w:bottom w:val="single" w:sz="8" w:color="auto"/>
            </w:tcBorders>
          </w:tcPr>
          <w:p>
            <w:pPr>
              <w:spacing w:after="0"/>
              <w:rPr>
                <w:sz w:val="14"/>
                <w:szCs w:val="14"/>
                <w:color w:val="auto"/>
              </w:rPr>
            </w:pPr>
          </w:p>
        </w:tc>
      </w:tr>
    </w:tbl>
    <w:p>
      <w:pPr>
        <w:sectPr>
          <w:pgSz w:w="11900" w:h="16838" w:orient="portrait"/>
          <w:cols w:equalWidth="0" w:num="1">
            <w:col w:w="11400"/>
          </w:cols>
          <w:pgMar w:left="240" w:top="543" w:right="25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180" w:type="dxa"/>
            <w:vAlign w:val="bottom"/>
            <w:gridSpan w:val="20"/>
          </w:tcPr>
          <w:p>
            <w:pPr>
              <w:spacing w:after="0"/>
              <w:rPr>
                <w:sz w:val="20"/>
                <w:szCs w:val="20"/>
                <w:color w:val="auto"/>
              </w:rPr>
            </w:pPr>
            <w:r>
              <w:rPr>
                <w:rFonts w:ascii="Arial" w:cs="Arial" w:eastAsia="Arial" w:hAnsi="Arial"/>
                <w:sz w:val="18"/>
                <w:szCs w:val="18"/>
                <w:b w:val="1"/>
                <w:bCs w:val="1"/>
                <w:color w:val="auto"/>
              </w:rPr>
              <w:t>PART I — FINANCIAL INFORMATION</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00"/>
        </w:trPr>
        <w:tc>
          <w:tcPr>
            <w:tcW w:w="9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020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180" w:type="dxa"/>
            <w:vAlign w:val="bottom"/>
            <w:gridSpan w:val="2"/>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6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520" w:type="dxa"/>
            <w:vAlign w:val="bottom"/>
            <w:tcBorders>
              <w:bottom w:val="single" w:sz="8" w:color="0000EE"/>
            </w:tcBorders>
            <w:gridSpan w:val="13"/>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 as of September 30, 2019 and December 31, 2018</w:t>
              </w:r>
            </w:hyperlink>
          </w:p>
        </w:tc>
        <w:tc>
          <w:tcPr>
            <w:tcW w:w="3680" w:type="dxa"/>
            <w:vAlign w:val="bottom"/>
            <w:gridSpan w:val="5"/>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r>
      <w:tr>
        <w:trPr>
          <w:trHeight w:val="520"/>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for the three and nine months ended September 30, 2019 and 2018</w:t>
              </w:r>
            </w:hyperlink>
          </w:p>
        </w:tc>
        <w:tc>
          <w:tcPr>
            <w:tcW w:w="180" w:type="dxa"/>
            <w:vAlign w:val="bottom"/>
            <w:gridSpan w:val="2"/>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0"/>
        </w:trPr>
        <w:tc>
          <w:tcPr>
            <w:tcW w:w="6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47"/>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16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Comprehensive Loss for the three and nine months ended September 30, 2019 and 2018</w:t>
              </w:r>
            </w:hyperlink>
          </w:p>
        </w:tc>
        <w:tc>
          <w:tcPr>
            <w:tcW w:w="104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r>
      <w:tr>
        <w:trPr>
          <w:trHeight w:val="547"/>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78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Consolidated Statements of Shareholders Equity (Deficit) from December 31, 2017 to September 30, 2018 and from December 31, 2018</w:t>
              </w:r>
            </w:hyperlink>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0" w:type="dxa"/>
            <w:vAlign w:val="bottom"/>
            <w:gridSpan w:val="18"/>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to September 30, 2019</w:t>
              </w:r>
            </w:hyperlink>
          </w:p>
        </w:tc>
        <w:tc>
          <w:tcPr>
            <w:tcW w:w="180" w:type="dxa"/>
            <w:vAlign w:val="bottom"/>
            <w:gridSpan w:val="2"/>
          </w:tcPr>
          <w:p>
            <w:pPr>
              <w:jc w:val="right"/>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20"/>
        </w:trPr>
        <w:tc>
          <w:tcPr>
            <w:tcW w:w="6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47"/>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78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Condensed Consolidated Statements of Cash Flows for the nine months ended September 30, 2019 and 2018</w:t>
              </w:r>
            </w:hyperlink>
          </w:p>
        </w:tc>
        <w:tc>
          <w:tcPr>
            <w:tcW w:w="2420" w:type="dxa"/>
            <w:vAlign w:val="bottom"/>
            <w:gridSpan w:val="4"/>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8</w:t>
              </w:r>
            </w:hyperlink>
          </w:p>
        </w:tc>
      </w:tr>
      <w:tr>
        <w:trPr>
          <w:trHeight w:val="520"/>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0" w:type="dxa"/>
            <w:vAlign w:val="bottom"/>
            <w:gridSpan w:val="18"/>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w:t>
              </w:r>
            </w:hyperlink>
          </w:p>
        </w:tc>
        <w:tc>
          <w:tcPr>
            <w:tcW w:w="180" w:type="dxa"/>
            <w:vAlign w:val="bottom"/>
            <w:gridSpan w:val="2"/>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9</w:t>
              </w:r>
            </w:hyperlink>
          </w:p>
        </w:tc>
      </w:tr>
      <w:tr>
        <w:trPr>
          <w:trHeight w:val="20"/>
        </w:trPr>
        <w:tc>
          <w:tcPr>
            <w:tcW w:w="6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9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0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Management’s Discussion and Analysis of Financial Condition and Results of Operations</w:t>
              </w:r>
            </w:hyperlink>
          </w:p>
        </w:tc>
        <w:tc>
          <w:tcPr>
            <w:tcW w:w="3800" w:type="dxa"/>
            <w:vAlign w:val="bottom"/>
            <w:gridSpan w:val="6"/>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0">
              <w:r>
                <w:rPr>
                  <w:rFonts w:ascii="Arial" w:cs="Arial" w:eastAsia="Arial" w:hAnsi="Arial"/>
                  <w:sz w:val="18"/>
                  <w:szCs w:val="18"/>
                  <w:color w:val="0000EE"/>
                  <w:w w:val="79"/>
                </w:rPr>
                <w:t>20</w:t>
              </w:r>
            </w:hyperlink>
          </w:p>
        </w:tc>
      </w:tr>
      <w:tr>
        <w:trPr>
          <w:trHeight w:val="520"/>
        </w:trPr>
        <w:tc>
          <w:tcPr>
            <w:tcW w:w="9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0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Quantitative and Qualitative Disclosures About Market Risk</w:t>
              </w:r>
            </w:hyperlink>
          </w:p>
        </w:tc>
        <w:tc>
          <w:tcPr>
            <w:tcW w:w="5900" w:type="dxa"/>
            <w:vAlign w:val="bottom"/>
            <w:gridSpan w:val="7"/>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25</w:t>
              </w:r>
            </w:hyperlink>
          </w:p>
        </w:tc>
      </w:tr>
      <w:tr>
        <w:trPr>
          <w:trHeight w:val="520"/>
        </w:trPr>
        <w:tc>
          <w:tcPr>
            <w:tcW w:w="9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0200" w:type="dxa"/>
            <w:vAlign w:val="bottom"/>
            <w:gridSpan w:val="18"/>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Controls and Procedures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26</w:t>
              </w:r>
            </w:hyperlink>
          </w:p>
        </w:tc>
      </w:tr>
      <w:tr>
        <w:trPr>
          <w:trHeight w:val="20"/>
        </w:trPr>
        <w:tc>
          <w:tcPr>
            <w:tcW w:w="6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920" w:type="dxa"/>
            <w:vAlign w:val="bottom"/>
            <w:gridSpan w:val="8"/>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74"/>
        </w:trPr>
        <w:tc>
          <w:tcPr>
            <w:tcW w:w="11180" w:type="dxa"/>
            <w:vAlign w:val="bottom"/>
            <w:gridSpan w:val="20"/>
          </w:tcPr>
          <w:p>
            <w:pPr>
              <w:spacing w:after="0"/>
              <w:rPr>
                <w:sz w:val="20"/>
                <w:szCs w:val="20"/>
                <w:color w:val="auto"/>
              </w:rPr>
            </w:pPr>
            <w:r>
              <w:rPr>
                <w:rFonts w:ascii="Arial" w:cs="Arial" w:eastAsia="Arial" w:hAnsi="Arial"/>
                <w:sz w:val="18"/>
                <w:szCs w:val="18"/>
                <w:b w:val="1"/>
                <w:bCs w:val="1"/>
                <w:color w:val="auto"/>
              </w:rPr>
              <w:t>PART II — OTHER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00"/>
        </w:trPr>
        <w:tc>
          <w:tcPr>
            <w:tcW w:w="9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0200" w:type="dxa"/>
            <w:vAlign w:val="bottom"/>
            <w:gridSpan w:val="18"/>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Legal Proceedings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27</w:t>
              </w:r>
            </w:hyperlink>
          </w:p>
        </w:tc>
      </w:tr>
      <w:tr>
        <w:trPr>
          <w:trHeight w:val="520"/>
        </w:trPr>
        <w:tc>
          <w:tcPr>
            <w:tcW w:w="98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8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1"/>
              </w:rPr>
            </w:pPr>
            <w:hyperlink w:anchor="page27">
              <w:r>
                <w:rPr>
                  <w:rFonts w:ascii="Arial" w:cs="Arial" w:eastAsia="Arial" w:hAnsi="Arial"/>
                  <w:sz w:val="18"/>
                  <w:szCs w:val="18"/>
                  <w:color w:val="0000EE"/>
                  <w:w w:val="81"/>
                </w:rPr>
                <w:t>Risk Factors</w:t>
              </w:r>
            </w:hyperlink>
          </w:p>
        </w:tc>
        <w:tc>
          <w:tcPr>
            <w:tcW w:w="420" w:type="dxa"/>
            <w:vAlign w:val="bottom"/>
            <w:tcBorders>
              <w:top w:val="single" w:sz="8" w:color="0000EE"/>
            </w:tcBorders>
            <w:gridSpan w:val="2"/>
          </w:tcPr>
          <w:p>
            <w:pPr>
              <w:spacing w:after="0"/>
              <w:rPr>
                <w:sz w:val="24"/>
                <w:szCs w:val="24"/>
                <w:color w:val="auto"/>
              </w:rPr>
            </w:pPr>
          </w:p>
        </w:tc>
        <w:tc>
          <w:tcPr>
            <w:tcW w:w="8940" w:type="dxa"/>
            <w:vAlign w:val="bottom"/>
            <w:gridSpan w:val="14"/>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27</w:t>
              </w:r>
            </w:hyperlink>
          </w:p>
        </w:tc>
      </w:tr>
      <w:tr>
        <w:trPr>
          <w:trHeight w:val="520"/>
        </w:trPr>
        <w:tc>
          <w:tcPr>
            <w:tcW w:w="9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10200" w:type="dxa"/>
            <w:vAlign w:val="bottom"/>
            <w:gridSpan w:val="18"/>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Unregistered Sales of Equity Securities and Use of Proceeds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27</w:t>
              </w:r>
            </w:hyperlink>
          </w:p>
        </w:tc>
      </w:tr>
      <w:tr>
        <w:trPr>
          <w:trHeight w:val="547"/>
        </w:trPr>
        <w:tc>
          <w:tcPr>
            <w:tcW w:w="9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2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7"/>
              </w:rPr>
            </w:pPr>
            <w:hyperlink w:anchor="page27">
              <w:r>
                <w:rPr>
                  <w:rFonts w:ascii="Arial" w:cs="Arial" w:eastAsia="Arial" w:hAnsi="Arial"/>
                  <w:sz w:val="18"/>
                  <w:szCs w:val="18"/>
                  <w:color w:val="0000EE"/>
                  <w:w w:val="87"/>
                </w:rPr>
                <w:t>Defaults Upon Senior Securities</w:t>
              </w:r>
            </w:hyperlink>
          </w:p>
        </w:tc>
        <w:tc>
          <w:tcPr>
            <w:tcW w:w="2020" w:type="dxa"/>
            <w:vAlign w:val="bottom"/>
            <w:tcBorders>
              <w:top w:val="single" w:sz="8" w:color="0000EE"/>
            </w:tcBorders>
            <w:gridSpan w:val="3"/>
          </w:tcPr>
          <w:p>
            <w:pPr>
              <w:spacing w:after="0"/>
              <w:rPr>
                <w:sz w:val="24"/>
                <w:szCs w:val="24"/>
                <w:color w:val="auto"/>
              </w:rPr>
            </w:pPr>
          </w:p>
        </w:tc>
        <w:tc>
          <w:tcPr>
            <w:tcW w:w="5920" w:type="dxa"/>
            <w:vAlign w:val="bottom"/>
            <w:gridSpan w:val="8"/>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27</w:t>
              </w:r>
            </w:hyperlink>
          </w:p>
        </w:tc>
      </w:tr>
      <w:tr>
        <w:trPr>
          <w:trHeight w:val="547"/>
        </w:trPr>
        <w:tc>
          <w:tcPr>
            <w:tcW w:w="9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0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Mine Safety Disclosure</w:t>
              </w:r>
            </w:hyperlink>
          </w:p>
        </w:tc>
        <w:tc>
          <w:tcPr>
            <w:tcW w:w="8500" w:type="dxa"/>
            <w:vAlign w:val="bottom"/>
            <w:gridSpan w:val="12"/>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27</w:t>
              </w:r>
            </w:hyperlink>
          </w:p>
        </w:tc>
      </w:tr>
      <w:tr>
        <w:trPr>
          <w:trHeight w:val="547"/>
        </w:trPr>
        <w:tc>
          <w:tcPr>
            <w:tcW w:w="98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0200" w:type="dxa"/>
            <w:vAlign w:val="bottom"/>
            <w:gridSpan w:val="18"/>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Other Information</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27</w:t>
              </w:r>
            </w:hyperlink>
          </w:p>
        </w:tc>
      </w:tr>
      <w:tr>
        <w:trPr>
          <w:trHeight w:val="520"/>
        </w:trPr>
        <w:tc>
          <w:tcPr>
            <w:tcW w:w="9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540" w:type="dxa"/>
            <w:vAlign w:val="bottom"/>
            <w:tcBorders>
              <w:top w:val="single" w:sz="8" w:color="0000EE"/>
              <w:bottom w:val="single" w:sz="8" w:color="0000EE"/>
            </w:tcBorders>
          </w:tcPr>
          <w:p>
            <w:pPr>
              <w:spacing w:after="0"/>
              <w:rPr>
                <w:rFonts w:ascii="Arial" w:cs="Arial" w:eastAsia="Arial" w:hAnsi="Arial"/>
                <w:sz w:val="18"/>
                <w:szCs w:val="18"/>
                <w:color w:val="0000EE"/>
                <w:w w:val="82"/>
              </w:rPr>
            </w:pPr>
            <w:hyperlink w:anchor="page27">
              <w:r>
                <w:rPr>
                  <w:rFonts w:ascii="Arial" w:cs="Arial" w:eastAsia="Arial" w:hAnsi="Arial"/>
                  <w:sz w:val="18"/>
                  <w:szCs w:val="18"/>
                  <w:color w:val="0000EE"/>
                  <w:w w:val="82"/>
                </w:rPr>
                <w:t>Exhibits</w:t>
              </w:r>
            </w:hyperlink>
          </w:p>
        </w:tc>
        <w:tc>
          <w:tcPr>
            <w:tcW w:w="700" w:type="dxa"/>
            <w:vAlign w:val="bottom"/>
            <w:tcBorders>
              <w:top w:val="single" w:sz="8" w:color="0000EE"/>
            </w:tcBorders>
            <w:gridSpan w:val="2"/>
          </w:tcPr>
          <w:p>
            <w:pPr>
              <w:spacing w:after="0"/>
              <w:rPr>
                <w:sz w:val="24"/>
                <w:szCs w:val="24"/>
                <w:color w:val="auto"/>
              </w:rPr>
            </w:pPr>
          </w:p>
        </w:tc>
        <w:tc>
          <w:tcPr>
            <w:tcW w:w="8960" w:type="dxa"/>
            <w:vAlign w:val="bottom"/>
            <w:gridSpan w:val="15"/>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27</w:t>
              </w:r>
            </w:hyperlink>
          </w:p>
        </w:tc>
      </w:tr>
      <w:tr>
        <w:trPr>
          <w:trHeight w:val="547"/>
        </w:trPr>
        <w:tc>
          <w:tcPr>
            <w:tcW w:w="11180" w:type="dxa"/>
            <w:vAlign w:val="bottom"/>
            <w:gridSpan w:val="20"/>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Exhibit Index</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8">
              <w:r>
                <w:rPr>
                  <w:rFonts w:ascii="Arial" w:cs="Arial" w:eastAsia="Arial" w:hAnsi="Arial"/>
                  <w:sz w:val="18"/>
                  <w:szCs w:val="18"/>
                  <w:color w:val="0000EE"/>
                  <w:w w:val="79"/>
                </w:rPr>
                <w:t>28</w:t>
              </w:r>
            </w:hyperlink>
          </w:p>
        </w:tc>
      </w:tr>
      <w:tr>
        <w:trPr>
          <w:trHeight w:val="547"/>
        </w:trPr>
        <w:tc>
          <w:tcPr>
            <w:tcW w:w="980" w:type="dxa"/>
            <w:vAlign w:val="bottom"/>
            <w:tcBorders>
              <w:top w:val="single" w:sz="8" w:color="0000EE"/>
            </w:tcBorders>
            <w:gridSpan w:val="2"/>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Signature</w:t>
              </w:r>
            </w:hyperlink>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29">
              <w:r>
                <w:rPr>
                  <w:rFonts w:ascii="Arial" w:cs="Arial" w:eastAsia="Arial" w:hAnsi="Arial"/>
                  <w:sz w:val="18"/>
                  <w:szCs w:val="18"/>
                  <w:color w:val="0000EE"/>
                  <w:w w:val="79"/>
                </w:rPr>
                <w:t>29</w:t>
              </w:r>
            </w:hyperlink>
          </w:p>
        </w:tc>
      </w:tr>
      <w:tr>
        <w:trPr>
          <w:trHeight w:val="20"/>
        </w:trPr>
        <w:tc>
          <w:tcPr>
            <w:tcW w:w="6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80" w:top="580" w:right="259" w:bottom="1440" w:gutter="0" w:footer="0" w:header="0"/>
        </w:sect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80" w:top="580" w:right="25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p>
        </w:tc>
        <w:tc>
          <w:tcPr>
            <w:tcW w:w="7020" w:type="dxa"/>
            <w:vAlign w:val="bottom"/>
          </w:tcPr>
          <w:p>
            <w:pPr>
              <w:jc w:val="center"/>
              <w:ind w:left="1650"/>
              <w:spacing w:after="0"/>
              <w:rPr>
                <w:sz w:val="20"/>
                <w:szCs w:val="20"/>
                <w:color w:val="auto"/>
              </w:rPr>
            </w:pPr>
            <w:r>
              <w:rPr>
                <w:rFonts w:ascii="Arial" w:cs="Arial" w:eastAsia="Arial" w:hAnsi="Arial"/>
                <w:sz w:val="18"/>
                <w:szCs w:val="18"/>
                <w:b w:val="1"/>
                <w:bCs w:val="1"/>
                <w:color w:val="auto"/>
              </w:rPr>
              <w:t>PART I - FINANCIAL INFORMATION</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13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02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54"/>
        </w:trPr>
        <w:tc>
          <w:tcPr>
            <w:tcW w:w="1340" w:type="dxa"/>
            <w:vAlign w:val="bottom"/>
          </w:tcPr>
          <w:p>
            <w:pPr>
              <w:spacing w:after="0"/>
              <w:rPr>
                <w:sz w:val="24"/>
                <w:szCs w:val="24"/>
                <w:color w:val="auto"/>
              </w:rPr>
            </w:pPr>
          </w:p>
        </w:tc>
        <w:tc>
          <w:tcPr>
            <w:tcW w:w="7020" w:type="dxa"/>
            <w:vAlign w:val="bottom"/>
          </w:tcPr>
          <w:p>
            <w:pPr>
              <w:jc w:val="center"/>
              <w:ind w:left="1590"/>
              <w:spacing w:after="0"/>
              <w:rPr>
                <w:sz w:val="20"/>
                <w:szCs w:val="20"/>
                <w:color w:val="auto"/>
              </w:rPr>
            </w:pPr>
            <w:r>
              <w:rPr>
                <w:rFonts w:ascii="Arial" w:cs="Arial" w:eastAsia="Arial" w:hAnsi="Arial"/>
                <w:sz w:val="18"/>
                <w:szCs w:val="18"/>
                <w:b w:val="1"/>
                <w:bCs w:val="1"/>
                <w:color w:val="auto"/>
              </w:rPr>
              <w:t>VERICEL CORPORATION</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6"/>
        </w:trPr>
        <w:tc>
          <w:tcPr>
            <w:tcW w:w="1340" w:type="dxa"/>
            <w:vAlign w:val="bottom"/>
          </w:tcPr>
          <w:p>
            <w:pPr>
              <w:spacing w:after="0"/>
              <w:rPr>
                <w:sz w:val="18"/>
                <w:szCs w:val="18"/>
                <w:color w:val="auto"/>
              </w:rPr>
            </w:pPr>
          </w:p>
        </w:tc>
        <w:tc>
          <w:tcPr>
            <w:tcW w:w="7020" w:type="dxa"/>
            <w:vAlign w:val="bottom"/>
          </w:tcPr>
          <w:p>
            <w:pPr>
              <w:jc w:val="center"/>
              <w:ind w:left="163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1340" w:type="dxa"/>
            <w:vAlign w:val="bottom"/>
          </w:tcPr>
          <w:p>
            <w:pPr>
              <w:spacing w:after="0"/>
              <w:rPr>
                <w:sz w:val="20"/>
                <w:szCs w:val="20"/>
                <w:color w:val="auto"/>
              </w:rPr>
            </w:pPr>
          </w:p>
        </w:tc>
        <w:tc>
          <w:tcPr>
            <w:tcW w:w="7020" w:type="dxa"/>
            <w:vAlign w:val="bottom"/>
          </w:tcPr>
          <w:p>
            <w:pPr>
              <w:jc w:val="center"/>
              <w:ind w:left="1630"/>
              <w:spacing w:after="0"/>
              <w:rPr>
                <w:sz w:val="20"/>
                <w:szCs w:val="20"/>
                <w:color w:val="auto"/>
              </w:rPr>
            </w:pPr>
            <w:r>
              <w:rPr>
                <w:rFonts w:ascii="Arial" w:cs="Arial" w:eastAsia="Arial" w:hAnsi="Arial"/>
                <w:sz w:val="18"/>
                <w:szCs w:val="18"/>
                <w:b w:val="1"/>
                <w:bCs w:val="1"/>
                <w:color w:val="auto"/>
                <w:w w:val="89"/>
              </w:rPr>
              <w:t>(Unaudited, amounts in thousands)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609"/>
        </w:trPr>
        <w:tc>
          <w:tcPr>
            <w:tcW w:w="134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24"/>
                <w:szCs w:val="24"/>
                <w:color w:val="auto"/>
              </w:rPr>
            </w:pPr>
          </w:p>
        </w:tc>
        <w:tc>
          <w:tcPr>
            <w:tcW w:w="1260" w:type="dxa"/>
            <w:vAlign w:val="bottom"/>
          </w:tcPr>
          <w:p>
            <w:pPr>
              <w:jc w:val="right"/>
              <w:ind w:right="231"/>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1340" w:type="dxa"/>
            <w:vAlign w:val="bottom"/>
          </w:tcPr>
          <w:p>
            <w:pPr>
              <w:spacing w:after="0"/>
              <w:rPr>
                <w:sz w:val="23"/>
                <w:szCs w:val="23"/>
                <w:color w:val="auto"/>
              </w:rPr>
            </w:pPr>
          </w:p>
        </w:tc>
        <w:tc>
          <w:tcPr>
            <w:tcW w:w="70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230"/>
        </w:trPr>
        <w:tc>
          <w:tcPr>
            <w:tcW w:w="134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7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7"/>
        </w:trPr>
        <w:tc>
          <w:tcPr>
            <w:tcW w:w="1340" w:type="dxa"/>
            <w:vAlign w:val="bottom"/>
          </w:tcPr>
          <w:p>
            <w:pPr>
              <w:spacing w:after="0"/>
              <w:rPr>
                <w:sz w:val="2"/>
                <w:szCs w:val="2"/>
                <w:color w:val="auto"/>
              </w:rPr>
            </w:pPr>
          </w:p>
        </w:tc>
        <w:tc>
          <w:tcPr>
            <w:tcW w:w="7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7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36,905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18,286</w:t>
            </w:r>
          </w:p>
        </w:tc>
      </w:tr>
      <w:tr>
        <w:trPr>
          <w:trHeight w:val="27"/>
        </w:trPr>
        <w:tc>
          <w:tcPr>
            <w:tcW w:w="83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Short-term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37,760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64,638</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Accounts receivable (net of allowance for doubtful accounts of $643 and $514, respectively)</w:t>
            </w: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19,958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23,454</w:t>
            </w:r>
          </w:p>
        </w:tc>
      </w:tr>
      <w:tr>
        <w:trPr>
          <w:trHeight w:val="27"/>
        </w:trPr>
        <w:tc>
          <w:tcPr>
            <w:tcW w:w="1340" w:type="dxa"/>
            <w:vAlign w:val="bottom"/>
          </w:tcPr>
          <w:p>
            <w:pPr>
              <w:spacing w:after="0"/>
              <w:rPr>
                <w:sz w:val="2"/>
                <w:szCs w:val="2"/>
                <w:color w:val="auto"/>
              </w:rPr>
            </w:pPr>
          </w:p>
        </w:tc>
        <w:tc>
          <w:tcPr>
            <w:tcW w:w="7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7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3,558</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3,272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2,847</w:t>
            </w:r>
          </w:p>
        </w:tc>
      </w:tr>
      <w:tr>
        <w:trPr>
          <w:trHeight w:val="27"/>
        </w:trPr>
        <w:tc>
          <w:tcPr>
            <w:tcW w:w="836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104,718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112,783</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7,190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5,906</w:t>
            </w:r>
          </w:p>
        </w:tc>
      </w:tr>
      <w:tr>
        <w:trPr>
          <w:trHeight w:val="27"/>
        </w:trPr>
        <w:tc>
          <w:tcPr>
            <w:tcW w:w="83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Right-of-use assets</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25,619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1340" w:type="dxa"/>
            <w:vAlign w:val="bottom"/>
          </w:tcPr>
          <w:p>
            <w:pPr>
              <w:ind w:left="380"/>
              <w:spacing w:after="0"/>
              <w:rPr>
                <w:sz w:val="20"/>
                <w:szCs w:val="20"/>
                <w:color w:val="auto"/>
              </w:rPr>
            </w:pPr>
            <w:r>
              <w:rPr>
                <w:rFonts w:ascii="Arial" w:cs="Arial" w:eastAsia="Arial" w:hAnsi="Arial"/>
                <w:sz w:val="18"/>
                <w:szCs w:val="18"/>
                <w:color w:val="auto"/>
                <w:w w:val="96"/>
              </w:rPr>
              <w:t>Total assets</w:t>
            </w:r>
          </w:p>
        </w:tc>
        <w:tc>
          <w:tcPr>
            <w:tcW w:w="70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137,527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118,689</w:t>
            </w:r>
          </w:p>
        </w:tc>
      </w:tr>
      <w:tr>
        <w:trPr>
          <w:trHeight w:val="67"/>
        </w:trPr>
        <w:tc>
          <w:tcPr>
            <w:tcW w:w="8360" w:type="dxa"/>
            <w:vAlign w:val="bottom"/>
            <w:tcBorders>
              <w:bottom w:val="single" w:sz="8" w:color="CCEEFF"/>
            </w:tcBorders>
            <w:gridSpan w:val="2"/>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204"/>
        </w:trPr>
        <w:tc>
          <w:tcPr>
            <w:tcW w:w="836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r>
      <w:tr>
        <w:trPr>
          <w:trHeight w:val="243"/>
        </w:trPr>
        <w:tc>
          <w:tcPr>
            <w:tcW w:w="1340" w:type="dxa"/>
            <w:vAlign w:val="bottom"/>
          </w:tcPr>
          <w:p>
            <w:pPr>
              <w:ind w:left="40"/>
              <w:spacing w:after="0"/>
              <w:rPr>
                <w:sz w:val="20"/>
                <w:szCs w:val="20"/>
                <w:color w:val="auto"/>
              </w:rPr>
            </w:pPr>
            <w:r>
              <w:rPr>
                <w:rFonts w:ascii="Arial" w:cs="Arial" w:eastAsia="Arial" w:hAnsi="Arial"/>
                <w:sz w:val="18"/>
                <w:szCs w:val="18"/>
                <w:color w:val="auto"/>
                <w:w w:val="92"/>
              </w:rPr>
              <w:t>Current liabilities:</w:t>
            </w:r>
          </w:p>
        </w:tc>
        <w:tc>
          <w:tcPr>
            <w:tcW w:w="7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7,108</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6,960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6,930</w:t>
            </w:r>
          </w:p>
        </w:tc>
      </w:tr>
      <w:tr>
        <w:trPr>
          <w:trHeight w:val="27"/>
        </w:trPr>
        <w:tc>
          <w:tcPr>
            <w:tcW w:w="83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Current portion of operating lease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1340" w:type="dxa"/>
            <w:vAlign w:val="bottom"/>
          </w:tcPr>
          <w:p>
            <w:pPr>
              <w:ind w:left="180"/>
              <w:spacing w:after="0"/>
              <w:rPr>
                <w:sz w:val="20"/>
                <w:szCs w:val="20"/>
                <w:color w:val="auto"/>
              </w:rPr>
            </w:pPr>
            <w:r>
              <w:rPr>
                <w:rFonts w:ascii="Arial" w:cs="Arial" w:eastAsia="Arial" w:hAnsi="Arial"/>
                <w:sz w:val="18"/>
                <w:szCs w:val="18"/>
                <w:color w:val="auto"/>
                <w:w w:val="96"/>
              </w:rPr>
              <w:t>Other liabilities</w:t>
            </w:r>
          </w:p>
        </w:tc>
        <w:tc>
          <w:tcPr>
            <w:tcW w:w="7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754</w:t>
            </w:r>
          </w:p>
        </w:tc>
      </w:tr>
      <w:tr>
        <w:trPr>
          <w:trHeight w:val="27"/>
        </w:trPr>
        <w:tc>
          <w:tcPr>
            <w:tcW w:w="836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14,792</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Operating lease liabilities</w:t>
            </w: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25,311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1,666</w:t>
            </w:r>
          </w:p>
        </w:tc>
      </w:tr>
      <w:tr>
        <w:trPr>
          <w:trHeight w:val="237"/>
        </w:trPr>
        <w:tc>
          <w:tcPr>
            <w:tcW w:w="8360" w:type="dxa"/>
            <w:vAlign w:val="bottom"/>
            <w:gridSpan w:val="2"/>
          </w:tcPr>
          <w:p>
            <w:pPr>
              <w:ind w:left="50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40,537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16,458</w:t>
            </w:r>
          </w:p>
        </w:tc>
      </w:tr>
      <w:tr>
        <w:trPr>
          <w:trHeight w:val="27"/>
        </w:trPr>
        <w:tc>
          <w:tcPr>
            <w:tcW w:w="83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Shareholders’ equity:</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Common stock, no par value; shares authorized — 75,000; shares issued and outstanding — 44,520 and</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43,578,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485,141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471,180</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Other comprehensive gain (loss)</w:t>
            </w: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1340" w:type="dxa"/>
            <w:vAlign w:val="bottom"/>
          </w:tcPr>
          <w:p>
            <w:pPr>
              <w:spacing w:after="0"/>
              <w:rPr>
                <w:sz w:val="2"/>
                <w:szCs w:val="2"/>
                <w:color w:val="auto"/>
              </w:rPr>
            </w:pPr>
          </w:p>
        </w:tc>
        <w:tc>
          <w:tcPr>
            <w:tcW w:w="7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Warrants</w:t>
            </w:r>
          </w:p>
        </w:tc>
        <w:tc>
          <w:tcPr>
            <w:tcW w:w="7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(388,180)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(369,014)</w:t>
            </w:r>
          </w:p>
        </w:tc>
      </w:tr>
      <w:tr>
        <w:trPr>
          <w:trHeight w:val="27"/>
        </w:trPr>
        <w:tc>
          <w:tcPr>
            <w:tcW w:w="836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96,990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102,231</w:t>
            </w:r>
          </w:p>
        </w:tc>
      </w:tr>
      <w:tr>
        <w:trPr>
          <w:trHeight w:val="237"/>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137,527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118,689</w:t>
            </w:r>
          </w:p>
        </w:tc>
      </w:tr>
      <w:tr>
        <w:trPr>
          <w:trHeight w:val="27"/>
        </w:trPr>
        <w:tc>
          <w:tcPr>
            <w:tcW w:w="1340" w:type="dxa"/>
            <w:vAlign w:val="bottom"/>
          </w:tcPr>
          <w:p>
            <w:pPr>
              <w:spacing w:after="0"/>
              <w:rPr>
                <w:sz w:val="2"/>
                <w:szCs w:val="2"/>
                <w:color w:val="auto"/>
              </w:rPr>
            </w:pPr>
          </w:p>
        </w:tc>
        <w:tc>
          <w:tcPr>
            <w:tcW w:w="7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134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 except per share amounts)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1"/>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 sales, net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30,499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78,460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59,522</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Cost of product sales</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9,324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8,138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26,986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23,531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21,175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14,346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51,474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35,991</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3,096</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3,113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27,174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10,581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14,982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12,569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44,761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35,314</w:t>
            </w:r>
          </w:p>
        </w:tc>
        <w:tc>
          <w:tcPr>
            <w:tcW w:w="0" w:type="dxa"/>
            <w:vAlign w:val="bottom"/>
          </w:tcPr>
          <w:p>
            <w:pPr>
              <w:spacing w:after="0"/>
              <w:rPr>
                <w:sz w:val="1"/>
                <w:szCs w:val="1"/>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18,078</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15,682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71,935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45,895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3,097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(20,461)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(9,904)</w:t>
            </w:r>
          </w:p>
        </w:tc>
        <w:tc>
          <w:tcPr>
            <w:tcW w:w="0" w:type="dxa"/>
            <w:vAlign w:val="bottom"/>
          </w:tcPr>
          <w:p>
            <w:pPr>
              <w:spacing w:after="0"/>
              <w:rPr>
                <w:sz w:val="1"/>
                <w:szCs w:val="1"/>
                <w:color w:val="auto"/>
              </w:rPr>
            </w:pPr>
          </w:p>
        </w:tc>
      </w:tr>
      <w:tr>
        <w:trPr>
          <w:trHeight w:val="223"/>
        </w:trPr>
        <w:tc>
          <w:tcPr>
            <w:tcW w:w="516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2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 (decrease) in fair value of warrants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(2,524)</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385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1,293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Other income (expense)</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income (expense)</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(3,475)</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3,470</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(19,166)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(13,379)</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5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income (loss) per share (Basic)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Weighted average number of common shares outstanding (Basic)</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44,251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42,925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43,979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39,163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income (loss) per share (Diluted)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Weighted average number of common shares outstanding (Diluted)</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46,667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42,925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43,979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39,163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96" w:right="2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00" w:type="dxa"/>
            <w:vAlign w:val="bottom"/>
            <w:gridSpan w:val="6"/>
          </w:tcPr>
          <w:p>
            <w:pPr>
              <w:ind w:left="44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60" w:type="dxa"/>
            <w:vAlign w:val="bottom"/>
            <w:tcBorders>
              <w:bottom w:val="single" w:sz="8" w:color="CCEEFF"/>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3,470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(13,379)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(loss) gain on investments</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94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3,461</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(19,137)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(13,397)</w:t>
            </w:r>
          </w:p>
        </w:tc>
      </w:tr>
      <w:tr>
        <w:trPr>
          <w:trHeight w:val="20"/>
        </w:trPr>
        <w:tc>
          <w:tcPr>
            <w:tcW w:w="5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96" w:right="2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2220" w:type="dxa"/>
            <w:vAlign w:val="bottom"/>
            <w:gridSpan w:val="5"/>
          </w:tcPr>
          <w:p>
            <w:pPr>
              <w:ind w:left="60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11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Warrants</w:t>
            </w: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Accumulated Other</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1100" w:type="dxa"/>
            <w:vAlign w:val="bottom"/>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26"/>
        </w:trPr>
        <w:tc>
          <w:tcPr>
            <w:tcW w:w="3800" w:type="dxa"/>
            <w:vAlign w:val="bottom"/>
          </w:tcPr>
          <w:p>
            <w:pPr>
              <w:spacing w:after="0"/>
              <w:rPr>
                <w:sz w:val="10"/>
                <w:szCs w:val="10"/>
                <w:color w:val="auto"/>
              </w:rPr>
            </w:pPr>
          </w:p>
        </w:tc>
        <w:tc>
          <w:tcPr>
            <w:tcW w:w="100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restart"/>
          </w:tcPr>
          <w:p>
            <w:pPr>
              <w:jc w:val="right"/>
              <w:ind w:right="157"/>
              <w:spacing w:after="0"/>
              <w:rPr>
                <w:sz w:val="20"/>
                <w:szCs w:val="20"/>
                <w:color w:val="auto"/>
              </w:rPr>
            </w:pPr>
            <w:r>
              <w:rPr>
                <w:rFonts w:ascii="Arial" w:cs="Arial" w:eastAsia="Arial" w:hAnsi="Arial"/>
                <w:sz w:val="14"/>
                <w:szCs w:val="14"/>
                <w:b w:val="1"/>
                <w:bCs w:val="1"/>
                <w:color w:val="auto"/>
              </w:rPr>
              <w:t>Amount</w:t>
            </w:r>
          </w:p>
        </w:tc>
        <w:tc>
          <w:tcPr>
            <w:tcW w:w="12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tcPr>
          <w:p>
            <w:pPr>
              <w:jc w:val="center"/>
              <w:ind w:right="81"/>
              <w:spacing w:after="0" w:line="126" w:lineRule="exact"/>
              <w:rPr>
                <w:sz w:val="20"/>
                <w:szCs w:val="20"/>
                <w:color w:val="auto"/>
              </w:rPr>
            </w:pPr>
            <w:r>
              <w:rPr>
                <w:rFonts w:ascii="Arial" w:cs="Arial" w:eastAsia="Arial" w:hAnsi="Arial"/>
                <w:sz w:val="14"/>
                <w:szCs w:val="14"/>
                <w:b w:val="1"/>
                <w:bCs w:val="1"/>
                <w:color w:val="auto"/>
                <w:w w:val="91"/>
              </w:rPr>
              <w:t>Comprehensive</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jc w:val="center"/>
              <w:ind w:right="80"/>
              <w:spacing w:after="0" w:line="126"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92"/>
        </w:trPr>
        <w:tc>
          <w:tcPr>
            <w:tcW w:w="38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w w:val="98"/>
              </w:rPr>
              <w:t>Amounts</w:t>
            </w:r>
          </w:p>
        </w:tc>
        <w:tc>
          <w:tcPr>
            <w:tcW w:w="3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2"/>
              </w:rPr>
              <w:t>Income (Loss)</w:t>
            </w:r>
          </w:p>
        </w:tc>
        <w:tc>
          <w:tcPr>
            <w:tcW w:w="2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Deficit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50"/>
        </w:trPr>
        <w:tc>
          <w:tcPr>
            <w:tcW w:w="3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DECEMBER 31, 2018</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43,578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6"/>
                <w:szCs w:val="16"/>
                <w:color w:val="auto"/>
              </w:rPr>
              <w:t>471,180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104</w:t>
            </w: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(369,014)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102,231</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800" w:type="dxa"/>
            <w:vAlign w:val="bottom"/>
          </w:tcPr>
          <w:p>
            <w:pPr>
              <w:ind w:left="40"/>
              <w:spacing w:after="0"/>
              <w:rPr>
                <w:sz w:val="20"/>
                <w:szCs w:val="20"/>
                <w:color w:val="auto"/>
              </w:rPr>
            </w:pPr>
            <w:r>
              <w:rPr>
                <w:rFonts w:ascii="Arial" w:cs="Arial" w:eastAsia="Arial" w:hAnsi="Arial"/>
                <w:sz w:val="16"/>
                <w:szCs w:val="16"/>
                <w:color w:val="auto"/>
              </w:rPr>
              <w:t>Net loss</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(2,844)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(2,844)</w:t>
            </w:r>
          </w:p>
        </w:tc>
        <w:tc>
          <w:tcPr>
            <w:tcW w:w="0" w:type="dxa"/>
            <w:vAlign w:val="bottom"/>
          </w:tcPr>
          <w:p>
            <w:pPr>
              <w:spacing w:after="0"/>
              <w:rPr>
                <w:sz w:val="1"/>
                <w:szCs w:val="1"/>
                <w:color w:val="auto"/>
              </w:rPr>
            </w:pPr>
          </w:p>
        </w:tc>
      </w:tr>
      <w:tr>
        <w:trPr>
          <w:trHeight w:val="33"/>
        </w:trPr>
        <w:tc>
          <w:tcPr>
            <w:tcW w:w="38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Compensation expense related to stock options and</w:t>
            </w: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restricted stock units, net of forfeitures</w:t>
            </w: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2,628</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2,628</w:t>
            </w:r>
          </w:p>
        </w:tc>
        <w:tc>
          <w:tcPr>
            <w:tcW w:w="0" w:type="dxa"/>
            <w:vAlign w:val="bottom"/>
          </w:tcPr>
          <w:p>
            <w:pPr>
              <w:spacing w:after="0"/>
              <w:rPr>
                <w:sz w:val="1"/>
                <w:szCs w:val="1"/>
                <w:color w:val="auto"/>
              </w:rPr>
            </w:pPr>
          </w:p>
        </w:tc>
      </w:tr>
      <w:tr>
        <w:trPr>
          <w:trHeight w:val="237"/>
        </w:trPr>
        <w:tc>
          <w:tcPr>
            <w:tcW w:w="3800" w:type="dxa"/>
            <w:vAlign w:val="bottom"/>
          </w:tcPr>
          <w:p>
            <w:pPr>
              <w:ind w:left="40"/>
              <w:spacing w:after="0"/>
              <w:rPr>
                <w:sz w:val="20"/>
                <w:szCs w:val="20"/>
                <w:color w:val="auto"/>
              </w:rPr>
            </w:pPr>
            <w:r>
              <w:rPr>
                <w:rFonts w:ascii="Arial" w:cs="Arial" w:eastAsia="Arial" w:hAnsi="Arial"/>
                <w:sz w:val="16"/>
                <w:szCs w:val="16"/>
                <w:color w:val="auto"/>
              </w:rPr>
              <w:t>Stock option exercises</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228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17"/>
              <w:spacing w:after="0"/>
              <w:rPr>
                <w:sz w:val="20"/>
                <w:szCs w:val="20"/>
                <w:color w:val="auto"/>
              </w:rPr>
            </w:pPr>
            <w:r>
              <w:rPr>
                <w:rFonts w:ascii="Arial" w:cs="Arial" w:eastAsia="Arial" w:hAnsi="Arial"/>
                <w:sz w:val="16"/>
                <w:szCs w:val="16"/>
                <w:color w:val="auto"/>
              </w:rPr>
              <w:t>780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780</w:t>
            </w:r>
          </w:p>
        </w:tc>
        <w:tc>
          <w:tcPr>
            <w:tcW w:w="0" w:type="dxa"/>
            <w:vAlign w:val="bottom"/>
          </w:tcPr>
          <w:p>
            <w:pPr>
              <w:spacing w:after="0"/>
              <w:rPr>
                <w:sz w:val="1"/>
                <w:szCs w:val="1"/>
                <w:color w:val="auto"/>
              </w:rPr>
            </w:pPr>
          </w:p>
        </w:tc>
      </w:tr>
      <w:tr>
        <w:trPr>
          <w:trHeight w:val="33"/>
        </w:trPr>
        <w:tc>
          <w:tcPr>
            <w:tcW w:w="38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3"/>
              </w:rPr>
              <w:t>Shares issued under the Employee Stock Purchase Plan</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237"/>
        </w:trPr>
        <w:tc>
          <w:tcPr>
            <w:tcW w:w="3800" w:type="dxa"/>
            <w:vAlign w:val="bottom"/>
          </w:tcPr>
          <w:p>
            <w:pPr>
              <w:ind w:left="40"/>
              <w:spacing w:after="0"/>
              <w:rPr>
                <w:sz w:val="20"/>
                <w:szCs w:val="20"/>
                <w:color w:val="auto"/>
              </w:rPr>
            </w:pPr>
            <w:r>
              <w:rPr>
                <w:rFonts w:ascii="Arial" w:cs="Arial" w:eastAsia="Arial" w:hAnsi="Arial"/>
                <w:sz w:val="16"/>
                <w:szCs w:val="16"/>
                <w:color w:val="auto"/>
              </w:rPr>
              <w:t>Change in unrealized gain (loss) on investments</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42</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33"/>
        </w:trPr>
        <w:tc>
          <w:tcPr>
            <w:tcW w:w="38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MARCH 31, 2019</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43,825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6"/>
                <w:szCs w:val="16"/>
                <w:color w:val="auto"/>
              </w:rPr>
              <w:t>474,806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104</w:t>
            </w: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(371,858)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103,055</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800" w:type="dxa"/>
            <w:vAlign w:val="bottom"/>
          </w:tcPr>
          <w:p>
            <w:pPr>
              <w:ind w:left="40"/>
              <w:spacing w:after="0"/>
              <w:rPr>
                <w:sz w:val="20"/>
                <w:szCs w:val="20"/>
                <w:color w:val="auto"/>
              </w:rPr>
            </w:pPr>
            <w:r>
              <w:rPr>
                <w:rFonts w:ascii="Arial" w:cs="Arial" w:eastAsia="Arial" w:hAnsi="Arial"/>
                <w:sz w:val="16"/>
                <w:szCs w:val="16"/>
                <w:color w:val="auto"/>
              </w:rPr>
              <w:t>Net loss</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(19,792)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(19,792)</w:t>
            </w:r>
          </w:p>
        </w:tc>
        <w:tc>
          <w:tcPr>
            <w:tcW w:w="0" w:type="dxa"/>
            <w:vAlign w:val="bottom"/>
          </w:tcPr>
          <w:p>
            <w:pPr>
              <w:spacing w:after="0"/>
              <w:rPr>
                <w:sz w:val="1"/>
                <w:szCs w:val="1"/>
                <w:color w:val="auto"/>
              </w:rPr>
            </w:pPr>
          </w:p>
        </w:tc>
      </w:tr>
      <w:tr>
        <w:trPr>
          <w:trHeight w:val="33"/>
        </w:trPr>
        <w:tc>
          <w:tcPr>
            <w:tcW w:w="38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Compensation expense related to stock options and</w:t>
            </w: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restricted stock units, net of forfeitures</w:t>
            </w: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4,183</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4,183</w:t>
            </w:r>
          </w:p>
        </w:tc>
        <w:tc>
          <w:tcPr>
            <w:tcW w:w="0" w:type="dxa"/>
            <w:vAlign w:val="bottom"/>
          </w:tcPr>
          <w:p>
            <w:pPr>
              <w:spacing w:after="0"/>
              <w:rPr>
                <w:sz w:val="1"/>
                <w:szCs w:val="1"/>
                <w:color w:val="auto"/>
              </w:rPr>
            </w:pPr>
          </w:p>
        </w:tc>
      </w:tr>
      <w:tr>
        <w:trPr>
          <w:trHeight w:val="237"/>
        </w:trPr>
        <w:tc>
          <w:tcPr>
            <w:tcW w:w="3800" w:type="dxa"/>
            <w:vAlign w:val="bottom"/>
          </w:tcPr>
          <w:p>
            <w:pPr>
              <w:ind w:left="40"/>
              <w:spacing w:after="0"/>
              <w:rPr>
                <w:sz w:val="20"/>
                <w:szCs w:val="20"/>
                <w:color w:val="auto"/>
              </w:rPr>
            </w:pPr>
            <w:r>
              <w:rPr>
                <w:rFonts w:ascii="Arial" w:cs="Arial" w:eastAsia="Arial" w:hAnsi="Arial"/>
                <w:sz w:val="16"/>
                <w:szCs w:val="16"/>
                <w:color w:val="auto"/>
              </w:rPr>
              <w:t>Stock option exercises</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227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17"/>
              <w:spacing w:after="0"/>
              <w:rPr>
                <w:sz w:val="20"/>
                <w:szCs w:val="20"/>
                <w:color w:val="auto"/>
              </w:rPr>
            </w:pPr>
            <w:r>
              <w:rPr>
                <w:rFonts w:ascii="Arial" w:cs="Arial" w:eastAsia="Arial" w:hAnsi="Arial"/>
                <w:sz w:val="16"/>
                <w:szCs w:val="16"/>
                <w:color w:val="auto"/>
              </w:rPr>
              <w:t>850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850</w:t>
            </w:r>
          </w:p>
        </w:tc>
        <w:tc>
          <w:tcPr>
            <w:tcW w:w="0" w:type="dxa"/>
            <w:vAlign w:val="bottom"/>
          </w:tcPr>
          <w:p>
            <w:pPr>
              <w:spacing w:after="0"/>
              <w:rPr>
                <w:sz w:val="1"/>
                <w:szCs w:val="1"/>
                <w:color w:val="auto"/>
              </w:rPr>
            </w:pPr>
          </w:p>
        </w:tc>
      </w:tr>
      <w:tr>
        <w:trPr>
          <w:trHeight w:val="33"/>
        </w:trPr>
        <w:tc>
          <w:tcPr>
            <w:tcW w:w="38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3"/>
              </w:rPr>
              <w:t>Shares issued under the Employee Stock Purchase Plan</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37"/>
        </w:trPr>
        <w:tc>
          <w:tcPr>
            <w:tcW w:w="3800" w:type="dxa"/>
            <w:vAlign w:val="bottom"/>
          </w:tcPr>
          <w:p>
            <w:pPr>
              <w:ind w:left="40"/>
              <w:spacing w:after="0"/>
              <w:rPr>
                <w:sz w:val="20"/>
                <w:szCs w:val="20"/>
                <w:color w:val="auto"/>
              </w:rPr>
            </w:pPr>
            <w:r>
              <w:rPr>
                <w:rFonts w:ascii="Arial" w:cs="Arial" w:eastAsia="Arial" w:hAnsi="Arial"/>
                <w:sz w:val="16"/>
                <w:szCs w:val="16"/>
                <w:color w:val="auto"/>
              </w:rPr>
              <w:t>Change in unrealized gain (loss) on investments</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35</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33"/>
        </w:trPr>
        <w:tc>
          <w:tcPr>
            <w:tcW w:w="38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JUNE 30, 2019</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44,066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6"/>
                <w:szCs w:val="16"/>
                <w:color w:val="auto"/>
              </w:rPr>
              <w:t>480,050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104</w:t>
            </w: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38</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(391,650)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88,542</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80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3,470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3,470</w:t>
            </w:r>
          </w:p>
        </w:tc>
        <w:tc>
          <w:tcPr>
            <w:tcW w:w="0" w:type="dxa"/>
            <w:vAlign w:val="bottom"/>
          </w:tcPr>
          <w:p>
            <w:pPr>
              <w:spacing w:after="0"/>
              <w:rPr>
                <w:sz w:val="1"/>
                <w:szCs w:val="1"/>
                <w:color w:val="auto"/>
              </w:rPr>
            </w:pPr>
          </w:p>
        </w:tc>
      </w:tr>
      <w:tr>
        <w:trPr>
          <w:trHeight w:val="33"/>
        </w:trPr>
        <w:tc>
          <w:tcPr>
            <w:tcW w:w="38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8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Compensation expense related to stock options granted,</w:t>
            </w: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vMerge w:val="restart"/>
            <w:shd w:val="clear" w:color="auto" w:fill="CCEEFF"/>
          </w:tcPr>
          <w:p>
            <w:pPr>
              <w:jc w:val="right"/>
              <w:ind w:right="17"/>
              <w:spacing w:after="0"/>
              <w:rPr>
                <w:sz w:val="20"/>
                <w:szCs w:val="20"/>
                <w:color w:val="auto"/>
              </w:rPr>
            </w:pPr>
            <w:r>
              <w:rPr>
                <w:rFonts w:ascii="Arial" w:cs="Arial" w:eastAsia="Arial" w:hAnsi="Arial"/>
                <w:sz w:val="18"/>
                <w:szCs w:val="18"/>
                <w:color w:val="auto"/>
              </w:rPr>
              <w:t>3,285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of forfeitures</w:t>
            </w: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3,285</w:t>
            </w:r>
          </w:p>
        </w:tc>
        <w:tc>
          <w:tcPr>
            <w:tcW w:w="0" w:type="dxa"/>
            <w:vAlign w:val="bottom"/>
          </w:tcPr>
          <w:p>
            <w:pPr>
              <w:spacing w:after="0"/>
              <w:rPr>
                <w:sz w:val="1"/>
                <w:szCs w:val="1"/>
                <w:color w:val="auto"/>
              </w:rPr>
            </w:pPr>
          </w:p>
        </w:tc>
      </w:tr>
      <w:tr>
        <w:trPr>
          <w:trHeight w:val="243"/>
        </w:trPr>
        <w:tc>
          <w:tcPr>
            <w:tcW w:w="3800" w:type="dxa"/>
            <w:vAlign w:val="bottom"/>
          </w:tcPr>
          <w:p>
            <w:pPr>
              <w:ind w:left="40"/>
              <w:spacing w:after="0"/>
              <w:rPr>
                <w:sz w:val="20"/>
                <w:szCs w:val="20"/>
                <w:color w:val="auto"/>
              </w:rPr>
            </w:pPr>
            <w:r>
              <w:rPr>
                <w:rFonts w:ascii="Arial" w:cs="Arial" w:eastAsia="Arial" w:hAnsi="Arial"/>
                <w:sz w:val="16"/>
                <w:szCs w:val="16"/>
                <w:color w:val="auto"/>
              </w:rPr>
              <w:t>Stock option exercises</w:t>
            </w:r>
          </w:p>
        </w:tc>
        <w:tc>
          <w:tcPr>
            <w:tcW w:w="1000" w:type="dxa"/>
            <w:vAlign w:val="bottom"/>
          </w:tcPr>
          <w:p>
            <w:pPr>
              <w:jc w:val="right"/>
              <w:ind w:right="19"/>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17"/>
              <w:spacing w:after="0"/>
              <w:rPr>
                <w:sz w:val="20"/>
                <w:szCs w:val="20"/>
                <w:color w:val="auto"/>
              </w:rPr>
            </w:pPr>
            <w:r>
              <w:rPr>
                <w:rFonts w:ascii="Arial" w:cs="Arial" w:eastAsia="Arial" w:hAnsi="Arial"/>
                <w:sz w:val="18"/>
                <w:szCs w:val="18"/>
                <w:color w:val="auto"/>
              </w:rPr>
              <w:t>1,427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1,427</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3"/>
              </w:rPr>
              <w:t>Shares issued under the Employee Stock Purchase Plan</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275</w:t>
            </w:r>
          </w:p>
        </w:tc>
        <w:tc>
          <w:tcPr>
            <w:tcW w:w="0" w:type="dxa"/>
            <w:vAlign w:val="bottom"/>
          </w:tcPr>
          <w:p>
            <w:pPr>
              <w:spacing w:after="0"/>
              <w:rPr>
                <w:sz w:val="1"/>
                <w:szCs w:val="1"/>
                <w:color w:val="auto"/>
              </w:rPr>
            </w:pPr>
          </w:p>
        </w:tc>
      </w:tr>
      <w:tr>
        <w:trPr>
          <w:trHeight w:val="237"/>
        </w:trPr>
        <w:tc>
          <w:tcPr>
            <w:tcW w:w="3800" w:type="dxa"/>
            <w:vAlign w:val="bottom"/>
          </w:tcPr>
          <w:p>
            <w:pPr>
              <w:ind w:left="40"/>
              <w:spacing w:after="0"/>
              <w:rPr>
                <w:sz w:val="20"/>
                <w:szCs w:val="20"/>
                <w:color w:val="auto"/>
              </w:rPr>
            </w:pPr>
            <w:r>
              <w:rPr>
                <w:rFonts w:ascii="Arial" w:cs="Arial" w:eastAsia="Arial" w:hAnsi="Arial"/>
                <w:sz w:val="16"/>
                <w:szCs w:val="16"/>
                <w:color w:val="auto"/>
              </w:rPr>
              <w:t>Change in unrealized gain (loss) on investments</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38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8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Exercise of warrants resulting in issuance of common</w:t>
            </w: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(104) —</w:t>
            </w: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9"/>
              </w:rPr>
              <w:t>—</w:t>
            </w: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3800" w:type="dxa"/>
            <w:vAlign w:val="bottom"/>
          </w:tcPr>
          <w:p>
            <w:pPr>
              <w:ind w:left="40"/>
              <w:spacing w:after="0"/>
              <w:rPr>
                <w:sz w:val="20"/>
                <w:szCs w:val="20"/>
                <w:color w:val="auto"/>
              </w:rPr>
            </w:pPr>
            <w:r>
              <w:rPr>
                <w:rFonts w:ascii="Arial" w:cs="Arial" w:eastAsia="Arial" w:hAnsi="Arial"/>
                <w:sz w:val="16"/>
                <w:szCs w:val="16"/>
                <w:color w:val="auto"/>
              </w:rPr>
              <w:t>BALANCE, SEPTEMBER 30, 2019</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44,520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7"/>
              <w:spacing w:after="0"/>
              <w:rPr>
                <w:sz w:val="20"/>
                <w:szCs w:val="20"/>
                <w:color w:val="auto"/>
              </w:rPr>
            </w:pPr>
            <w:r>
              <w:rPr>
                <w:rFonts w:ascii="Arial" w:cs="Arial" w:eastAsia="Arial" w:hAnsi="Arial"/>
                <w:sz w:val="16"/>
                <w:szCs w:val="16"/>
                <w:color w:val="auto"/>
              </w:rPr>
              <w:t>485,141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29</w:t>
            </w:r>
          </w:p>
        </w:tc>
        <w:tc>
          <w:tcPr>
            <w:tcW w:w="4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(388,180)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96,990</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ind w:right="57"/>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2340" w:type="dxa"/>
            <w:vAlign w:val="bottom"/>
            <w:gridSpan w:val="5"/>
          </w:tcPr>
          <w:p>
            <w:pPr>
              <w:ind w:left="64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Warrants</w:t>
            </w:r>
          </w:p>
        </w:tc>
        <w:tc>
          <w:tcPr>
            <w:tcW w:w="14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Accumulated Other</w:t>
            </w:r>
          </w:p>
        </w:tc>
        <w:tc>
          <w:tcPr>
            <w:tcW w:w="140" w:type="dxa"/>
            <w:vAlign w:val="bottom"/>
          </w:tcPr>
          <w:p>
            <w:pPr>
              <w:spacing w:after="0"/>
              <w:rPr>
                <w:sz w:val="14"/>
                <w:szCs w:val="14"/>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1100" w:type="dxa"/>
            <w:vAlign w:val="bottom"/>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26"/>
        </w:trPr>
        <w:tc>
          <w:tcPr>
            <w:tcW w:w="4020" w:type="dxa"/>
            <w:vAlign w:val="bottom"/>
          </w:tcPr>
          <w:p>
            <w:pPr>
              <w:spacing w:after="0"/>
              <w:rPr>
                <w:sz w:val="10"/>
                <w:szCs w:val="10"/>
                <w:color w:val="auto"/>
              </w:rPr>
            </w:pPr>
          </w:p>
        </w:tc>
        <w:tc>
          <w:tcPr>
            <w:tcW w:w="104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Amount</w:t>
            </w:r>
          </w:p>
        </w:tc>
        <w:tc>
          <w:tcPr>
            <w:tcW w:w="12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gridSpan w:val="2"/>
          </w:tcPr>
          <w:p>
            <w:pPr>
              <w:jc w:val="center"/>
              <w:ind w:right="260"/>
              <w:spacing w:after="0" w:line="126"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jc w:val="center"/>
              <w:ind w:right="80"/>
              <w:spacing w:after="0" w:line="126"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92"/>
        </w:trPr>
        <w:tc>
          <w:tcPr>
            <w:tcW w:w="40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w w:val="98"/>
              </w:rPr>
              <w:t>Amounts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3"/>
              </w:rPr>
              <w:t>Income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Deficit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50"/>
        </w:trPr>
        <w:tc>
          <w:tcPr>
            <w:tcW w:w="4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DECEMBER 31, 2017</w:t>
            </w: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35,861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383,020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397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(360,877)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22,540</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20" w:type="dxa"/>
            <w:vAlign w:val="bottom"/>
          </w:tcPr>
          <w:p>
            <w:pPr>
              <w:ind w:left="40"/>
              <w:spacing w:after="0"/>
              <w:rPr>
                <w:sz w:val="20"/>
                <w:szCs w:val="20"/>
                <w:color w:val="auto"/>
              </w:rPr>
            </w:pPr>
            <w:r>
              <w:rPr>
                <w:rFonts w:ascii="Arial" w:cs="Arial" w:eastAsia="Arial" w:hAnsi="Arial"/>
                <w:sz w:val="16"/>
                <w:szCs w:val="16"/>
                <w:color w:val="auto"/>
              </w:rPr>
              <w:t>Net loss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(7,659)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(7,659)</w:t>
            </w:r>
          </w:p>
        </w:tc>
        <w:tc>
          <w:tcPr>
            <w:tcW w:w="0" w:type="dxa"/>
            <w:vAlign w:val="bottom"/>
          </w:tcPr>
          <w:p>
            <w:pPr>
              <w:spacing w:after="0"/>
              <w:rPr>
                <w:sz w:val="1"/>
                <w:szCs w:val="1"/>
                <w:color w:val="auto"/>
              </w:rPr>
            </w:pPr>
          </w:p>
        </w:tc>
      </w:tr>
      <w:tr>
        <w:trPr>
          <w:trHeight w:val="33"/>
        </w:trPr>
        <w:tc>
          <w:tcPr>
            <w:tcW w:w="4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Compensation expense related to stock options granted,</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of forfeitures</w:t>
            </w: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1,348</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1,348</w:t>
            </w:r>
          </w:p>
        </w:tc>
        <w:tc>
          <w:tcPr>
            <w:tcW w:w="0" w:type="dxa"/>
            <w:vAlign w:val="bottom"/>
          </w:tcPr>
          <w:p>
            <w:pPr>
              <w:spacing w:after="0"/>
              <w:rPr>
                <w:sz w:val="1"/>
                <w:szCs w:val="1"/>
                <w:color w:val="auto"/>
              </w:rPr>
            </w:pPr>
          </w:p>
        </w:tc>
      </w:tr>
      <w:tr>
        <w:trPr>
          <w:trHeight w:val="237"/>
        </w:trPr>
        <w:tc>
          <w:tcPr>
            <w:tcW w:w="4020" w:type="dxa"/>
            <w:vAlign w:val="bottom"/>
          </w:tcPr>
          <w:p>
            <w:pPr>
              <w:ind w:left="40"/>
              <w:spacing w:after="0"/>
              <w:rPr>
                <w:sz w:val="20"/>
                <w:szCs w:val="20"/>
                <w:color w:val="auto"/>
              </w:rPr>
            </w:pPr>
            <w:r>
              <w:rPr>
                <w:rFonts w:ascii="Arial" w:cs="Arial" w:eastAsia="Arial" w:hAnsi="Arial"/>
                <w:sz w:val="16"/>
                <w:szCs w:val="16"/>
                <w:color w:val="auto"/>
              </w:rPr>
              <w:t>Stock option exercises</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253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851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851</w:t>
            </w:r>
          </w:p>
        </w:tc>
        <w:tc>
          <w:tcPr>
            <w:tcW w:w="0" w:type="dxa"/>
            <w:vAlign w:val="bottom"/>
          </w:tcPr>
          <w:p>
            <w:pPr>
              <w:spacing w:after="0"/>
              <w:rPr>
                <w:sz w:val="1"/>
                <w:szCs w:val="1"/>
                <w:color w:val="auto"/>
              </w:rPr>
            </w:pPr>
          </w:p>
        </w:tc>
      </w:tr>
      <w:tr>
        <w:trPr>
          <w:trHeight w:val="33"/>
        </w:trPr>
        <w:tc>
          <w:tcPr>
            <w:tcW w:w="4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8"/>
              </w:rPr>
              <w:t>Shares issued under the Employee Stock Purchase Plan</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20"/>
        </w:trPr>
        <w:tc>
          <w:tcPr>
            <w:tcW w:w="4020" w:type="dxa"/>
            <w:vAlign w:val="bottom"/>
          </w:tcPr>
          <w:p>
            <w:pPr>
              <w:ind w:left="40"/>
              <w:spacing w:after="0"/>
              <w:rPr>
                <w:sz w:val="20"/>
                <w:szCs w:val="20"/>
                <w:color w:val="auto"/>
              </w:rPr>
            </w:pPr>
            <w:r>
              <w:rPr>
                <w:rFonts w:ascii="Arial" w:cs="Arial" w:eastAsia="Arial" w:hAnsi="Arial"/>
                <w:sz w:val="16"/>
                <w:szCs w:val="16"/>
                <w:color w:val="auto"/>
                <w:w w:val="97"/>
              </w:rPr>
              <w:t>Exercise of warrants resulting in the issuance of common</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20" w:type="dxa"/>
            <w:vAlign w:val="bottom"/>
          </w:tcPr>
          <w:p>
            <w:pPr>
              <w:ind w:left="40"/>
              <w:spacing w:after="0"/>
              <w:rPr>
                <w:sz w:val="20"/>
                <w:szCs w:val="20"/>
                <w:color w:val="auto"/>
              </w:rPr>
            </w:pPr>
            <w:r>
              <w:rPr>
                <w:rFonts w:ascii="Arial" w:cs="Arial" w:eastAsia="Arial" w:hAnsi="Arial"/>
                <w:sz w:val="16"/>
                <w:szCs w:val="16"/>
                <w:color w:val="auto"/>
              </w:rPr>
              <w:t>stock</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360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1,727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1,727</w:t>
            </w:r>
          </w:p>
        </w:tc>
        <w:tc>
          <w:tcPr>
            <w:tcW w:w="0" w:type="dxa"/>
            <w:vAlign w:val="bottom"/>
          </w:tcPr>
          <w:p>
            <w:pPr>
              <w:spacing w:after="0"/>
              <w:rPr>
                <w:sz w:val="1"/>
                <w:szCs w:val="1"/>
                <w:color w:val="auto"/>
              </w:rPr>
            </w:pPr>
          </w:p>
        </w:tc>
      </w:tr>
      <w:tr>
        <w:trPr>
          <w:trHeight w:val="33"/>
        </w:trPr>
        <w:tc>
          <w:tcPr>
            <w:tcW w:w="4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change in warrant valuation of exercised warrants</w:t>
            </w: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2,001</w:t>
            </w:r>
          </w:p>
        </w:tc>
        <w:tc>
          <w:tcPr>
            <w:tcW w:w="0" w:type="dxa"/>
            <w:vAlign w:val="bottom"/>
          </w:tcPr>
          <w:p>
            <w:pPr>
              <w:spacing w:after="0"/>
              <w:rPr>
                <w:sz w:val="1"/>
                <w:szCs w:val="1"/>
                <w:color w:val="auto"/>
              </w:rPr>
            </w:pPr>
          </w:p>
        </w:tc>
      </w:tr>
      <w:tr>
        <w:trPr>
          <w:trHeight w:val="284"/>
        </w:trPr>
        <w:tc>
          <w:tcPr>
            <w:tcW w:w="40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BALANCE, MARCH 31, 2018</w:t>
            </w:r>
          </w:p>
        </w:tc>
        <w:tc>
          <w:tcPr>
            <w:tcW w:w="10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36,502</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389,074</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397</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(368,536)</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20,935</w:t>
            </w:r>
          </w:p>
        </w:tc>
        <w:tc>
          <w:tcPr>
            <w:tcW w:w="0" w:type="dxa"/>
            <w:vAlign w:val="bottom"/>
          </w:tcPr>
          <w:p>
            <w:pPr>
              <w:spacing w:after="0"/>
              <w:rPr>
                <w:sz w:val="1"/>
                <w:szCs w:val="1"/>
                <w:color w:val="auto"/>
              </w:rPr>
            </w:pPr>
          </w:p>
        </w:tc>
      </w:tr>
      <w:tr>
        <w:trPr>
          <w:trHeight w:val="237"/>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(4,651)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(4,651)</w:t>
            </w:r>
          </w:p>
        </w:tc>
        <w:tc>
          <w:tcPr>
            <w:tcW w:w="0" w:type="dxa"/>
            <w:vAlign w:val="bottom"/>
          </w:tcPr>
          <w:p>
            <w:pPr>
              <w:spacing w:after="0"/>
              <w:rPr>
                <w:sz w:val="1"/>
                <w:szCs w:val="1"/>
                <w:color w:val="auto"/>
              </w:rPr>
            </w:pPr>
          </w:p>
        </w:tc>
      </w:tr>
      <w:tr>
        <w:trPr>
          <w:trHeight w:val="220"/>
        </w:trPr>
        <w:tc>
          <w:tcPr>
            <w:tcW w:w="4020" w:type="dxa"/>
            <w:vAlign w:val="bottom"/>
          </w:tcPr>
          <w:p>
            <w:pPr>
              <w:ind w:left="40"/>
              <w:spacing w:after="0"/>
              <w:rPr>
                <w:sz w:val="20"/>
                <w:szCs w:val="20"/>
                <w:color w:val="auto"/>
              </w:rPr>
            </w:pPr>
            <w:r>
              <w:rPr>
                <w:rFonts w:ascii="Arial" w:cs="Arial" w:eastAsia="Arial" w:hAnsi="Arial"/>
                <w:sz w:val="16"/>
                <w:szCs w:val="16"/>
                <w:color w:val="auto"/>
                <w:w w:val="98"/>
              </w:rPr>
              <w:t>Compensation expense related to stock options granted,</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20" w:type="dxa"/>
            <w:vAlign w:val="bottom"/>
          </w:tcPr>
          <w:p>
            <w:pPr>
              <w:ind w:left="40"/>
              <w:spacing w:after="0"/>
              <w:rPr>
                <w:sz w:val="20"/>
                <w:szCs w:val="20"/>
                <w:color w:val="auto"/>
              </w:rPr>
            </w:pPr>
            <w:r>
              <w:rPr>
                <w:rFonts w:ascii="Arial" w:cs="Arial" w:eastAsia="Arial" w:hAnsi="Arial"/>
                <w:sz w:val="16"/>
                <w:szCs w:val="16"/>
                <w:color w:val="auto"/>
              </w:rPr>
              <w:t>net of forfeitures</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2,465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2,465</w:t>
            </w:r>
          </w:p>
        </w:tc>
        <w:tc>
          <w:tcPr>
            <w:tcW w:w="0" w:type="dxa"/>
            <w:vAlign w:val="bottom"/>
          </w:tcPr>
          <w:p>
            <w:pPr>
              <w:spacing w:after="0"/>
              <w:rPr>
                <w:sz w:val="1"/>
                <w:szCs w:val="1"/>
                <w:color w:val="auto"/>
              </w:rPr>
            </w:pPr>
          </w:p>
        </w:tc>
      </w:tr>
      <w:tr>
        <w:trPr>
          <w:trHeight w:val="33"/>
        </w:trPr>
        <w:tc>
          <w:tcPr>
            <w:tcW w:w="4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Issuance of common stock, net of issuance costs</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70,090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70,090</w:t>
            </w:r>
          </w:p>
        </w:tc>
        <w:tc>
          <w:tcPr>
            <w:tcW w:w="0" w:type="dxa"/>
            <w:vAlign w:val="bottom"/>
          </w:tcPr>
          <w:p>
            <w:pPr>
              <w:spacing w:after="0"/>
              <w:rPr>
                <w:sz w:val="1"/>
                <w:szCs w:val="1"/>
                <w:color w:val="auto"/>
              </w:rPr>
            </w:pPr>
          </w:p>
        </w:tc>
      </w:tr>
      <w:tr>
        <w:trPr>
          <w:trHeight w:val="237"/>
        </w:trPr>
        <w:tc>
          <w:tcPr>
            <w:tcW w:w="4020" w:type="dxa"/>
            <w:vAlign w:val="bottom"/>
          </w:tcPr>
          <w:p>
            <w:pPr>
              <w:ind w:left="40"/>
              <w:spacing w:after="0"/>
              <w:rPr>
                <w:sz w:val="20"/>
                <w:szCs w:val="20"/>
                <w:color w:val="auto"/>
              </w:rPr>
            </w:pPr>
            <w:r>
              <w:rPr>
                <w:rFonts w:ascii="Arial" w:cs="Arial" w:eastAsia="Arial" w:hAnsi="Arial"/>
                <w:sz w:val="16"/>
                <w:szCs w:val="16"/>
                <w:color w:val="auto"/>
              </w:rPr>
              <w:t>Stock option exercises</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306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964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964</w:t>
            </w:r>
          </w:p>
        </w:tc>
        <w:tc>
          <w:tcPr>
            <w:tcW w:w="0" w:type="dxa"/>
            <w:vAlign w:val="bottom"/>
          </w:tcPr>
          <w:p>
            <w:pPr>
              <w:spacing w:after="0"/>
              <w:rPr>
                <w:sz w:val="1"/>
                <w:szCs w:val="1"/>
                <w:color w:val="auto"/>
              </w:rPr>
            </w:pPr>
          </w:p>
        </w:tc>
      </w:tr>
      <w:tr>
        <w:trPr>
          <w:trHeight w:val="33"/>
        </w:trPr>
        <w:tc>
          <w:tcPr>
            <w:tcW w:w="4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8"/>
              </w:rPr>
              <w:t>Shares issued under the Employee Stock Purchase Plan</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220"/>
        </w:trPr>
        <w:tc>
          <w:tcPr>
            <w:tcW w:w="4020" w:type="dxa"/>
            <w:vAlign w:val="bottom"/>
          </w:tcPr>
          <w:p>
            <w:pPr>
              <w:ind w:left="40"/>
              <w:spacing w:after="0"/>
              <w:rPr>
                <w:sz w:val="20"/>
                <w:szCs w:val="20"/>
                <w:color w:val="auto"/>
              </w:rPr>
            </w:pPr>
            <w:r>
              <w:rPr>
                <w:rFonts w:ascii="Arial" w:cs="Arial" w:eastAsia="Arial" w:hAnsi="Arial"/>
                <w:sz w:val="16"/>
                <w:szCs w:val="16"/>
                <w:color w:val="auto"/>
                <w:w w:val="97"/>
              </w:rPr>
              <w:t>Exercise of warrants resulting in the issuance of common</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20" w:type="dxa"/>
            <w:vAlign w:val="bottom"/>
          </w:tcPr>
          <w:p>
            <w:pPr>
              <w:ind w:left="40"/>
              <w:spacing w:after="0"/>
              <w:rPr>
                <w:sz w:val="20"/>
                <w:szCs w:val="20"/>
                <w:color w:val="auto"/>
              </w:rPr>
            </w:pPr>
            <w:r>
              <w:rPr>
                <w:rFonts w:ascii="Arial" w:cs="Arial" w:eastAsia="Arial" w:hAnsi="Arial"/>
                <w:sz w:val="16"/>
                <w:szCs w:val="16"/>
                <w:color w:val="auto"/>
              </w:rPr>
              <w:t>stock</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333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33"/>
        </w:trPr>
        <w:tc>
          <w:tcPr>
            <w:tcW w:w="4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change in warrant valuation of exercised warrants</w:t>
            </w: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409</w:t>
            </w:r>
          </w:p>
        </w:tc>
        <w:tc>
          <w:tcPr>
            <w:tcW w:w="0" w:type="dxa"/>
            <w:vAlign w:val="bottom"/>
          </w:tcPr>
          <w:p>
            <w:pPr>
              <w:spacing w:after="0"/>
              <w:rPr>
                <w:sz w:val="1"/>
                <w:szCs w:val="1"/>
                <w:color w:val="auto"/>
              </w:rPr>
            </w:pPr>
          </w:p>
        </w:tc>
      </w:tr>
      <w:tr>
        <w:trPr>
          <w:trHeight w:val="284"/>
        </w:trPr>
        <w:tc>
          <w:tcPr>
            <w:tcW w:w="40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BALANCE, JUNE 30, 2018</w:t>
            </w:r>
          </w:p>
        </w:tc>
        <w:tc>
          <w:tcPr>
            <w:tcW w:w="10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42,684</w:t>
            </w:r>
          </w:p>
        </w:tc>
        <w:tc>
          <w:tcPr>
            <w:tcW w:w="120" w:type="dxa"/>
            <w:vAlign w:val="bottom"/>
            <w:tcBorders>
              <w:top w:val="single" w:sz="8" w:color="auto"/>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463,483</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302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(373,187)</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90,598</w:t>
            </w:r>
          </w:p>
        </w:tc>
        <w:tc>
          <w:tcPr>
            <w:tcW w:w="0" w:type="dxa"/>
            <w:vAlign w:val="bottom"/>
          </w:tcPr>
          <w:p>
            <w:pPr>
              <w:spacing w:after="0"/>
              <w:rPr>
                <w:sz w:val="1"/>
                <w:szCs w:val="1"/>
                <w:color w:val="auto"/>
              </w:rPr>
            </w:pPr>
          </w:p>
        </w:tc>
      </w:tr>
      <w:tr>
        <w:trPr>
          <w:trHeight w:val="237"/>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(1,069)</w:t>
            </w:r>
          </w:p>
        </w:tc>
        <w:tc>
          <w:tcPr>
            <w:tcW w:w="0" w:type="dxa"/>
            <w:vAlign w:val="bottom"/>
          </w:tcPr>
          <w:p>
            <w:pPr>
              <w:spacing w:after="0"/>
              <w:rPr>
                <w:sz w:val="1"/>
                <w:szCs w:val="1"/>
                <w:color w:val="auto"/>
              </w:rPr>
            </w:pPr>
          </w:p>
        </w:tc>
      </w:tr>
      <w:tr>
        <w:trPr>
          <w:trHeight w:val="220"/>
        </w:trPr>
        <w:tc>
          <w:tcPr>
            <w:tcW w:w="4020" w:type="dxa"/>
            <w:vAlign w:val="bottom"/>
          </w:tcPr>
          <w:p>
            <w:pPr>
              <w:ind w:left="40"/>
              <w:spacing w:after="0"/>
              <w:rPr>
                <w:sz w:val="20"/>
                <w:szCs w:val="20"/>
                <w:color w:val="auto"/>
              </w:rPr>
            </w:pPr>
            <w:r>
              <w:rPr>
                <w:rFonts w:ascii="Arial" w:cs="Arial" w:eastAsia="Arial" w:hAnsi="Arial"/>
                <w:sz w:val="16"/>
                <w:szCs w:val="16"/>
                <w:color w:val="auto"/>
                <w:w w:val="98"/>
              </w:rPr>
              <w:t>Compensation expense related to stock options granted,</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20" w:type="dxa"/>
            <w:vAlign w:val="bottom"/>
          </w:tcPr>
          <w:p>
            <w:pPr>
              <w:ind w:left="40"/>
              <w:spacing w:after="0"/>
              <w:rPr>
                <w:sz w:val="20"/>
                <w:szCs w:val="20"/>
                <w:color w:val="auto"/>
              </w:rPr>
            </w:pPr>
            <w:r>
              <w:rPr>
                <w:rFonts w:ascii="Arial" w:cs="Arial" w:eastAsia="Arial" w:hAnsi="Arial"/>
                <w:sz w:val="16"/>
                <w:szCs w:val="16"/>
                <w:color w:val="auto"/>
              </w:rPr>
              <w:t>net of forfeitures</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1,932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1,932</w:t>
            </w:r>
          </w:p>
        </w:tc>
        <w:tc>
          <w:tcPr>
            <w:tcW w:w="0" w:type="dxa"/>
            <w:vAlign w:val="bottom"/>
          </w:tcPr>
          <w:p>
            <w:pPr>
              <w:spacing w:after="0"/>
              <w:rPr>
                <w:sz w:val="1"/>
                <w:szCs w:val="1"/>
                <w:color w:val="auto"/>
              </w:rPr>
            </w:pPr>
          </w:p>
        </w:tc>
      </w:tr>
      <w:tr>
        <w:trPr>
          <w:trHeight w:val="33"/>
        </w:trPr>
        <w:tc>
          <w:tcPr>
            <w:tcW w:w="4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option exercises</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952</w:t>
            </w:r>
          </w:p>
        </w:tc>
        <w:tc>
          <w:tcPr>
            <w:tcW w:w="0" w:type="dxa"/>
            <w:vAlign w:val="bottom"/>
          </w:tcPr>
          <w:p>
            <w:pPr>
              <w:spacing w:after="0"/>
              <w:rPr>
                <w:sz w:val="1"/>
                <w:szCs w:val="1"/>
                <w:color w:val="auto"/>
              </w:rPr>
            </w:pPr>
          </w:p>
        </w:tc>
      </w:tr>
      <w:tr>
        <w:trPr>
          <w:trHeight w:val="237"/>
        </w:trPr>
        <w:tc>
          <w:tcPr>
            <w:tcW w:w="4020" w:type="dxa"/>
            <w:vAlign w:val="bottom"/>
          </w:tcPr>
          <w:p>
            <w:pPr>
              <w:ind w:left="40"/>
              <w:spacing w:after="0"/>
              <w:rPr>
                <w:sz w:val="20"/>
                <w:szCs w:val="20"/>
                <w:color w:val="auto"/>
              </w:rPr>
            </w:pPr>
            <w:r>
              <w:rPr>
                <w:rFonts w:ascii="Arial" w:cs="Arial" w:eastAsia="Arial" w:hAnsi="Arial"/>
                <w:sz w:val="16"/>
                <w:szCs w:val="16"/>
                <w:color w:val="auto"/>
                <w:w w:val="98"/>
              </w:rPr>
              <w:t>Shares issued under the Employee Stock Purchase Plan</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33"/>
        </w:trPr>
        <w:tc>
          <w:tcPr>
            <w:tcW w:w="4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Exercise of warrants resulting in the issuance of common</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751</w:t>
            </w:r>
          </w:p>
        </w:tc>
        <w:tc>
          <w:tcPr>
            <w:tcW w:w="0" w:type="dxa"/>
            <w:vAlign w:val="bottom"/>
          </w:tcPr>
          <w:p>
            <w:pPr>
              <w:spacing w:after="0"/>
              <w:rPr>
                <w:sz w:val="1"/>
                <w:szCs w:val="1"/>
                <w:color w:val="auto"/>
              </w:rPr>
            </w:pPr>
          </w:p>
        </w:tc>
      </w:tr>
      <w:tr>
        <w:trPr>
          <w:trHeight w:val="237"/>
        </w:trPr>
        <w:tc>
          <w:tcPr>
            <w:tcW w:w="4020" w:type="dxa"/>
            <w:vAlign w:val="bottom"/>
          </w:tcPr>
          <w:p>
            <w:pPr>
              <w:ind w:left="40"/>
              <w:spacing w:after="0"/>
              <w:rPr>
                <w:sz w:val="20"/>
                <w:szCs w:val="20"/>
                <w:color w:val="auto"/>
              </w:rPr>
            </w:pPr>
            <w:r>
              <w:rPr>
                <w:rFonts w:ascii="Arial" w:cs="Arial" w:eastAsia="Arial" w:hAnsi="Arial"/>
                <w:sz w:val="16"/>
                <w:szCs w:val="16"/>
                <w:color w:val="auto"/>
              </w:rPr>
              <w:t>Net change in warrant valuation of exercised warrants</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1,129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1,129</w:t>
            </w:r>
          </w:p>
        </w:tc>
        <w:tc>
          <w:tcPr>
            <w:tcW w:w="0" w:type="dxa"/>
            <w:vAlign w:val="bottom"/>
          </w:tcPr>
          <w:p>
            <w:pPr>
              <w:spacing w:after="0"/>
              <w:rPr>
                <w:sz w:val="1"/>
                <w:szCs w:val="1"/>
                <w:color w:val="auto"/>
              </w:rPr>
            </w:pPr>
          </w:p>
        </w:tc>
      </w:tr>
      <w:tr>
        <w:trPr>
          <w:trHeight w:val="33"/>
        </w:trPr>
        <w:tc>
          <w:tcPr>
            <w:tcW w:w="4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 in unrealized gain (loss) on investments</w:t>
            </w: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44"/>
        </w:trPr>
        <w:tc>
          <w:tcPr>
            <w:tcW w:w="4020" w:type="dxa"/>
            <w:vAlign w:val="bottom"/>
          </w:tcPr>
          <w:p>
            <w:pPr>
              <w:ind w:left="40"/>
              <w:spacing w:after="0"/>
              <w:rPr>
                <w:sz w:val="20"/>
                <w:szCs w:val="20"/>
                <w:color w:val="auto"/>
              </w:rPr>
            </w:pPr>
            <w:r>
              <w:rPr>
                <w:rFonts w:ascii="Arial" w:cs="Arial" w:eastAsia="Arial" w:hAnsi="Arial"/>
                <w:sz w:val="16"/>
                <w:szCs w:val="16"/>
                <w:color w:val="auto"/>
              </w:rPr>
              <w:t>BALANCE, SEPTEMBER 30, 2018</w:t>
            </w:r>
          </w:p>
        </w:tc>
        <w:tc>
          <w:tcPr>
            <w:tcW w:w="10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43,170</w:t>
            </w:r>
          </w:p>
        </w:tc>
        <w:tc>
          <w:tcPr>
            <w:tcW w:w="12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468,447</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(374,256)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94,475</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VERICEL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51"/>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83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23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(19,166)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(13,379)</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for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Depreciation and amortization expense</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1,133</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5,739</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Change in fair value of warrants</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2,524</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sale of fixed assets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Foreign currency translation loss</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49</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premiums and discounts on marketable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Non-cash lease cost</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operating assets and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Inventory</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155</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2,742</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Prepaid and other current assets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(758)</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(1,212)</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Accrued expenses</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lease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Other assets and liabilities, net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Net cash used in operating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(10,333)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(3,023)</w:t>
            </w:r>
          </w:p>
        </w:tc>
      </w:tr>
      <w:tr>
        <w:trPr>
          <w:trHeight w:val="223"/>
        </w:trPr>
        <w:tc>
          <w:tcPr>
            <w:tcW w:w="836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2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Purchases of short-term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(44,480)</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Maturities of short-term investments</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73,777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Expenditures for property, plant and equipment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(2,101)</w:t>
            </w: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Net cash provided by (used in) investing activities</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25,219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(46,581)</w:t>
            </w: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Net proceeds from equity offering</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70,028</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proceeds from common stock issuance due to stock option exercises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3,310</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Proceeds from exercise of warrants</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2,716</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3,733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76,031</w:t>
            </w: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26,427</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18,286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26,862</w:t>
            </w: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36,905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53,289</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96"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2019 (UNAUDITED)</w:t>
      </w:r>
    </w:p>
    <w:p>
      <w:pPr>
        <w:spacing w:after="0" w:line="207"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29" w:lineRule="exact"/>
        <w:rPr>
          <w:sz w:val="20"/>
          <w:szCs w:val="20"/>
          <w:color w:val="auto"/>
        </w:rPr>
      </w:pPr>
    </w:p>
    <w:p>
      <w:pPr>
        <w:jc w:val="both"/>
        <w:ind w:firstLine="243"/>
        <w:spacing w:after="0" w:line="243" w:lineRule="auto"/>
        <w:rPr>
          <w:sz w:val="20"/>
          <w:szCs w:val="20"/>
          <w:color w:val="auto"/>
        </w:rPr>
      </w:pPr>
      <w:r>
        <w:rPr>
          <w:rFonts w:ascii="Arial" w:cs="Arial" w:eastAsia="Arial" w:hAnsi="Arial"/>
          <w:sz w:val="17"/>
          <w:szCs w:val="17"/>
          <w:color w:val="auto"/>
        </w:rPr>
        <w:t xml:space="preserve">Vericel Corporation, a Michigan corporation (together with its consolidated subsidiaries referred to herein as the Company, Vericel, we, us or our), was incorporated in March 1989 and began employee-based operations in 1991. On May 30, 2014, Vericel completed the acquisition of certain assets and assumed certain liabilities of Sanofi, a French </w:t>
      </w:r>
      <w:r>
        <w:rPr>
          <w:rFonts w:ascii="Arial" w:cs="Arial" w:eastAsia="Arial" w:hAnsi="Arial"/>
          <w:sz w:val="17"/>
          <w:szCs w:val="17"/>
          <w:i w:val="1"/>
          <w:iCs w:val="1"/>
          <w:color w:val="auto"/>
        </w:rPr>
        <w:t>société anonyme</w:t>
      </w:r>
      <w:r>
        <w:rPr>
          <w:rFonts w:ascii="Arial" w:cs="Arial" w:eastAsia="Arial" w:hAnsi="Arial"/>
          <w:sz w:val="17"/>
          <w:szCs w:val="17"/>
          <w:color w:val="auto"/>
        </w:rPr>
        <w:t xml:space="preserve"> (Sanofi), including all of the outstanding equity interests of Genzyme Biosurgery ApS (Genzyme Denmark or the Danish subsidiary) (now known as Vericel Denmark ApS), a wholly-owned subsidiary of Sanofi, and a portfolio of patents and patent applications of Sanofi and certain of its subsidiaries for purposes of acquiring the portion of the cell therapy and regenerative medicine business related to the MACI</w:t>
      </w:r>
      <w:r>
        <w:rPr>
          <w:rFonts w:ascii="Arial" w:cs="Arial" w:eastAsia="Arial" w:hAnsi="Arial"/>
          <w:sz w:val="24"/>
          <w:szCs w:val="24"/>
          <w:color w:val="auto"/>
          <w:vertAlign w:val="superscript"/>
        </w:rPr>
        <w:t>®</w:t>
      </w:r>
      <w:r>
        <w:rPr>
          <w:rFonts w:ascii="Arial" w:cs="Arial" w:eastAsia="Arial" w:hAnsi="Arial"/>
          <w:sz w:val="17"/>
          <w:szCs w:val="17"/>
          <w:color w:val="auto"/>
        </w:rPr>
        <w:t>, Epicel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Carticel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products. The Company is a fully integrated, commercial-stage biopharmaceutical company and currently markets MACI and Epicel in the U.S. and holds exclusive rights to commercialize NexoBrid</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in all countries of North America. The Company is a leader in advanced cell therapies for the sports medicine and severe burn care markets.</w:t>
      </w:r>
    </w:p>
    <w:p>
      <w:pPr>
        <w:spacing w:after="0" w:line="198"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7"/>
          <w:szCs w:val="17"/>
          <w:color w:val="auto"/>
        </w:rPr>
        <w:t>MACI (autologous cultured chondrocytes on porcine collagen membrane) is an autologous cellularized scaffold product indicated for the repair of symptomatic, single or multiple full-thickness cartilage defects of the knee with or without bone involvement in adults. At the end of the second quarter of 2017, the Company removed Carticel (autologous cultured chondrocytes), an earlier generation autologous chrondocyte implant (ACI) product, from the market. The Company also markets Epicel (cultured epidermal autografts), a permanent skin replacement Humanitarian Use Device (HUD) for the treatment of adult and pediatric patients with deep-dermal or full-thickness burns greater than or equal to 30 percent of total body surface area (TBSA). In May 2019, the Company also entered into exclusive license and supply agreements with MediWound Ltd. (MediWound) to commercialize NexoBrid</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in all countries in North America. NexoBrid is a topically-administered biological product that enzymatically removes nonviable burn tissue, or eschar, in patients with deep partial and full-thickness thermal burns. NexoBrid is currently in clinical development in North America, and a U.S. Biologics License Application (BLA) currently is targeted for submission to the U.S. Food and Drug Administration (FDA) in the second quarter of 2020. The Company operates its business primarily in the U.S. in one reportable segment — the research, product development, manufacture and distribution of advanced therapies for use in the treatment of specific diseases.</w:t>
      </w:r>
    </w:p>
    <w:p>
      <w:pPr>
        <w:spacing w:after="0" w:line="195"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222222"/>
        </w:rPr>
        <w:t xml:space="preserve">The accompanying condensed consolidated financial statements have been prepared on a basis, which assumes that the Company will continue as a going concern and contemplates the realization of assets and satisfaction of liabilities and commitments in the normal course of business. As of September 30, 2019, the Company has an accumulated deficit of $388.2 million and had net income of $3.5 million and a net loss of $19.2 million during the three and nine months ended September 30, 2019. The Company had cash and cash equivalents of $36.9 million, and short-term investments of $37.8 million as of September 30, 2019. The Company expects that existing cash, cash equivalents and short-term investments will be sufficient to support the Company's </w:t>
      </w:r>
      <w:r>
        <w:rPr>
          <w:rFonts w:ascii="Arial" w:cs="Arial" w:eastAsia="Arial" w:hAnsi="Arial"/>
          <w:sz w:val="17"/>
          <w:szCs w:val="17"/>
          <w:color w:val="000000"/>
        </w:rPr>
        <w:t xml:space="preserve">current operations through at least 12 months from the issuance of these financial statements. </w:t>
      </w:r>
      <w:r>
        <w:rPr>
          <w:rFonts w:ascii="Arial" w:cs="Arial" w:eastAsia="Arial" w:hAnsi="Arial"/>
          <w:sz w:val="17"/>
          <w:szCs w:val="17"/>
          <w:color w:val="222222"/>
        </w:rPr>
        <w:t>The Company may seek additional funding through debt or</w:t>
      </w:r>
      <w:r>
        <w:rPr>
          <w:rFonts w:ascii="Arial" w:cs="Arial" w:eastAsia="Arial" w:hAnsi="Arial"/>
          <w:sz w:val="17"/>
          <w:szCs w:val="17"/>
          <w:color w:val="000000"/>
        </w:rPr>
        <w:t xml:space="preserve"> </w:t>
      </w:r>
      <w:r>
        <w:rPr>
          <w:rFonts w:ascii="Arial" w:cs="Arial" w:eastAsia="Arial" w:hAnsi="Arial"/>
          <w:sz w:val="17"/>
          <w:szCs w:val="17"/>
          <w:color w:val="222222"/>
        </w:rPr>
        <w:t>equity financings. However, the Company may not be able to obtain financing on acceptable terms or at all. The terms of any financing may adversely affect the holdings or the rights of the Company's shareholders.</w:t>
      </w:r>
    </w:p>
    <w:p>
      <w:pPr>
        <w:spacing w:after="0" w:line="391"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 condensed consolidated balance sheet as of December 31, 2018 was derived from audited financial statements but does not include all disclosures required by accounting principles generally accepted in the United States of America (U.S. GAAP). The accompanying condensed consolidated financial statements as of September 30, 2019 and for the three and nine months ended September 30, 2019 are unaudited and have been prepared in accordance with the rules and regulations of the U.S. Securities and Exchange Commission (SEC). The preparation of condensed consolidated financial statements in conformity with generally accepted accounting principles in U.S. GAAP requires management to make estimates, judgments, and assumptions that may affect the reported amounts of assets, liabilities, equity, revenues and expenses. Certain information and footnote disclosures normally included in financial statements prepared in accordance with U.S. GAAP have been omitted pursuant to such rules and regulations. The financial statements reflect, in the opinion of management, all adjustments (consisting only of normal, recurring adjustments) necessary to state fairly the financial position and results of operations as of and for the periods indicated.</w:t>
      </w:r>
    </w:p>
    <w:p>
      <w:pPr>
        <w:spacing w:after="0" w:line="197" w:lineRule="exact"/>
        <w:rPr>
          <w:sz w:val="20"/>
          <w:szCs w:val="20"/>
          <w:color w:val="auto"/>
        </w:rPr>
      </w:pPr>
    </w:p>
    <w:p>
      <w:pPr>
        <w:jc w:val="both"/>
        <w:ind w:right="20" w:firstLine="243"/>
        <w:spacing w:after="0" w:line="342" w:lineRule="auto"/>
        <w:rPr>
          <w:sz w:val="20"/>
          <w:szCs w:val="20"/>
          <w:color w:val="auto"/>
        </w:rPr>
      </w:pPr>
      <w:r>
        <w:rPr>
          <w:rFonts w:ascii="Arial" w:cs="Arial" w:eastAsia="Arial" w:hAnsi="Arial"/>
          <w:sz w:val="16"/>
          <w:szCs w:val="16"/>
          <w:color w:val="auto"/>
        </w:rPr>
        <w:t>These condensed consolidated financial statements should be read in conjunction with the audited consolidated financial statements and the notes thereto included in our Annual Report on Form 10-K for the year ended December 31, 2018, as filed with the SEC on February 26, 2019 (Annual Report).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Consolidated Statement of Cash Flows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presents certain supplementary cash flows information for the nine months ended September 30, 2019 and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54"/>
              <w:spacing w:after="0"/>
              <w:rPr>
                <w:sz w:val="20"/>
                <w:szCs w:val="20"/>
                <w:color w:val="auto"/>
              </w:rPr>
            </w:pPr>
            <w:r>
              <w:rPr>
                <w:rFonts w:ascii="Arial" w:cs="Arial" w:eastAsia="Arial" w:hAnsi="Arial"/>
                <w:sz w:val="14"/>
                <w:szCs w:val="14"/>
                <w:b w:val="1"/>
                <w:bCs w:val="1"/>
                <w:color w:val="auto"/>
              </w:rPr>
              <w:t>Nine Months Ended September 30,</w:t>
            </w:r>
          </w:p>
        </w:tc>
      </w:tr>
      <w:tr>
        <w:trPr>
          <w:trHeight w:val="263"/>
        </w:trPr>
        <w:tc>
          <w:tcPr>
            <w:tcW w:w="83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Supplementary Cash Flows information:</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Warrants exercised for common stock</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3,538</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Interest paid (net of interest capitalized)</w:t>
            </w:r>
          </w:p>
        </w:tc>
        <w:tc>
          <w:tcPr>
            <w:tcW w:w="28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1,161</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 to equipment in process included in accounts payable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191</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Right-of-use asset and lease liability recognized</w:t>
            </w:r>
          </w:p>
        </w:tc>
        <w:tc>
          <w:tcPr>
            <w:tcW w:w="28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2,338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41" w:lineRule="exact"/>
        <w:rPr>
          <w:sz w:val="20"/>
          <w:szCs w:val="20"/>
          <w:color w:val="auto"/>
        </w:rPr>
      </w:pPr>
    </w:p>
    <w:p>
      <w:pPr>
        <w:ind w:right="8300" w:firstLine="8"/>
        <w:spacing w:after="0" w:line="566" w:lineRule="auto"/>
        <w:tabs>
          <w:tab w:leader="none" w:pos="324"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Recent Accounting Pronouncements Accounting for Leases</w:t>
      </w:r>
    </w:p>
    <w:p>
      <w:pPr>
        <w:spacing w:after="0" w:line="1"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The Financial Accounting Standards Board (FASB) issued guidance to increase transparency and comparability among organizations by recognizing lease assets and lease liabilities on the balance sheet and disclosing key information about leasing arrangements. In accordance with the updated guidance, lessees are required to recognize the assets and liabilities arising from operating leases on the balance sheet. The guidance is effective for annual reporting periods beginning after December 15, 2018. The leasing Accounting Standard Update 2016-02 became effective for the Company on January 1, 2019 and was adopted using the modified retrospective method. See note 7 for further discussion.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Measuring Credit Losses on Financial Instruments</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The FASB issued updated guidance on measuring credit losses on financial instruments. The guidance removes the probable loss thresholds that companies apply to measure credit losses on financial instruments measured at amortized cost, such as loans, receivables, and held-to-maturity debt securities and available-for-sale debt securities with unrealized losses. Prior to the updated guidance, credit losses are recognized when it is probable that the loss has been incurred. Companies are required to recognize an allowance for credit losses for the difference between the amortized cost basis of a financial instrument and the amount of amortized cost that a company expected to collect over the instrument’s contractual life. </w:t>
      </w:r>
      <w:r>
        <w:rPr>
          <w:rFonts w:ascii="Arial" w:cs="Arial" w:eastAsia="Arial" w:hAnsi="Arial"/>
          <w:sz w:val="17"/>
          <w:szCs w:val="17"/>
          <w:color w:val="212529"/>
        </w:rPr>
        <w:t>The measurement of expected credit losses is</w:t>
      </w:r>
      <w:r>
        <w:rPr>
          <w:rFonts w:ascii="Arial" w:cs="Arial" w:eastAsia="Arial" w:hAnsi="Arial"/>
          <w:sz w:val="17"/>
          <w:szCs w:val="17"/>
          <w:color w:val="auto"/>
        </w:rPr>
        <w:t xml:space="preserve"> </w:t>
      </w:r>
      <w:r>
        <w:rPr>
          <w:rFonts w:ascii="Arial" w:cs="Arial" w:eastAsia="Arial" w:hAnsi="Arial"/>
          <w:sz w:val="17"/>
          <w:szCs w:val="17"/>
          <w:color w:val="212529"/>
        </w:rPr>
        <w:t xml:space="preserve">based on relevant information about past events, including historical experience, current conditions and reasonable and supportable forecasts that affect the collectability of the reported amount. </w:t>
      </w:r>
      <w:r>
        <w:rPr>
          <w:rFonts w:ascii="Arial" w:cs="Arial" w:eastAsia="Arial" w:hAnsi="Arial"/>
          <w:sz w:val="17"/>
          <w:szCs w:val="17"/>
          <w:color w:val="000000"/>
        </w:rPr>
        <w:t>The guidance is effective for annual reporting periods beginning after December 15, 2019. The Company is currently in</w:t>
      </w:r>
      <w:r>
        <w:rPr>
          <w:rFonts w:ascii="Arial" w:cs="Arial" w:eastAsia="Arial" w:hAnsi="Arial"/>
          <w:sz w:val="17"/>
          <w:szCs w:val="17"/>
          <w:color w:val="212529"/>
        </w:rPr>
        <w:t xml:space="preserve"> </w:t>
      </w:r>
      <w:r>
        <w:rPr>
          <w:rFonts w:ascii="Arial" w:cs="Arial" w:eastAsia="Arial" w:hAnsi="Arial"/>
          <w:sz w:val="17"/>
          <w:szCs w:val="17"/>
          <w:color w:val="000000"/>
        </w:rPr>
        <w:t>the process of evaluating the impact to its consolidated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and Net Product Sales</w:t>
      </w:r>
    </w:p>
    <w:p>
      <w:pPr>
        <w:spacing w:after="0" w:line="171"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 xml:space="preserve">The Company recognizes product revenue from sales of MACI kits, MACI implants and Epicel grafts following the five step model in Accounting Standards Codification 606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(ASC 606).</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MACI Kits</w:t>
      </w:r>
    </w:p>
    <w:p>
      <w:pPr>
        <w:spacing w:after="0" w:line="333"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MACI kits are sold directly to hospitals based on contracted rates in the approved contract or sales order. The Company recognizes MACI kit revenue upon delivery of the biopsy kit at which time the customer (the facility) is in control of the kit. The kit provides the doctor the ability to biopsy a sampling of cells to provide to the Company that can be used later to manufacture the implant. The ordering of the kit does not obligate the Company to manufacture an implant nor does the receipt of the cell tissue. The customer’s order of an implant is separate from the process of ordering the kit. Therefore, the sale of the kit and any subsequent sale of an implant are distinct contracts and are accounted for separately.</w:t>
      </w:r>
    </w:p>
    <w:p>
      <w:pPr>
        <w:spacing w:after="0" w:line="2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MACI Implants</w:t>
      </w:r>
    </w:p>
    <w:p>
      <w:pPr>
        <w:spacing w:after="0" w:line="171"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8"/>
          <w:szCs w:val="18"/>
          <w:color w:val="auto"/>
        </w:rPr>
        <w:t>From July 1, 2017 until June 15, 2018 the Company sold MACI primarily to distributors and directly to hospitals or patients at contracted rates. Beginning on June 16, 2018, the Company contracted with a specialty pharmacy, Orsini Pharmaceutical Services, Inc. (Orsini) to distribute its MACI product in arrangements whereby the Company retains the credit and collection risk from the end customer. Since July 26, 2018, the Company has also contracted with AllCare Plus Pharmacy, Inc. (AllCare), a specialty pharmacy, in arrangements whereby the Company retains the credit and collection risk from the end customer. The</w:t>
      </w:r>
    </w:p>
    <w:p>
      <w:pPr>
        <w:sectPr>
          <w:pgSz w:w="11900" w:h="16838" w:orient="portrait"/>
          <w:cols w:equalWidth="0" w:num="1">
            <w:col w:w="11420"/>
          </w:cols>
          <w:pgMar w:left="240" w:top="800"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800" w:right="239" w:bottom="1440" w:gutter="0" w:footer="0" w:header="0"/>
          <w:type w:val="continuous"/>
        </w:sectPr>
      </w:pPr>
    </w:p>
    <w:bookmarkStart w:id="10" w:name="page11"/>
    <w:bookmarkEnd w:id="10"/>
    <w:p>
      <w:pPr>
        <w:jc w:val="both"/>
        <w:spacing w:after="0" w:line="264" w:lineRule="auto"/>
        <w:rPr>
          <w:sz w:val="20"/>
          <w:szCs w:val="20"/>
          <w:color w:val="auto"/>
        </w:rPr>
      </w:pPr>
      <w:r>
        <w:rPr>
          <w:rFonts w:ascii="Arial" w:cs="Arial" w:eastAsia="Arial" w:hAnsi="Arial"/>
          <w:sz w:val="18"/>
          <w:szCs w:val="18"/>
          <w:color w:val="auto"/>
        </w:rPr>
        <w:t>Company pays both specialty pharmacies a fee for each patient to whom MACI is dispensed. Both Orsini and AllCare perform collection activities to receive payment from customers. The Company has engaged a third-party services provider to provide the patient support program to manage patient cases and to ensure complete and correct billing information is provided to the insurers and hospitals.</w:t>
      </w:r>
    </w:p>
    <w:p>
      <w:pPr>
        <w:spacing w:after="0" w:line="181"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color w:val="auto"/>
        </w:rPr>
        <w:t>In addition, the Company also sells MACI directly to DMS Pharmaceutical (DMS) for all military implants. The sales directly to DMS are sold at a contracted rate.</w:t>
      </w:r>
    </w:p>
    <w:p>
      <w:pPr>
        <w:spacing w:after="0" w:line="17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Prior authorization and confirmation of coverage level by the patient’s private insurance plan, hospital or government payer is a prerequisite to the shipment of product to a patient. The Company recognizes product revenues from sales of all MACI implants upon delivery at which time the customer obtains control of the implant and the claim is billable. The total consideration which the Company expects to collect in exchange for MACI implants (the transaction price) may be fixed or variable. Direct sales to hospitals or distributors are recorded at a contracted price, and other than customary prompt pay discounts, there are typically no forms of variable consideration.</w:t>
      </w:r>
    </w:p>
    <w:p>
      <w:pPr>
        <w:spacing w:after="0" w:line="188" w:lineRule="exact"/>
        <w:rPr>
          <w:sz w:val="20"/>
          <w:szCs w:val="20"/>
          <w:color w:val="auto"/>
        </w:rPr>
      </w:pPr>
    </w:p>
    <w:p>
      <w:pPr>
        <w:jc w:val="both"/>
        <w:ind w:firstLine="216"/>
        <w:spacing w:after="0" w:line="290" w:lineRule="auto"/>
        <w:rPr>
          <w:sz w:val="20"/>
          <w:szCs w:val="20"/>
          <w:color w:val="auto"/>
        </w:rPr>
      </w:pPr>
      <w:r>
        <w:rPr>
          <w:rFonts w:ascii="Arial" w:cs="Arial" w:eastAsia="Arial" w:hAnsi="Arial"/>
          <w:sz w:val="16"/>
          <w:szCs w:val="16"/>
          <w:color w:val="auto"/>
        </w:rPr>
        <w:t>When the Company sells MACI, the patient is responsible for payment, however, the Company is typically reimbursed by a third-party insurer or government payer, subject to a patient co-pay amount. Reimbursements from third-party insurers and government payers vary by patient and payer and are based on either contracted rates, publicly available rates, government fee schedules or past payer precedents. Net product revenues recognized consist of amounts billed net of contractual allowances for differences between amounts billed and the estimated consideration the Company expects to receive from the transaction. The Company estimates the amount of consideration it expects to receive for these transactions using the portfolio approach. These estimates include the impact of contractual allowances, which considers historical collection experience from both the payer and patient, denial rates and the terms of the Company’s contractual arrangements. The Company records a reduction to revenue at the time of sale for its estimate of the amount of consideration that will not be collected. The allowance for uncollectible consideration was $4.2 million as of September 30, 2019 and $2.0 million at December 31, 2018.</w:t>
      </w:r>
    </w:p>
    <w:p>
      <w:pPr>
        <w:spacing w:after="0" w:line="166"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Changes in estimates of the transaction price are recorded through revenue in the period in which such change occurs. Changes in estimates related to prior period sales resulted in a $0.7 million and $0.4 million increase to revenue for the three and nine months ended September 30, 2019, respectively and an increase to revenue of $0.1 million and a decrease to revenue of $0.3 million for the three and nine months ended September 30, 2018, respectively.</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Epicel</w:t>
      </w:r>
    </w:p>
    <w:p>
      <w:pPr>
        <w:spacing w:after="0" w:line="333" w:lineRule="exact"/>
        <w:rPr>
          <w:sz w:val="20"/>
          <w:szCs w:val="20"/>
          <w:color w:val="auto"/>
        </w:rPr>
      </w:pPr>
    </w:p>
    <w:p>
      <w:pPr>
        <w:jc w:val="both"/>
        <w:ind w:right="20" w:firstLine="243"/>
        <w:spacing w:after="0" w:line="259" w:lineRule="auto"/>
        <w:rPr>
          <w:sz w:val="20"/>
          <w:szCs w:val="20"/>
          <w:color w:val="auto"/>
        </w:rPr>
      </w:pPr>
      <w:r>
        <w:rPr>
          <w:rFonts w:ascii="Arial" w:cs="Arial" w:eastAsia="Arial" w:hAnsi="Arial"/>
          <w:sz w:val="18"/>
          <w:szCs w:val="18"/>
          <w:color w:val="auto"/>
        </w:rPr>
        <w:t>The Company sells Epicel directly to hospitals based on contracted rates stated in the approved contract or purchase order. Similar to MACI, there is no obligation to manufacture skin grafts upon receipt of a skin biopsy, and Vericel has no contractual right to receive payment until the product is delivered to the hospital. The Company recognizes product revenues from sales of Epicel upon delivery to the hospital at which time the customer is in control of the skin grafts and the claim is billable to the hospital.</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1" w:name="page12"/>
    <w:bookmarkEnd w:id="11"/>
    <w:p>
      <w:pPr>
        <w:ind w:left="260"/>
        <w:spacing w:after="0"/>
        <w:rPr>
          <w:sz w:val="20"/>
          <w:szCs w:val="20"/>
          <w:color w:val="auto"/>
        </w:rPr>
      </w:pPr>
      <w:r>
        <w:rPr>
          <w:rFonts w:ascii="Arial" w:cs="Arial" w:eastAsia="Arial" w:hAnsi="Arial"/>
          <w:sz w:val="18"/>
          <w:szCs w:val="18"/>
          <w:i w:val="1"/>
          <w:iCs w:val="1"/>
          <w:color w:val="auto"/>
        </w:rPr>
        <w:t>Revenue by Product and Customer</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and description below reflect the products from which the Company generated its revenue:</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680" w:type="dxa"/>
            <w:vAlign w:val="bottom"/>
            <w:gridSpan w:val="4"/>
          </w:tcPr>
          <w:p>
            <w:pPr>
              <w:jc w:val="right"/>
              <w:ind w:right="292"/>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64"/>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Net revenue by product (in thousands)</w:t>
            </w:r>
          </w:p>
        </w:tc>
        <w:tc>
          <w:tcPr>
            <w:tcW w:w="1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MACI implants and kits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29"/>
        </w:trPr>
        <w:tc>
          <w:tcPr>
            <w:tcW w:w="5500" w:type="dxa"/>
            <w:vAlign w:val="bottom"/>
            <w:gridSpan w:val="2"/>
          </w:tcPr>
          <w:p>
            <w:pPr>
              <w:ind w:left="280"/>
              <w:spacing w:after="0"/>
              <w:rPr>
                <w:sz w:val="20"/>
                <w:szCs w:val="20"/>
                <w:color w:val="auto"/>
              </w:rPr>
            </w:pPr>
            <w:r>
              <w:rPr>
                <w:rFonts w:ascii="Arial" w:cs="Arial" w:eastAsia="Arial" w:hAnsi="Arial"/>
                <w:sz w:val="18"/>
                <w:szCs w:val="18"/>
                <w:color w:val="auto"/>
              </w:rPr>
              <w:t>Implants based on contracted rates sold to or through a specialty</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57"/>
        </w:trPr>
        <w:tc>
          <w:tcPr>
            <w:tcW w:w="5500" w:type="dxa"/>
            <w:vAlign w:val="bottom"/>
            <w:gridSpan w:val="2"/>
          </w:tcPr>
          <w:p>
            <w:pPr>
              <w:ind w:left="280"/>
              <w:spacing w:after="0" w:line="257" w:lineRule="exact"/>
              <w:rPr>
                <w:sz w:val="20"/>
                <w:szCs w:val="20"/>
                <w:color w:val="auto"/>
              </w:rPr>
            </w:pPr>
            <w:r>
              <w:rPr>
                <w:rFonts w:ascii="Arial" w:cs="Arial" w:eastAsia="Arial" w:hAnsi="Arial"/>
                <w:sz w:val="18"/>
                <w:szCs w:val="18"/>
                <w:color w:val="auto"/>
              </w:rPr>
              <w:t xml:space="preserve">pharmacy </w:t>
            </w:r>
            <w:r>
              <w:rPr>
                <w:rFonts w:ascii="Arial" w:cs="Arial" w:eastAsia="Arial" w:hAnsi="Arial"/>
                <w:sz w:val="25"/>
                <w:szCs w:val="25"/>
                <w:color w:val="auto"/>
                <w:vertAlign w:val="superscript"/>
              </w:rPr>
              <w:t>(a)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11,779</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11,102</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34,555</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26,257</w:t>
            </w:r>
          </w:p>
        </w:tc>
      </w:tr>
      <w:tr>
        <w:trPr>
          <w:trHeight w:val="229"/>
        </w:trPr>
        <w:tc>
          <w:tcPr>
            <w:tcW w:w="5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3"/>
              </w:rPr>
              <w:t>Implants subject to third-party reimbursement sold through a specialty</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57"/>
        </w:trPr>
        <w:tc>
          <w:tcPr>
            <w:tcW w:w="5500" w:type="dxa"/>
            <w:vAlign w:val="bottom"/>
            <w:gridSpan w:val="2"/>
            <w:shd w:val="clear" w:color="auto" w:fill="CCEEFF"/>
          </w:tcPr>
          <w:p>
            <w:pPr>
              <w:ind w:left="280"/>
              <w:spacing w:after="0" w:line="257" w:lineRule="exact"/>
              <w:rPr>
                <w:sz w:val="20"/>
                <w:szCs w:val="20"/>
                <w:color w:val="auto"/>
              </w:rPr>
            </w:pPr>
            <w:r>
              <w:rPr>
                <w:rFonts w:ascii="Arial" w:cs="Arial" w:eastAsia="Arial" w:hAnsi="Arial"/>
                <w:sz w:val="18"/>
                <w:szCs w:val="18"/>
                <w:color w:val="auto"/>
              </w:rPr>
              <w:t xml:space="preserve">pharmacy </w:t>
            </w:r>
            <w:r>
              <w:rPr>
                <w:rFonts w:ascii="Arial" w:cs="Arial" w:eastAsia="Arial" w:hAnsi="Arial"/>
                <w:sz w:val="25"/>
                <w:szCs w:val="25"/>
                <w:color w:val="auto"/>
                <w:vertAlign w:val="superscript"/>
              </w:rPr>
              <w:t>(b)</w:t>
            </w: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4,030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1,612</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10,584</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5,468</w:t>
            </w:r>
          </w:p>
        </w:tc>
      </w:tr>
      <w:tr>
        <w:trPr>
          <w:trHeight w:val="270"/>
        </w:trPr>
        <w:tc>
          <w:tcPr>
            <w:tcW w:w="5500" w:type="dxa"/>
            <w:vAlign w:val="bottom"/>
            <w:gridSpan w:val="2"/>
          </w:tcPr>
          <w:p>
            <w:pPr>
              <w:ind w:left="280"/>
              <w:spacing w:after="0" w:line="270" w:lineRule="exact"/>
              <w:rPr>
                <w:sz w:val="20"/>
                <w:szCs w:val="20"/>
                <w:color w:val="auto"/>
              </w:rPr>
            </w:pPr>
            <w:r>
              <w:rPr>
                <w:rFonts w:ascii="Arial" w:cs="Arial" w:eastAsia="Arial" w:hAnsi="Arial"/>
                <w:sz w:val="18"/>
                <w:szCs w:val="18"/>
                <w:color w:val="auto"/>
              </w:rPr>
              <w:t xml:space="preserve">Implants sold direct based on contracted rates </w:t>
            </w:r>
            <w:r>
              <w:rPr>
                <w:rFonts w:ascii="Arial" w:cs="Arial" w:eastAsia="Arial" w:hAnsi="Arial"/>
                <w:sz w:val="25"/>
                <w:szCs w:val="25"/>
                <w:color w:val="auto"/>
                <w:vertAlign w:val="superscript"/>
              </w:rPr>
              <w:t>(c)</w:t>
            </w:r>
          </w:p>
        </w:tc>
        <w:tc>
          <w:tcPr>
            <w:tcW w:w="220" w:type="dxa"/>
            <w:vAlign w:val="bottom"/>
          </w:tcPr>
          <w:p>
            <w:pPr>
              <w:spacing w:after="0"/>
              <w:rPr>
                <w:sz w:val="23"/>
                <w:szCs w:val="23"/>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3,039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2,632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9,715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8,715</w:t>
            </w:r>
          </w:p>
        </w:tc>
      </w:tr>
      <w:tr>
        <w:trPr>
          <w:trHeight w:val="270"/>
        </w:trPr>
        <w:tc>
          <w:tcPr>
            <w:tcW w:w="5500" w:type="dxa"/>
            <w:vAlign w:val="bottom"/>
            <w:gridSpan w:val="2"/>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Implants sold direct subject to third-party reimbursement </w:t>
            </w:r>
            <w:r>
              <w:rPr>
                <w:rFonts w:ascii="Arial" w:cs="Arial" w:eastAsia="Arial" w:hAnsi="Arial"/>
                <w:sz w:val="25"/>
                <w:szCs w:val="25"/>
                <w:color w:val="auto"/>
                <w:vertAlign w:val="superscript"/>
              </w:rPr>
              <w:t>(d)</w:t>
            </w: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573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490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1,176</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1,070</w:t>
            </w:r>
          </w:p>
        </w:tc>
      </w:tr>
      <w:tr>
        <w:trPr>
          <w:trHeight w:val="243"/>
        </w:trPr>
        <w:tc>
          <w:tcPr>
            <w:tcW w:w="5500" w:type="dxa"/>
            <w:vAlign w:val="bottom"/>
            <w:gridSpan w:val="2"/>
          </w:tcPr>
          <w:p>
            <w:pPr>
              <w:ind w:left="280"/>
              <w:spacing w:after="0"/>
              <w:rPr>
                <w:sz w:val="20"/>
                <w:szCs w:val="20"/>
                <w:color w:val="auto"/>
              </w:rPr>
            </w:pPr>
            <w:r>
              <w:rPr>
                <w:rFonts w:ascii="Arial" w:cs="Arial" w:eastAsia="Arial" w:hAnsi="Arial"/>
                <w:sz w:val="18"/>
                <w:szCs w:val="18"/>
                <w:color w:val="auto"/>
              </w:rPr>
              <w:t>Biopsy kits - direct bill</w:t>
            </w:r>
          </w:p>
        </w:tc>
        <w:tc>
          <w:tcPr>
            <w:tcW w:w="22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488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1,632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1,392</w:t>
            </w: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Change in estimates related to prior periods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Epicel</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5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Direct bill (hospital)</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9,889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6,035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20,445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16,893</w:t>
            </w:r>
          </w:p>
        </w:tc>
      </w:tr>
      <w:tr>
        <w:trPr>
          <w:trHeight w:val="257"/>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30,499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22,484</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78,460</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59,522</w:t>
            </w:r>
          </w:p>
        </w:tc>
      </w:tr>
      <w:tr>
        <w:trPr>
          <w:trHeight w:val="20"/>
        </w:trPr>
        <w:tc>
          <w:tcPr>
            <w:tcW w:w="5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40" w:right="20" w:hanging="5"/>
        <w:spacing w:after="0" w:line="259" w:lineRule="auto"/>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implants sold through Orsini or AllCare in which such specialty pharmacy has entered into a direct contract with the underlying insurance provider. The amount of reimbursement is based on contracted rates at the time of sale supported by the pharmacy's direct contract. Also represents sales directly to DMS based on a contracted rate. Prior to June 15, 2018, the sales to Orsini represented here were based on a fixed transfer price under the distribution model.</w:t>
      </w:r>
    </w:p>
    <w:p>
      <w:pPr>
        <w:spacing w:after="0" w:line="254" w:lineRule="exact"/>
        <w:rPr>
          <w:rFonts w:ascii="Arial" w:cs="Arial" w:eastAsia="Arial" w:hAnsi="Arial"/>
          <w:sz w:val="18"/>
          <w:szCs w:val="18"/>
          <w:color w:val="auto"/>
        </w:rPr>
      </w:pPr>
    </w:p>
    <w:p>
      <w:pPr>
        <w:ind w:left="40" w:right="40" w:hanging="5"/>
        <w:spacing w:after="0" w:line="277" w:lineRule="auto"/>
        <w:tabs>
          <w:tab w:leader="none" w:pos="313"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implants sold through Orsini or AllCare in which such specialty pharmacy does not have a direct contract with the underlying payer. The amount of reimbursement is established based on a payer or state fee schedule and/or payer history.</w:t>
      </w:r>
    </w:p>
    <w:p>
      <w:pPr>
        <w:spacing w:after="0" w:line="237" w:lineRule="exact"/>
        <w:rPr>
          <w:rFonts w:ascii="Arial" w:cs="Arial" w:eastAsia="Arial" w:hAnsi="Arial"/>
          <w:sz w:val="18"/>
          <w:szCs w:val="18"/>
          <w:color w:val="auto"/>
        </w:rPr>
      </w:pPr>
    </w:p>
    <w:p>
      <w:pPr>
        <w:ind w:left="280" w:hanging="245"/>
        <w:spacing w:after="0"/>
        <w:tabs>
          <w:tab w:leader="none" w:pos="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Represents implants sold directly from the Company to the facility based on a contract and known price agreed upon prior to the surgery date.</w:t>
      </w:r>
    </w:p>
    <w:p>
      <w:pPr>
        <w:spacing w:after="0" w:line="304" w:lineRule="exact"/>
        <w:rPr>
          <w:rFonts w:ascii="Arial" w:cs="Arial" w:eastAsia="Arial" w:hAnsi="Arial"/>
          <w:sz w:val="17"/>
          <w:szCs w:val="17"/>
          <w:color w:val="auto"/>
        </w:rPr>
      </w:pPr>
    </w:p>
    <w:p>
      <w:pPr>
        <w:ind w:left="40" w:right="20" w:hanging="5"/>
        <w:spacing w:after="0" w:line="277" w:lineRule="auto"/>
        <w:tabs>
          <w:tab w:leader="none" w:pos="317"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implants sold directly from the Company to the facility based on a contract and known price agreed upon prior to the surgery date. The payment terms are subject to third-party reimbursement from an underlying insurance provider.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Prior to June 16, 2018 the company sold MACI primarily to its distributor Orsini at a fixed transfer price. Beginning June 16, 2018, the Company started retaining the credit and collection risk from the end customer on implants resulting in a decrease in risk concentration. The Company sells Epicel directly to hospitals and not through a distributor.</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Company's total revenue and accounts receivable balances were comprised of the following concentrations from its largest customer of MACI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Epicel based on customers whose revenue or accounts receivable concentration is greater than 10% in any of the periods disclosed below and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ind w:left="740"/>
              <w:spacing w:after="0"/>
              <w:rPr>
                <w:sz w:val="20"/>
                <w:szCs w:val="20"/>
                <w:color w:val="auto"/>
              </w:rPr>
            </w:pPr>
            <w:r>
              <w:rPr>
                <w:rFonts w:ascii="Arial" w:cs="Arial" w:eastAsia="Arial" w:hAnsi="Arial"/>
                <w:sz w:val="14"/>
                <w:szCs w:val="14"/>
                <w:b w:val="1"/>
                <w:bCs w:val="1"/>
                <w:color w:val="auto"/>
              </w:rPr>
              <w:t>Revenue Concentration</w:t>
            </w:r>
          </w:p>
        </w:tc>
        <w:tc>
          <w:tcPr>
            <w:tcW w:w="1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4"/>
                <w:szCs w:val="14"/>
                <w:b w:val="1"/>
                <w:bCs w:val="1"/>
                <w:color w:val="auto"/>
              </w:rPr>
              <w:t>Accounts Receivable Concentration</w:t>
            </w:r>
          </w:p>
        </w:tc>
      </w:tr>
      <w:tr>
        <w:trPr>
          <w:trHeight w:val="250"/>
        </w:trPr>
        <w:tc>
          <w:tcPr>
            <w:tcW w:w="2500" w:type="dxa"/>
            <w:vAlign w:val="bottom"/>
          </w:tcPr>
          <w:p>
            <w:pPr>
              <w:spacing w:after="0"/>
              <w:rPr>
                <w:sz w:val="21"/>
                <w:szCs w:val="21"/>
                <w:color w:val="auto"/>
              </w:rPr>
            </w:pPr>
          </w:p>
        </w:tc>
        <w:tc>
          <w:tcPr>
            <w:tcW w:w="288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21"/>
                <w:szCs w:val="21"/>
                <w:color w:val="auto"/>
              </w:rPr>
            </w:pPr>
          </w:p>
        </w:tc>
        <w:tc>
          <w:tcPr>
            <w:tcW w:w="2880" w:type="dxa"/>
            <w:vAlign w:val="bottom"/>
            <w:tcBorders>
              <w:bottom w:val="single" w:sz="8" w:color="auto"/>
            </w:tcBorders>
            <w:gridSpan w:val="3"/>
          </w:tcPr>
          <w:p>
            <w:pPr>
              <w:jc w:val="right"/>
              <w:ind w:right="276"/>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21"/>
                <w:szCs w:val="21"/>
                <w:color w:val="auto"/>
              </w:rPr>
            </w:pPr>
          </w:p>
        </w:tc>
        <w:tc>
          <w:tcPr>
            <w:tcW w:w="142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21"/>
                <w:szCs w:val="21"/>
                <w:color w:val="auto"/>
              </w:rPr>
            </w:pPr>
          </w:p>
        </w:tc>
        <w:tc>
          <w:tcPr>
            <w:tcW w:w="14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December 31,</w:t>
            </w:r>
          </w:p>
        </w:tc>
      </w:tr>
      <w:tr>
        <w:trPr>
          <w:trHeight w:val="264"/>
        </w:trPr>
        <w:tc>
          <w:tcPr>
            <w:tcW w:w="25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2018</w:t>
            </w:r>
          </w:p>
        </w:tc>
      </w:tr>
      <w:tr>
        <w:trPr>
          <w:trHeight w:val="250"/>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MACI</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3420" w:type="dxa"/>
            <w:vAlign w:val="bottom"/>
            <w:gridSpan w:val="2"/>
          </w:tcPr>
          <w:p>
            <w:pPr>
              <w:ind w:left="40"/>
              <w:spacing w:after="0"/>
              <w:rPr>
                <w:sz w:val="20"/>
                <w:szCs w:val="20"/>
                <w:color w:val="auto"/>
              </w:rPr>
            </w:pPr>
            <w:r>
              <w:rPr>
                <w:rFonts w:ascii="Arial" w:cs="Arial" w:eastAsia="Arial" w:hAnsi="Arial"/>
                <w:sz w:val="18"/>
                <w:szCs w:val="18"/>
                <w:color w:val="auto"/>
              </w:rPr>
              <w:t>Epicel</w:t>
            </w:r>
          </w:p>
        </w:tc>
        <w:tc>
          <w:tcPr>
            <w:tcW w:w="460" w:type="dxa"/>
            <w:vAlign w:val="bottom"/>
          </w:tcPr>
          <w:p>
            <w:pPr>
              <w:ind w:left="100"/>
              <w:spacing w:after="0"/>
              <w:rPr>
                <w:sz w:val="20"/>
                <w:szCs w:val="20"/>
                <w:color w:val="auto"/>
              </w:rPr>
            </w:pPr>
            <w:r>
              <w:rPr>
                <w:rFonts w:ascii="Arial" w:cs="Arial" w:eastAsia="Arial" w:hAnsi="Arial"/>
                <w:sz w:val="18"/>
                <w:szCs w:val="18"/>
                <w:color w:val="auto"/>
                <w:w w:val="94"/>
              </w:rPr>
              <w:t>10%</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918"/>
        </w:trPr>
        <w:tc>
          <w:tcPr>
            <w:tcW w:w="2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jc w:val="right"/>
              <w:ind w:right="997"/>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420"/>
          </w:cols>
          <w:pgMar w:left="240" w:top="746" w:right="239" w:bottom="1440" w:gutter="0" w:footer="0" w:header="0"/>
        </w:sectPr>
      </w:pPr>
    </w:p>
    <w:bookmarkStart w:id="12" w:name="page13"/>
    <w:bookmarkEnd w:id="12"/>
    <w:p>
      <w:pPr>
        <w:spacing w:after="0"/>
        <w:tabs>
          <w:tab w:leader="none" w:pos="32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Selected Balance Sheet Components</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Inventory as of September 30, 2019 and December 31,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2019</w:t>
            </w:r>
          </w:p>
        </w:tc>
        <w:tc>
          <w:tcPr>
            <w:tcW w:w="180" w:type="dxa"/>
            <w:vAlign w:val="bottom"/>
          </w:tcPr>
          <w:p>
            <w:pPr>
              <w:spacing w:after="0"/>
              <w:rPr>
                <w:sz w:val="16"/>
                <w:szCs w:val="16"/>
                <w:color w:val="auto"/>
              </w:rPr>
            </w:pPr>
          </w:p>
        </w:tc>
        <w:tc>
          <w:tcPr>
            <w:tcW w:w="1420" w:type="dxa"/>
            <w:vAlign w:val="bottom"/>
          </w:tcPr>
          <w:p>
            <w:pPr>
              <w:jc w:val="right"/>
              <w:ind w:right="132"/>
              <w:spacing w:after="0"/>
              <w:rPr>
                <w:sz w:val="20"/>
                <w:szCs w:val="20"/>
                <w:color w:val="auto"/>
              </w:rPr>
            </w:pPr>
            <w:r>
              <w:rPr>
                <w:rFonts w:ascii="Arial" w:cs="Arial" w:eastAsia="Arial" w:hAnsi="Arial"/>
                <w:sz w:val="14"/>
                <w:szCs w:val="14"/>
                <w:b w:val="1"/>
                <w:bCs w:val="1"/>
                <w:color w:val="auto"/>
                <w:w w:val="93"/>
              </w:rPr>
              <w:t>December 31, 2018</w:t>
            </w:r>
          </w:p>
        </w:tc>
        <w:tc>
          <w:tcPr>
            <w:tcW w:w="0" w:type="dxa"/>
            <w:vAlign w:val="bottom"/>
          </w:tcPr>
          <w:p>
            <w:pPr>
              <w:spacing w:after="0"/>
              <w:rPr>
                <w:sz w:val="1"/>
                <w:szCs w:val="1"/>
                <w:color w:val="auto"/>
              </w:rPr>
            </w:pP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2,872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976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Inventory</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6,823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3,558</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260"/>
              <w:spacing w:after="0"/>
              <w:rPr>
                <w:sz w:val="20"/>
                <w:szCs w:val="20"/>
                <w:color w:val="auto"/>
              </w:rPr>
            </w:pPr>
            <w:r>
              <w:rPr>
                <w:rFonts w:ascii="Arial" w:cs="Arial" w:eastAsia="Arial" w:hAnsi="Arial"/>
                <w:sz w:val="18"/>
                <w:szCs w:val="18"/>
                <w:color w:val="auto"/>
              </w:rPr>
              <w:t>Property and equipment, net as of September 30, 2019 and December 31, 2018:</w:t>
            </w: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81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24"/>
                <w:szCs w:val="24"/>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2019</w:t>
            </w:r>
          </w:p>
        </w:tc>
        <w:tc>
          <w:tcPr>
            <w:tcW w:w="180" w:type="dxa"/>
            <w:vAlign w:val="bottom"/>
          </w:tcPr>
          <w:p>
            <w:pPr>
              <w:spacing w:after="0"/>
              <w:rPr>
                <w:sz w:val="24"/>
                <w:szCs w:val="24"/>
                <w:color w:val="auto"/>
              </w:rPr>
            </w:pPr>
          </w:p>
        </w:tc>
        <w:tc>
          <w:tcPr>
            <w:tcW w:w="1420" w:type="dxa"/>
            <w:vAlign w:val="bottom"/>
          </w:tcPr>
          <w:p>
            <w:pPr>
              <w:jc w:val="right"/>
              <w:ind w:right="132"/>
              <w:spacing w:after="0"/>
              <w:rPr>
                <w:sz w:val="20"/>
                <w:szCs w:val="20"/>
                <w:color w:val="auto"/>
              </w:rPr>
            </w:pPr>
            <w:r>
              <w:rPr>
                <w:rFonts w:ascii="Arial" w:cs="Arial" w:eastAsia="Arial" w:hAnsi="Arial"/>
                <w:sz w:val="14"/>
                <w:szCs w:val="14"/>
                <w:b w:val="1"/>
                <w:bCs w:val="1"/>
                <w:color w:val="auto"/>
                <w:w w:val="93"/>
              </w:rPr>
              <w:t>December 31, 2018</w:t>
            </w:r>
          </w:p>
        </w:tc>
        <w:tc>
          <w:tcPr>
            <w:tcW w:w="0" w:type="dxa"/>
            <w:vAlign w:val="bottom"/>
          </w:tcPr>
          <w:p>
            <w:pPr>
              <w:spacing w:after="0"/>
              <w:rPr>
                <w:sz w:val="1"/>
                <w:szCs w:val="1"/>
                <w:color w:val="auto"/>
              </w:rPr>
            </w:pP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Furniture, fixtures and office equipment</w:t>
            </w: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 and software</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3,712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4,631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4,587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process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Financing right-of-use lease</w:t>
            </w: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property and equipment, gross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13,411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(8,673)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(7,505)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7,190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5,906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Depreciation expense for the three and nine months ended September 30, 2019 was $0.4 million and $1.2 million and $0.3 million and $1.1 million for the same period in 2018.</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Accrued expenses as of September 30, 2019 and December 31,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2019</w:t>
            </w:r>
          </w:p>
        </w:tc>
        <w:tc>
          <w:tcPr>
            <w:tcW w:w="18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2018</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Bonus related compensation</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5,161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Employee related accruals</w:t>
            </w: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2,546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1,559</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expenses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210</w:t>
            </w:r>
          </w:p>
        </w:tc>
      </w:tr>
      <w:tr>
        <w:trPr>
          <w:trHeight w:val="237"/>
        </w:trPr>
        <w:tc>
          <w:tcPr>
            <w:tcW w:w="8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6,960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6,930</w:t>
            </w:r>
          </w:p>
        </w:tc>
      </w:tr>
      <w:tr>
        <w:trPr>
          <w:trHeight w:val="27"/>
        </w:trPr>
        <w:tc>
          <w:tcPr>
            <w:tcW w:w="8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Stock Purchase Warrants</w:t>
      </w:r>
    </w:p>
    <w:p>
      <w:pPr>
        <w:spacing w:after="0" w:line="22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Company has historically issued warrants to purchase shares of the Company’s common stock in connection with certain of its common stock offerings. The fair value of the warrants as of December 31, 2018 were initially measured using the Black-Scholes valuation model. Inherent in the Black-Scholes valuation model are assumptions related to expected stock-price volatility, expected life, risk-free interest rate and dividend yield. The Company estimates the volatility of its common stock-based on historical volatility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remaining at zero.</w:t>
      </w:r>
    </w:p>
    <w:p>
      <w:pPr>
        <w:spacing w:after="0" w:line="18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During the nine months ended September 30, 2019, the Company issued 19,808 shares of common stock upon the exercise of warrants with an exercise price of $4.27 per share. There are no outstanding warrants as of September 30, 2019.</w:t>
      </w:r>
    </w:p>
    <w:p>
      <w:pPr>
        <w:spacing w:after="0" w:line="166"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firstLine="243"/>
        <w:spacing w:after="0" w:line="308" w:lineRule="auto"/>
        <w:rPr>
          <w:sz w:val="20"/>
          <w:szCs w:val="20"/>
          <w:color w:val="auto"/>
        </w:rPr>
      </w:pPr>
      <w:r>
        <w:rPr>
          <w:rFonts w:ascii="Arial" w:cs="Arial" w:eastAsia="Arial" w:hAnsi="Arial"/>
          <w:sz w:val="17"/>
          <w:szCs w:val="17"/>
          <w:color w:val="auto"/>
        </w:rPr>
        <w:t>The Company leases facilities in Ann Arbor, Michigan and Cambridge, Massachusetts. The Cambridge facility includes clean rooms, laboratories for MACI and Epicel manufacturing and office space. The Company also leases offsite warehouse space, vehicles and computer equipment.</w:t>
      </w:r>
    </w:p>
    <w:p>
      <w:pPr>
        <w:sectPr>
          <w:pgSz w:w="11900" w:h="16838" w:orient="portrait"/>
          <w:cols w:equalWidth="0" w:num="1">
            <w:col w:w="11420"/>
          </w:cols>
          <w:pgMar w:left="240" w:top="796" w:right="239"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796" w:right="239" w:bottom="1440" w:gutter="0" w:footer="0" w:header="0"/>
          <w:type w:val="continuous"/>
        </w:sectPr>
      </w:pPr>
    </w:p>
    <w:bookmarkStart w:id="13" w:name="page14"/>
    <w:bookmarkEnd w:id="13"/>
    <w:p>
      <w:pPr>
        <w:jc w:val="both"/>
        <w:ind w:firstLine="243"/>
        <w:spacing w:after="0" w:line="288" w:lineRule="auto"/>
        <w:rPr>
          <w:sz w:val="20"/>
          <w:szCs w:val="20"/>
          <w:color w:val="auto"/>
        </w:rPr>
      </w:pPr>
      <w:r>
        <w:rPr>
          <w:rFonts w:ascii="Arial" w:cs="Arial" w:eastAsia="Arial" w:hAnsi="Arial"/>
          <w:sz w:val="16"/>
          <w:szCs w:val="16"/>
          <w:color w:val="auto"/>
        </w:rPr>
        <w:t xml:space="preserve">The Company adopted the new leasing standards using the modified retrospective transition approach, as of January 1, 2019, with no restatement of prior periods. As a result of adoption, no cumulative adjustment to retained earnings occurred. In addition, the Company elected the package of practical expedients permitted under the transition guidance within the new standard, which among other things, allowed the Company to carry forward prior conclusions related to whether any expired or existing contracts are or contain leases, the lease classification for any expired or existing leases and initial direct costs for existing leases. Certain of the Company’s lease agreements include lease payments that are adjusted periodically for an index or rate. The leases are initially measured using the projected payments adjusted for the index or rate in effect at the commencement date. The Company’s lease agreements do not contain any material residual value guarantees or material restrictive covenants. Upon adoption all operating lease commitments with a lease term greater than 12 months that were previously assessed under previous lease guidance, were recognized as right to use assets and liabilities, on a discounted basis on the balance sheet. Leases with an initial term of 12 months or less are not recorded on the balance sheet and for the nine months ended September 30, 2019, lease expense of less than $0.1 million was recorded related to short-term leases for both the three and nine months ended </w:t>
      </w:r>
      <w:r>
        <w:rPr>
          <w:rFonts w:ascii="Arial" w:cs="Arial" w:eastAsia="Arial" w:hAnsi="Arial"/>
          <w:sz w:val="16"/>
          <w:szCs w:val="16"/>
          <w:color w:val="222222"/>
        </w:rPr>
        <w:t>September 30, 2019</w:t>
      </w:r>
      <w:r>
        <w:rPr>
          <w:rFonts w:ascii="Arial" w:cs="Arial" w:eastAsia="Arial" w:hAnsi="Arial"/>
          <w:sz w:val="16"/>
          <w:szCs w:val="16"/>
          <w:color w:val="auto"/>
        </w:rPr>
        <w:t>.</w:t>
      </w:r>
    </w:p>
    <w:p>
      <w:pPr>
        <w:spacing w:after="0" w:line="169"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 xml:space="preserve">Adoption of ASU 2016-02 resulted in the recording of additional right-of-use assets and lease liabilities of approximately $25.6 million and $27.8 million, respectively, as of January 1, 2019. There was an immaterial impact on the Company's consolidated net earnings and cash flows upon adoption. The </w:t>
      </w:r>
      <w:r>
        <w:rPr>
          <w:rFonts w:ascii="Arial" w:cs="Arial" w:eastAsia="Arial" w:hAnsi="Arial"/>
          <w:sz w:val="16"/>
          <w:szCs w:val="16"/>
          <w:color w:val="222222"/>
        </w:rPr>
        <w:t xml:space="preserve">contribution toward the cost of tenant improvements is recorded as a reduction of the operating lease assets and reclassed from deferred rent to lease operating assets. For the three and nine months ended September 30, 2019, the Company recognized $1.4 million and $4.0 million of operating lease expense and less than $0.1 million of financing lease expense, respectively. For the three and nine months ending September 30, 2018 (as reported under the prior leasing guidance) the Company recognized $1.3 million and $3.9 million of operating lease expense and less than $0.1 million of financing lease expense, respectively. The Company's </w:t>
      </w:r>
      <w:r>
        <w:rPr>
          <w:rFonts w:ascii="Arial" w:cs="Arial" w:eastAsia="Arial" w:hAnsi="Arial"/>
          <w:sz w:val="16"/>
          <w:szCs w:val="16"/>
          <w:color w:val="000000"/>
        </w:rPr>
        <w:t>leases contain non-lease components and activities that do not transfer a good or service to the Company. The Company elected</w:t>
      </w:r>
      <w:r>
        <w:rPr>
          <w:rFonts w:ascii="Arial" w:cs="Arial" w:eastAsia="Arial" w:hAnsi="Arial"/>
          <w:sz w:val="16"/>
          <w:szCs w:val="16"/>
          <w:color w:val="222222"/>
        </w:rPr>
        <w:t xml:space="preserve"> </w:t>
      </w:r>
      <w:r>
        <w:rPr>
          <w:rFonts w:ascii="Arial" w:cs="Arial" w:eastAsia="Arial" w:hAnsi="Arial"/>
          <w:sz w:val="16"/>
          <w:szCs w:val="16"/>
          <w:color w:val="000000"/>
        </w:rPr>
        <w:t>not to combine lease and non-lease components and therefore non-lease costs were not included in the net lease assets or lease liabilities.</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Total leased assets and liabilities as reassessed under the updated guidance and classified on the balance sheet, as of September 30, 2019 are as follows:</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6"/>
                <w:szCs w:val="16"/>
                <w:color w:val="auto"/>
              </w:rPr>
            </w:pPr>
          </w:p>
        </w:tc>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Classification</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3"/>
              </w:rPr>
              <w:t>September 30, 2019</w:t>
            </w:r>
          </w:p>
        </w:tc>
        <w:tc>
          <w:tcPr>
            <w:tcW w:w="0" w:type="dxa"/>
            <w:vAlign w:val="bottom"/>
          </w:tcPr>
          <w:p>
            <w:pPr>
              <w:spacing w:after="0"/>
              <w:rPr>
                <w:sz w:val="1"/>
                <w:szCs w:val="1"/>
                <w:color w:val="auto"/>
              </w:rPr>
            </w:pPr>
          </w:p>
        </w:tc>
      </w:tr>
      <w:tr>
        <w:trPr>
          <w:trHeight w:val="243"/>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Assets</w:t>
            </w:r>
          </w:p>
        </w:tc>
        <w:tc>
          <w:tcPr>
            <w:tcW w:w="8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Operating</w:t>
            </w:r>
          </w:p>
        </w:tc>
        <w:tc>
          <w:tcPr>
            <w:tcW w:w="8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Right-of-use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25,619</w:t>
            </w:r>
          </w:p>
        </w:tc>
        <w:tc>
          <w:tcPr>
            <w:tcW w:w="0" w:type="dxa"/>
            <w:vAlign w:val="bottom"/>
          </w:tcPr>
          <w:p>
            <w:pPr>
              <w:spacing w:after="0"/>
              <w:rPr>
                <w:sz w:val="1"/>
                <w:szCs w:val="1"/>
                <w:color w:val="auto"/>
              </w:rPr>
            </w:pPr>
          </w:p>
        </w:tc>
      </w:tr>
      <w:tr>
        <w:trPr>
          <w:trHeight w:val="243"/>
        </w:trPr>
        <w:tc>
          <w:tcPr>
            <w:tcW w:w="1600" w:type="dxa"/>
            <w:vAlign w:val="bottom"/>
            <w:gridSpan w:val="2"/>
          </w:tcPr>
          <w:p>
            <w:pPr>
              <w:ind w:left="160"/>
              <w:spacing w:after="0"/>
              <w:rPr>
                <w:sz w:val="20"/>
                <w:szCs w:val="20"/>
                <w:color w:val="auto"/>
              </w:rPr>
            </w:pPr>
            <w:r>
              <w:rPr>
                <w:rFonts w:ascii="Arial" w:cs="Arial" w:eastAsia="Arial" w:hAnsi="Arial"/>
                <w:sz w:val="18"/>
                <w:szCs w:val="18"/>
                <w:color w:val="auto"/>
              </w:rPr>
              <w:t>Finance</w:t>
            </w:r>
          </w:p>
        </w:tc>
        <w:tc>
          <w:tcPr>
            <w:tcW w:w="8200" w:type="dxa"/>
            <w:vAlign w:val="bottom"/>
            <w:gridSpan w:val="2"/>
          </w:tcPr>
          <w:p>
            <w:pPr>
              <w:ind w:left="20"/>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25,776</w:t>
            </w:r>
          </w:p>
        </w:tc>
        <w:tc>
          <w:tcPr>
            <w:tcW w:w="0" w:type="dxa"/>
            <w:vAlign w:val="bottom"/>
          </w:tcPr>
          <w:p>
            <w:pPr>
              <w:spacing w:after="0"/>
              <w:rPr>
                <w:sz w:val="1"/>
                <w:szCs w:val="1"/>
                <w:color w:val="auto"/>
              </w:rPr>
            </w:pPr>
          </w:p>
        </w:tc>
      </w:tr>
      <w:tr>
        <w:trPr>
          <w:trHeight w:val="20"/>
        </w:trPr>
        <w:tc>
          <w:tcPr>
            <w:tcW w:w="16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Liabilities</w:t>
            </w:r>
          </w:p>
        </w:tc>
        <w:tc>
          <w:tcPr>
            <w:tcW w:w="8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600" w:type="dxa"/>
            <w:vAlign w:val="bottom"/>
            <w:gridSpan w:val="2"/>
            <w:vMerge w:val="continue"/>
          </w:tcPr>
          <w:p>
            <w:pPr>
              <w:spacing w:after="0"/>
              <w:rPr>
                <w:sz w:val="19"/>
                <w:szCs w:val="19"/>
                <w:color w:val="auto"/>
              </w:rPr>
            </w:pPr>
          </w:p>
        </w:tc>
        <w:tc>
          <w:tcPr>
            <w:tcW w:w="8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Current</w:t>
            </w:r>
          </w:p>
        </w:tc>
        <w:tc>
          <w:tcPr>
            <w:tcW w:w="8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00" w:type="dxa"/>
            <w:vAlign w:val="bottom"/>
            <w:gridSpan w:val="2"/>
          </w:tcPr>
          <w:p>
            <w:pPr>
              <w:ind w:left="160"/>
              <w:spacing w:after="0"/>
              <w:rPr>
                <w:sz w:val="20"/>
                <w:szCs w:val="20"/>
                <w:color w:val="auto"/>
              </w:rPr>
            </w:pPr>
            <w:r>
              <w:rPr>
                <w:rFonts w:ascii="Arial" w:cs="Arial" w:eastAsia="Arial" w:hAnsi="Arial"/>
                <w:sz w:val="18"/>
                <w:szCs w:val="18"/>
                <w:color w:val="auto"/>
              </w:rPr>
              <w:t>Operating</w:t>
            </w:r>
          </w:p>
        </w:tc>
        <w:tc>
          <w:tcPr>
            <w:tcW w:w="8200" w:type="dxa"/>
            <w:vAlign w:val="bottom"/>
            <w:gridSpan w:val="2"/>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2,836</w:t>
            </w: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6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Finance</w:t>
            </w:r>
          </w:p>
        </w:tc>
        <w:tc>
          <w:tcPr>
            <w:tcW w:w="8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7"/>
        </w:trPr>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2,871</w:t>
            </w:r>
          </w:p>
        </w:tc>
        <w:tc>
          <w:tcPr>
            <w:tcW w:w="0" w:type="dxa"/>
            <w:vAlign w:val="bottom"/>
          </w:tcPr>
          <w:p>
            <w:pPr>
              <w:spacing w:after="0"/>
              <w:rPr>
                <w:sz w:val="1"/>
                <w:szCs w:val="1"/>
                <w:color w:val="auto"/>
              </w:rPr>
            </w:pPr>
          </w:p>
        </w:tc>
      </w:tr>
      <w:tr>
        <w:trPr>
          <w:trHeight w:val="67"/>
        </w:trPr>
        <w:tc>
          <w:tcPr>
            <w:tcW w:w="14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10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Non-current</w:t>
            </w:r>
          </w:p>
        </w:tc>
        <w:tc>
          <w:tcPr>
            <w:tcW w:w="8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600" w:type="dxa"/>
            <w:vAlign w:val="bottom"/>
            <w:gridSpan w:val="2"/>
          </w:tcPr>
          <w:p>
            <w:pPr>
              <w:ind w:left="160"/>
              <w:spacing w:after="0"/>
              <w:rPr>
                <w:sz w:val="20"/>
                <w:szCs w:val="20"/>
                <w:color w:val="auto"/>
              </w:rPr>
            </w:pPr>
            <w:r>
              <w:rPr>
                <w:rFonts w:ascii="Arial" w:cs="Arial" w:eastAsia="Arial" w:hAnsi="Arial"/>
                <w:sz w:val="18"/>
                <w:szCs w:val="18"/>
                <w:color w:val="auto"/>
              </w:rPr>
              <w:t>Operating</w:t>
            </w:r>
          </w:p>
        </w:tc>
        <w:tc>
          <w:tcPr>
            <w:tcW w:w="8200" w:type="dxa"/>
            <w:vAlign w:val="bottom"/>
            <w:gridSpan w:val="2"/>
          </w:tcPr>
          <w:p>
            <w:pPr>
              <w:ind w:left="20"/>
              <w:spacing w:after="0"/>
              <w:rPr>
                <w:sz w:val="20"/>
                <w:szCs w:val="20"/>
                <w:color w:val="auto"/>
              </w:rPr>
            </w:pPr>
            <w:r>
              <w:rPr>
                <w:rFonts w:ascii="Arial" w:cs="Arial" w:eastAsia="Arial" w:hAnsi="Arial"/>
                <w:sz w:val="18"/>
                <w:szCs w:val="18"/>
                <w:color w:val="auto"/>
              </w:rPr>
              <w:t>Operating lease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25,311</w:t>
            </w: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6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Finance</w:t>
            </w:r>
          </w:p>
        </w:tc>
        <w:tc>
          <w:tcPr>
            <w:tcW w:w="8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7"/>
        </w:trPr>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25,425</w:t>
            </w: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Cash paid for amounts included in the measurement of the Company's operating lease liabilities was </w:t>
      </w:r>
      <w:r>
        <w:rPr>
          <w:rFonts w:ascii="Arial" w:cs="Arial" w:eastAsia="Arial" w:hAnsi="Arial"/>
          <w:sz w:val="18"/>
          <w:szCs w:val="18"/>
          <w:color w:val="222222"/>
        </w:rPr>
        <w:t>$3.6 million</w:t>
      </w:r>
      <w:r>
        <w:rPr>
          <w:rFonts w:ascii="Arial" w:cs="Arial" w:eastAsia="Arial" w:hAnsi="Arial"/>
          <w:sz w:val="18"/>
          <w:szCs w:val="18"/>
          <w:color w:val="auto"/>
        </w:rPr>
        <w:t xml:space="preserve"> for the nine months ended September 30, 2019.</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Maturity of lease liabilities as of September 30, 2019 are as follows: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92"/>
        </w:trPr>
        <w:tc>
          <w:tcPr>
            <w:tcW w:w="4920" w:type="dxa"/>
            <w:vAlign w:val="bottom"/>
            <w:tcBorders>
              <w:bottom w:val="single" w:sz="8" w:color="auto"/>
            </w:tcBorders>
          </w:tcPr>
          <w:p>
            <w:pPr>
              <w:jc w:val="right"/>
              <w:ind w:right="3912"/>
              <w:spacing w:after="0"/>
              <w:rPr>
                <w:sz w:val="20"/>
                <w:szCs w:val="20"/>
                <w:color w:val="auto"/>
              </w:rPr>
            </w:pPr>
            <w:r>
              <w:rPr>
                <w:rFonts w:ascii="Arial" w:cs="Arial" w:eastAsia="Arial" w:hAnsi="Arial"/>
                <w:sz w:val="14"/>
                <w:szCs w:val="14"/>
                <w:b w:val="1"/>
                <w:bCs w:val="1"/>
                <w:color w:val="auto"/>
                <w:w w:val="93"/>
              </w:rPr>
              <w:t>(In thousands)</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Operating Leases</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Finance Leases</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772"/>
              <w:spacing w:after="0"/>
              <w:rPr>
                <w:sz w:val="20"/>
                <w:szCs w:val="20"/>
                <w:color w:val="auto"/>
              </w:rPr>
            </w:pPr>
            <w:r>
              <w:rPr>
                <w:rFonts w:ascii="Arial" w:cs="Arial" w:eastAsia="Arial" w:hAnsi="Arial"/>
                <w:sz w:val="14"/>
                <w:szCs w:val="14"/>
                <w:b w:val="1"/>
                <w:bCs w:val="1"/>
                <w:color w:val="auto"/>
              </w:rPr>
              <w:t>Total</w:t>
            </w:r>
          </w:p>
        </w:tc>
      </w:tr>
      <w:tr>
        <w:trPr>
          <w:trHeight w:val="250"/>
        </w:trPr>
        <w:tc>
          <w:tcPr>
            <w:tcW w:w="4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1,324</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9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1,324</w:t>
            </w:r>
          </w:p>
        </w:tc>
      </w:tr>
      <w:tr>
        <w:trPr>
          <w:trHeight w:val="243"/>
        </w:trPr>
        <w:tc>
          <w:tcPr>
            <w:tcW w:w="4920" w:type="dxa"/>
            <w:vAlign w:val="bottom"/>
          </w:tcPr>
          <w:p>
            <w:pPr>
              <w:jc w:val="right"/>
              <w:ind w:right="32"/>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5,336</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5,377</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5,255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5,296</w:t>
            </w:r>
          </w:p>
        </w:tc>
      </w:tr>
      <w:tr>
        <w:trPr>
          <w:trHeight w:val="243"/>
        </w:trPr>
        <w:tc>
          <w:tcPr>
            <w:tcW w:w="4920" w:type="dxa"/>
            <w:vAlign w:val="bottom"/>
          </w:tcPr>
          <w:p>
            <w:pPr>
              <w:jc w:val="right"/>
              <w:ind w:right="32"/>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5,309</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5,350</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5,292</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5,333</w:t>
            </w:r>
          </w:p>
        </w:tc>
      </w:tr>
      <w:tr>
        <w:trPr>
          <w:trHeight w:val="243"/>
        </w:trPr>
        <w:tc>
          <w:tcPr>
            <w:tcW w:w="4920" w:type="dxa"/>
            <w:vAlign w:val="bottom"/>
          </w:tcPr>
          <w:p>
            <w:pPr>
              <w:jc w:val="right"/>
              <w:ind w:right="32"/>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5,302</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5,302</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11,269</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11,269</w:t>
            </w:r>
          </w:p>
        </w:tc>
      </w:tr>
      <w:tr>
        <w:trPr>
          <w:trHeight w:val="237"/>
        </w:trPr>
        <w:tc>
          <w:tcPr>
            <w:tcW w:w="5040" w:type="dxa"/>
            <w:vAlign w:val="bottom"/>
            <w:gridSpan w:val="2"/>
          </w:tcPr>
          <w:p>
            <w:pPr>
              <w:jc w:val="right"/>
              <w:ind w:right="240"/>
              <w:spacing w:after="0"/>
              <w:rPr>
                <w:sz w:val="20"/>
                <w:szCs w:val="20"/>
                <w:color w:val="auto"/>
              </w:rPr>
            </w:pPr>
            <w:r>
              <w:rPr>
                <w:rFonts w:ascii="Arial" w:cs="Arial" w:eastAsia="Arial" w:hAnsi="Arial"/>
                <w:sz w:val="18"/>
                <w:szCs w:val="18"/>
                <w:color w:val="auto"/>
              </w:rPr>
              <w:t>Total lease payments</w:t>
            </w:r>
          </w:p>
        </w:tc>
        <w:tc>
          <w:tcPr>
            <w:tcW w:w="30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39,087</w:t>
            </w:r>
          </w:p>
        </w:tc>
        <w:tc>
          <w:tcPr>
            <w:tcW w:w="120" w:type="dxa"/>
            <w:vAlign w:val="bottom"/>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39,251</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Less: Interest</w:t>
            </w:r>
          </w:p>
        </w:tc>
        <w:tc>
          <w:tcPr>
            <w:tcW w:w="3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(10,940)</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(10,955)</w:t>
            </w:r>
          </w:p>
        </w:tc>
      </w:tr>
      <w:tr>
        <w:trPr>
          <w:trHeight w:val="257"/>
        </w:trPr>
        <w:tc>
          <w:tcPr>
            <w:tcW w:w="5040" w:type="dxa"/>
            <w:vAlign w:val="bottom"/>
            <w:gridSpan w:val="2"/>
          </w:tcPr>
          <w:p>
            <w:pPr>
              <w:jc w:val="right"/>
              <w:ind w:right="240"/>
              <w:spacing w:after="0"/>
              <w:rPr>
                <w:sz w:val="20"/>
                <w:szCs w:val="20"/>
                <w:color w:val="auto"/>
              </w:rPr>
            </w:pPr>
            <w:r>
              <w:rPr>
                <w:rFonts w:ascii="Arial" w:cs="Arial" w:eastAsia="Arial" w:hAnsi="Arial"/>
                <w:sz w:val="18"/>
                <w:szCs w:val="18"/>
                <w:color w:val="auto"/>
              </w:rPr>
              <w:t>Present value of lease liabilities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28,147</w:t>
            </w:r>
          </w:p>
        </w:tc>
        <w:tc>
          <w:tcPr>
            <w:tcW w:w="12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ind w:right="139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28,296</w:t>
            </w: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An explicit rate is not provided for some of the Company's leases, therefore the Company uses a mix of incremental borrowing rate based on the information available at commencement date, as well as implicit and explicit rates in determining the present value of lease payments.</w:t>
      </w:r>
    </w:p>
    <w:p>
      <w:pPr>
        <w:spacing w:after="0" w:line="35"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The Company has options to renew lease terms for facilities and other assets. The exercise of lease renewal options is generally at the Company's sole discretion. The Company evaluates renewal and termination options at the lease commencement date to determine if it is reasonably certain to exercise the option on the basis of economic factors. For certain leases, the Company's exercise of the renewal option was determined to be probable and the renewal period was accordingly included in the lease term and related calculations. Lease terms and discount rates as of September 30, 2019 are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September 30, 2019</w:t>
            </w:r>
          </w:p>
        </w:tc>
      </w:tr>
      <w:tr>
        <w:trPr>
          <w:trHeight w:val="250"/>
        </w:trPr>
        <w:tc>
          <w:tcPr>
            <w:tcW w:w="9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remaining lease term (years)</w:t>
            </w: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9740" w:type="dxa"/>
            <w:vAlign w:val="bottom"/>
            <w:gridSpan w:val="2"/>
          </w:tcPr>
          <w:p>
            <w:pPr>
              <w:ind w:left="180"/>
              <w:spacing w:after="0"/>
              <w:rPr>
                <w:sz w:val="20"/>
                <w:szCs w:val="20"/>
                <w:color w:val="auto"/>
              </w:rPr>
            </w:pPr>
            <w:r>
              <w:rPr>
                <w:rFonts w:ascii="Arial" w:cs="Arial" w:eastAsia="Arial" w:hAnsi="Arial"/>
                <w:sz w:val="18"/>
                <w:szCs w:val="18"/>
                <w:color w:val="auto"/>
              </w:rPr>
              <w:t>Operating leases</w:t>
            </w:r>
          </w:p>
        </w:tc>
        <w:tc>
          <w:tcPr>
            <w:tcW w:w="1660" w:type="dxa"/>
            <w:vAlign w:val="bottom"/>
          </w:tcPr>
          <w:p>
            <w:pPr>
              <w:ind w:left="1160"/>
              <w:spacing w:after="0"/>
              <w:rPr>
                <w:sz w:val="20"/>
                <w:szCs w:val="20"/>
                <w:color w:val="auto"/>
              </w:rPr>
            </w:pPr>
            <w:r>
              <w:rPr>
                <w:rFonts w:ascii="Arial" w:cs="Arial" w:eastAsia="Arial" w:hAnsi="Arial"/>
                <w:sz w:val="18"/>
                <w:szCs w:val="18"/>
                <w:color w:val="auto"/>
              </w:rPr>
              <w:t>7.07</w:t>
            </w:r>
          </w:p>
        </w:tc>
      </w:tr>
      <w:tr>
        <w:trPr>
          <w:trHeight w:val="27"/>
        </w:trPr>
        <w:tc>
          <w:tcPr>
            <w:tcW w:w="9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9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Finance leases</w:t>
            </w:r>
          </w:p>
        </w:tc>
        <w:tc>
          <w:tcPr>
            <w:tcW w:w="166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3.75</w:t>
            </w:r>
          </w:p>
        </w:tc>
      </w:tr>
      <w:tr>
        <w:trPr>
          <w:trHeight w:val="243"/>
        </w:trPr>
        <w:tc>
          <w:tcPr>
            <w:tcW w:w="9740" w:type="dxa"/>
            <w:vAlign w:val="bottom"/>
            <w:gridSpan w:val="2"/>
          </w:tcPr>
          <w:p>
            <w:pPr>
              <w:ind w:left="40"/>
              <w:spacing w:after="0"/>
              <w:rPr>
                <w:sz w:val="20"/>
                <w:szCs w:val="20"/>
                <w:color w:val="auto"/>
              </w:rPr>
            </w:pPr>
            <w:r>
              <w:rPr>
                <w:rFonts w:ascii="Arial" w:cs="Arial" w:eastAsia="Arial" w:hAnsi="Arial"/>
                <w:sz w:val="18"/>
                <w:szCs w:val="18"/>
                <w:color w:val="auto"/>
              </w:rPr>
              <w:t>Weighted average discount rate</w:t>
            </w:r>
          </w:p>
        </w:tc>
        <w:tc>
          <w:tcPr>
            <w:tcW w:w="1660" w:type="dxa"/>
            <w:vAlign w:val="bottom"/>
          </w:tcPr>
          <w:p>
            <w:pPr>
              <w:spacing w:after="0"/>
              <w:rPr>
                <w:sz w:val="21"/>
                <w:szCs w:val="21"/>
                <w:color w:val="auto"/>
              </w:rPr>
            </w:pPr>
          </w:p>
        </w:tc>
      </w:tr>
      <w:tr>
        <w:trPr>
          <w:trHeight w:val="27"/>
        </w:trPr>
        <w:tc>
          <w:tcPr>
            <w:tcW w:w="9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9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Operating leases</w:t>
            </w:r>
          </w:p>
        </w:tc>
        <w:tc>
          <w:tcPr>
            <w:tcW w:w="166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w w:val="93"/>
              </w:rPr>
              <w:t>9.46%</w:t>
            </w:r>
          </w:p>
        </w:tc>
      </w:tr>
      <w:tr>
        <w:trPr>
          <w:trHeight w:val="243"/>
        </w:trPr>
        <w:tc>
          <w:tcPr>
            <w:tcW w:w="9740" w:type="dxa"/>
            <w:vAlign w:val="bottom"/>
            <w:gridSpan w:val="2"/>
          </w:tcPr>
          <w:p>
            <w:pPr>
              <w:ind w:left="180"/>
              <w:spacing w:after="0"/>
              <w:rPr>
                <w:sz w:val="20"/>
                <w:szCs w:val="20"/>
                <w:color w:val="auto"/>
              </w:rPr>
            </w:pPr>
            <w:r>
              <w:rPr>
                <w:rFonts w:ascii="Arial" w:cs="Arial" w:eastAsia="Arial" w:hAnsi="Arial"/>
                <w:sz w:val="18"/>
                <w:szCs w:val="18"/>
                <w:color w:val="auto"/>
              </w:rPr>
              <w:t>Finance leases</w:t>
            </w:r>
          </w:p>
        </w:tc>
        <w:tc>
          <w:tcPr>
            <w:tcW w:w="1660" w:type="dxa"/>
            <w:vAlign w:val="bottom"/>
          </w:tcPr>
          <w:p>
            <w:pPr>
              <w:ind w:left="1160"/>
              <w:spacing w:after="0"/>
              <w:rPr>
                <w:sz w:val="20"/>
                <w:szCs w:val="20"/>
                <w:color w:val="auto"/>
              </w:rPr>
            </w:pPr>
            <w:r>
              <w:rPr>
                <w:rFonts w:ascii="Arial" w:cs="Arial" w:eastAsia="Arial" w:hAnsi="Arial"/>
                <w:sz w:val="18"/>
                <w:szCs w:val="18"/>
                <w:color w:val="auto"/>
                <w:w w:val="93"/>
              </w:rPr>
              <w:t>5.00%</w:t>
            </w:r>
          </w:p>
        </w:tc>
      </w:tr>
    </w:tbl>
    <w:p>
      <w:pPr>
        <w:spacing w:after="0" w:line="200" w:lineRule="exact"/>
        <w:rPr>
          <w:sz w:val="20"/>
          <w:szCs w:val="20"/>
          <w:color w:val="auto"/>
        </w:rPr>
      </w:pPr>
    </w:p>
    <w:p>
      <w:pPr>
        <w:spacing w:after="0" w:line="245" w:lineRule="exact"/>
        <w:rPr>
          <w:sz w:val="20"/>
          <w:szCs w:val="20"/>
          <w:color w:val="auto"/>
        </w:rPr>
      </w:pPr>
    </w:p>
    <w:p>
      <w:pPr>
        <w:ind w:right="140" w:firstLine="243"/>
        <w:spacing w:after="0" w:line="277" w:lineRule="auto"/>
        <w:rPr>
          <w:sz w:val="20"/>
          <w:szCs w:val="20"/>
          <w:color w:val="auto"/>
        </w:rPr>
      </w:pPr>
      <w:r>
        <w:rPr>
          <w:rFonts w:ascii="Arial" w:cs="Arial" w:eastAsia="Arial" w:hAnsi="Arial"/>
          <w:sz w:val="18"/>
          <w:szCs w:val="18"/>
          <w:color w:val="auto"/>
        </w:rPr>
        <w:t>Future minimum payments related to operating and capital leases, as reflected under the prior guidance, for the fiscal year ended December 31, 2018, are as follows with no changes from prior disclosure: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57"/>
              <w:spacing w:after="0"/>
              <w:rPr>
                <w:sz w:val="20"/>
                <w:szCs w:val="20"/>
                <w:color w:val="auto"/>
              </w:rPr>
            </w:pPr>
            <w:r>
              <w:rPr>
                <w:rFonts w:ascii="Arial" w:cs="Arial" w:eastAsia="Arial" w:hAnsi="Arial"/>
                <w:sz w:val="14"/>
                <w:szCs w:val="14"/>
                <w:b w:val="1"/>
                <w:bCs w:val="1"/>
                <w:color w:val="auto"/>
                <w:w w:val="96"/>
              </w:rPr>
              <w:t>More than 5</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15,386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Capital leases</w:t>
            </w:r>
          </w:p>
        </w:tc>
        <w:tc>
          <w:tcPr>
            <w:tcW w:w="24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15,591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4,920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4,760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4,795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1,007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 Restricted Stock Units and Equity Incentive Plans</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has historically had various stock incentive plans and agreements that provide for the issuance of nonqualified and incentive stock options as well as other equity awards. Such awards may be granted by the Company’s Board of Directors to certain of the Company’s employees, directors and consultants.</w:t>
      </w:r>
    </w:p>
    <w:p>
      <w:pPr>
        <w:spacing w:after="0" w:line="181"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Options and restricted stock units granted to employees and non-employees under these plans expire no later than ten years from the date of grant and generally become exercisable over a four year period, under a graded-vesting methodology for stock options and annually on the anniversary grant date for restricted stock units, following the date of grant. The Company generally issues new shares upon the exercise of stock options or vesting of restricted stock units. For certain non-employee consultants, stock option awards continue to vest post-termination. The guidance for non-employee stock compensation accounting for equity-classified awards was updated, and these awards are now subject to fixed grant date fair value principles which eliminates the variable mark-to-market accounting. The options were valued as of the adoption date of July 1, 2018.</w:t>
      </w:r>
    </w:p>
    <w:p>
      <w:pPr>
        <w:spacing w:after="0" w:line="178"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2019 Omnibus Incentive Plan (2019 Plan) was approved on May 1, 2019 and provides incentives through the grant of stock options, stock appreciation rights, restricted stock awards and restricted stock units. The exercise price of stock options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806" w:right="239" w:bottom="1440" w:gutter="0" w:footer="0" w:header="0"/>
        </w:sectPr>
      </w:pPr>
    </w:p>
    <w:bookmarkStart w:id="15" w:name="page16"/>
    <w:bookmarkEnd w:id="15"/>
    <w:p>
      <w:pPr>
        <w:jc w:val="both"/>
        <w:spacing w:after="0" w:line="257" w:lineRule="auto"/>
        <w:rPr>
          <w:sz w:val="20"/>
          <w:szCs w:val="20"/>
          <w:color w:val="auto"/>
        </w:rPr>
      </w:pPr>
      <w:r>
        <w:rPr>
          <w:rFonts w:ascii="Arial" w:cs="Arial" w:eastAsia="Arial" w:hAnsi="Arial"/>
          <w:sz w:val="18"/>
          <w:szCs w:val="18"/>
          <w:color w:val="auto"/>
        </w:rPr>
        <w:t>granted under the 2019 Plan shall not be less than the fair market value of the Company’s common stock on the date of grant. The 2019 Plan replaced the 1992 Stock Option Plan, the 2001 Stock Option Plan, the Amended and Restated 2004 Equity Incentive Plan, the 2009 Second Amended and Restated Omnibus Incentive Plan and the 2017 Omnibus Incentive Plan (Prior Plans), and no new awards have been granted under the Prior Plans after approval. However, the expiration or forfeiture of options previously granted under the Prior Plans will increase the number of shares available for issuance under the 2019 Plan.</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September 30, 2019, there were 3,605,081 shares available for future grant under the 2019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Employees are able to purchase stock under the Vericel Corporation Employee Stock Purchase Plan (ESPP). The ESPP allows for the issuance of an aggregate of 1,000,000 shares of common stock of which 576,723 have been issued since the inception of the plan in 2015. Participation in this plan is available to substantially all employees. The ESPP is a compensatory plan accounted for under the expense recognition provisions of the share-based payment accounting standards. Compensation expense is recorded based on the fair market value of the purchase options at the grant date, which corresponds to the first day of each purchase period and is amortized over the purchase period. On October 1, 2019, employees purchased 17,746 shares resulting in proceeds from the sale of common stock of $0.2 million under the ESPP.</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Service-Based Stock Options</w:t>
      </w:r>
    </w:p>
    <w:p>
      <w:pPr>
        <w:spacing w:after="0" w:line="225"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During the three and nine months ended September 30, 2019, the Company granted 111,600 and 1,750,110 service-based options to purchase common stock. The options have an exercise price equal to the fair market value per share of common stock on the grant date, generally vest over four years (other than non-employee director options which vest over one year) and have a term of ten years. The Company issues new shares upon the exercise of stock options. The weighted average grant-date fair value of service-based options granted under the 2017 Omnibus Incentive Plan and 2019 Plan for the three and nine month periods ended September 30, 2019 was $13.28 and $12.77, respectively and $10.90 and $9.62, respectively, for the same periods in 2018.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During the nine months ended September 30, 2019, the Company granted 186,922 service-based restricted stock units. The restricted stock units vest annually over four years in equal installments commencing on the first anniversary of the grant date (other than non-employee director options which vest over one year from the grant date). The Company issues new shares upon the vesting of restricted stock units. Restricted stock awards are recorded at fair value at the date of grant, which is based on the closing share price on the grant date. Compensation expense is recorded for restricted stock units that are expected to vest based on their fair value at grant date and is amortized over the expected vesting period. The weighted average grant-date fair value of restricted stock units awarded for the nine months ended September 30, 2019 was $17.71. The total grant-date fair value of restricted stock units granted in the nine months ended September 30, 2019 was $3.3 million. No restricted stock units were granted in 2018.</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 Compensation Expense</w:t>
      </w:r>
    </w:p>
    <w:p>
      <w:pPr>
        <w:spacing w:after="0" w:line="225"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Non-cash stock-based compensation expense (employee stock purchase plan, service-based stock options and restricted stock units) included in cost of goods sold, research and development expenses and selling, general and administrative expenses is summarized in the following table: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543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820</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21"/>
                <w:szCs w:val="21"/>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583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1,993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1,282</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2,159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6,583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3,637</w:t>
            </w:r>
          </w:p>
        </w:tc>
      </w:tr>
      <w:tr>
        <w:trPr>
          <w:trHeight w:val="237"/>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Total non-cash stock-based compensation expense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3,285</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1,932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10,095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5,739</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fair value of each service-based stock option grant for the reported periods is estimated on the date of the grant using the Black-Scholes option-pricing model using the weighted average assumptions noted in the following table.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0" w:type="dxa"/>
            <w:vAlign w:val="bottom"/>
            <w:tcBorders>
              <w:bottom w:val="single" w:sz="8" w:color="auto"/>
            </w:tcBorders>
            <w:gridSpan w:val="3"/>
          </w:tcPr>
          <w:p>
            <w:pPr>
              <w:jc w:val="right"/>
              <w:ind w:right="434"/>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Service-Based Stock Options</w:t>
            </w:r>
          </w:p>
        </w:tc>
        <w:tc>
          <w:tcPr>
            <w:tcW w:w="10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2018</w:t>
            </w:r>
          </w:p>
        </w:tc>
      </w:tr>
      <w:tr>
        <w:trPr>
          <w:trHeight w:val="25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dividend rate</w:t>
            </w:r>
          </w:p>
        </w:tc>
        <w:tc>
          <w:tcPr>
            <w:tcW w:w="1640" w:type="dxa"/>
            <w:vAlign w:val="bottom"/>
            <w:tcBorders>
              <w:bottom w:val="single" w:sz="8" w:color="CCEEFF"/>
            </w:tcBorders>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220" w:type="dxa"/>
            <w:vAlign w:val="bottom"/>
            <w:gridSpan w:val="2"/>
          </w:tcPr>
          <w:p>
            <w:pPr>
              <w:ind w:left="40"/>
              <w:spacing w:after="0"/>
              <w:rPr>
                <w:sz w:val="20"/>
                <w:szCs w:val="20"/>
                <w:color w:val="auto"/>
              </w:rPr>
            </w:pPr>
            <w:r>
              <w:rPr>
                <w:rFonts w:ascii="Arial" w:cs="Arial" w:eastAsia="Arial" w:hAnsi="Arial"/>
                <w:sz w:val="18"/>
                <w:szCs w:val="18"/>
                <w:color w:val="auto"/>
              </w:rPr>
              <w:t>Expected stock price volatility</w:t>
            </w:r>
          </w:p>
        </w:tc>
        <w:tc>
          <w:tcPr>
            <w:tcW w:w="1540" w:type="dxa"/>
            <w:vAlign w:val="bottom"/>
          </w:tcPr>
          <w:p>
            <w:pPr>
              <w:jc w:val="right"/>
              <w:ind w:right="116"/>
              <w:spacing w:after="0"/>
              <w:rPr>
                <w:sz w:val="20"/>
                <w:szCs w:val="20"/>
                <w:color w:val="auto"/>
              </w:rPr>
            </w:pPr>
            <w:r>
              <w:rPr>
                <w:rFonts w:ascii="Arial" w:cs="Arial" w:eastAsia="Arial" w:hAnsi="Arial"/>
                <w:sz w:val="18"/>
                <w:szCs w:val="18"/>
                <w:color w:val="auto"/>
              </w:rPr>
              <w:t>79.5-85.5%</w:t>
            </w:r>
          </w:p>
        </w:tc>
        <w:tc>
          <w:tcPr>
            <w:tcW w:w="100" w:type="dxa"/>
            <w:vAlign w:val="bottom"/>
          </w:tcPr>
          <w:p>
            <w:pPr>
              <w:spacing w:after="0"/>
              <w:rPr>
                <w:sz w:val="21"/>
                <w:szCs w:val="21"/>
                <w:color w:val="auto"/>
              </w:rPr>
            </w:pPr>
          </w:p>
        </w:tc>
        <w:tc>
          <w:tcPr>
            <w:tcW w:w="1560" w:type="dxa"/>
            <w:vAlign w:val="bottom"/>
          </w:tcPr>
          <w:p>
            <w:pPr>
              <w:jc w:val="right"/>
              <w:ind w:right="94"/>
              <w:spacing w:after="0"/>
              <w:rPr>
                <w:sz w:val="20"/>
                <w:szCs w:val="20"/>
                <w:color w:val="auto"/>
              </w:rPr>
            </w:pPr>
            <w:r>
              <w:rPr>
                <w:rFonts w:ascii="Arial" w:cs="Arial" w:eastAsia="Arial" w:hAnsi="Arial"/>
                <w:sz w:val="18"/>
                <w:szCs w:val="18"/>
                <w:color w:val="auto"/>
              </w:rPr>
              <w:t>82.3-88.3%</w:t>
            </w:r>
          </w:p>
        </w:tc>
      </w:tr>
      <w:tr>
        <w:trPr>
          <w:trHeight w:val="27"/>
        </w:trPr>
        <w:tc>
          <w:tcPr>
            <w:tcW w:w="8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5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1.4-2.7%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2.4-2.9%</w:t>
            </w:r>
          </w:p>
        </w:tc>
      </w:tr>
      <w:tr>
        <w:trPr>
          <w:trHeight w:val="243"/>
        </w:trPr>
        <w:tc>
          <w:tcPr>
            <w:tcW w:w="8220" w:type="dxa"/>
            <w:vAlign w:val="bottom"/>
            <w:gridSpan w:val="2"/>
          </w:tcPr>
          <w:p>
            <w:pPr>
              <w:ind w:left="40"/>
              <w:spacing w:after="0"/>
              <w:rPr>
                <w:sz w:val="20"/>
                <w:szCs w:val="20"/>
                <w:color w:val="auto"/>
              </w:rPr>
            </w:pPr>
            <w:r>
              <w:rPr>
                <w:rFonts w:ascii="Arial" w:cs="Arial" w:eastAsia="Arial" w:hAnsi="Arial"/>
                <w:sz w:val="18"/>
                <w:szCs w:val="18"/>
                <w:color w:val="auto"/>
              </w:rPr>
              <w:t>Expected life (years)</w:t>
            </w:r>
          </w:p>
        </w:tc>
        <w:tc>
          <w:tcPr>
            <w:tcW w:w="1540" w:type="dxa"/>
            <w:vAlign w:val="bottom"/>
          </w:tcPr>
          <w:p>
            <w:pPr>
              <w:jc w:val="right"/>
              <w:ind w:right="116"/>
              <w:spacing w:after="0"/>
              <w:rPr>
                <w:sz w:val="20"/>
                <w:szCs w:val="20"/>
                <w:color w:val="auto"/>
              </w:rPr>
            </w:pPr>
            <w:r>
              <w:rPr>
                <w:rFonts w:ascii="Arial" w:cs="Arial" w:eastAsia="Arial" w:hAnsi="Arial"/>
                <w:sz w:val="18"/>
                <w:szCs w:val="18"/>
                <w:color w:val="auto"/>
              </w:rPr>
              <w:t>5.3-6.3</w:t>
            </w:r>
          </w:p>
        </w:tc>
        <w:tc>
          <w:tcPr>
            <w:tcW w:w="100" w:type="dxa"/>
            <w:vAlign w:val="bottom"/>
          </w:tcPr>
          <w:p>
            <w:pPr>
              <w:spacing w:after="0"/>
              <w:rPr>
                <w:sz w:val="21"/>
                <w:szCs w:val="21"/>
                <w:color w:val="auto"/>
              </w:rPr>
            </w:pPr>
          </w:p>
        </w:tc>
        <w:tc>
          <w:tcPr>
            <w:tcW w:w="1560" w:type="dxa"/>
            <w:vAlign w:val="bottom"/>
          </w:tcPr>
          <w:p>
            <w:pPr>
              <w:jc w:val="right"/>
              <w:ind w:right="94"/>
              <w:spacing w:after="0"/>
              <w:rPr>
                <w:sz w:val="20"/>
                <w:szCs w:val="20"/>
                <w:color w:val="auto"/>
              </w:rPr>
            </w:pPr>
            <w:r>
              <w:rPr>
                <w:rFonts w:ascii="Arial" w:cs="Arial" w:eastAsia="Arial" w:hAnsi="Arial"/>
                <w:sz w:val="18"/>
                <w:szCs w:val="18"/>
                <w:color w:val="auto"/>
              </w:rPr>
              <w:t>5.3-6.3</w:t>
            </w: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Cash Equivalents and Investments</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Marketable debt securities are classified as available-for-sale and carried at fair value in the accompanying consolidated balance sheets on a settlement date basis. The following tables summarize the gross unrealized gains and losses of the Company’s marketable securities as of September 30, 2019 and December 31, 2018:</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40" w:type="dxa"/>
            <w:vAlign w:val="bottom"/>
            <w:gridSpan w:val="3"/>
          </w:tcPr>
          <w:p>
            <w:pPr>
              <w:jc w:val="center"/>
              <w:ind w:left="696"/>
              <w:spacing w:after="0"/>
              <w:rPr>
                <w:sz w:val="20"/>
                <w:szCs w:val="20"/>
                <w:color w:val="auto"/>
              </w:rPr>
            </w:pPr>
            <w:r>
              <w:rPr>
                <w:rFonts w:ascii="Arial" w:cs="Arial" w:eastAsia="Arial" w:hAnsi="Arial"/>
                <w:sz w:val="14"/>
                <w:szCs w:val="14"/>
                <w:b w:val="1"/>
                <w:bCs w:val="1"/>
                <w:color w:val="auto"/>
                <w:w w:val="91"/>
              </w:rPr>
              <w:t>September 30, 2019</w:t>
            </w: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140" w:type="dxa"/>
            <w:vAlign w:val="bottom"/>
            <w:gridSpan w:val="3"/>
          </w:tcPr>
          <w:p>
            <w:pPr>
              <w:jc w:val="center"/>
              <w:ind w:left="716"/>
              <w:spacing w:after="0"/>
              <w:rPr>
                <w:sz w:val="20"/>
                <w:szCs w:val="20"/>
                <w:color w:val="auto"/>
              </w:rPr>
            </w:pPr>
            <w:r>
              <w:rPr>
                <w:rFonts w:ascii="Arial" w:cs="Arial" w:eastAsia="Arial" w:hAnsi="Arial"/>
                <w:sz w:val="14"/>
                <w:szCs w:val="14"/>
                <w:b w:val="1"/>
                <w:bCs w:val="1"/>
                <w:color w:val="auto"/>
                <w:w w:val="92"/>
              </w:rPr>
              <w:t>Gross Unrealized</w:t>
            </w: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3780" w:type="dxa"/>
            <w:vAlign w:val="bottom"/>
            <w:tcBorders>
              <w:bottom w:val="single" w:sz="8" w:color="BFE4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Borders>
              <w:bottom w:val="single" w:sz="8" w:color="BFE4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Gains</w:t>
            </w:r>
          </w:p>
        </w:tc>
        <w:tc>
          <w:tcPr>
            <w:tcW w:w="100" w:type="dxa"/>
            <w:vAlign w:val="bottom"/>
            <w:tcBorders>
              <w:bottom w:val="single" w:sz="8" w:color="BFE4FF"/>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w w:val="95"/>
              </w:rPr>
              <w:t>Losses</w:t>
            </w:r>
          </w:p>
        </w:tc>
        <w:tc>
          <w:tcPr>
            <w:tcW w:w="120" w:type="dxa"/>
            <w:vAlign w:val="bottom"/>
            <w:tcBorders>
              <w:bottom w:val="single" w:sz="8" w:color="BFE4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Money market funds</w:t>
            </w:r>
          </w:p>
        </w:tc>
        <w:tc>
          <w:tcPr>
            <w:tcW w:w="280" w:type="dxa"/>
            <w:vAlign w:val="bottom"/>
            <w:tcBorders>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19,431</w:t>
            </w:r>
          </w:p>
        </w:tc>
        <w:tc>
          <w:tcPr>
            <w:tcW w:w="120" w:type="dxa"/>
            <w:vAlign w:val="bottom"/>
            <w:tcBorders>
              <w:bottom w:val="single" w:sz="8" w:color="BFE4FF"/>
            </w:tcBorders>
            <w:shd w:val="clear" w:color="auto" w:fill="BFE4FF"/>
          </w:tcPr>
          <w:p>
            <w:pPr>
              <w:spacing w:after="0"/>
              <w:rPr>
                <w:sz w:val="21"/>
                <w:szCs w:val="21"/>
                <w:color w:val="auto"/>
              </w:rPr>
            </w:pPr>
          </w:p>
        </w:tc>
        <w:tc>
          <w:tcPr>
            <w:tcW w:w="420" w:type="dxa"/>
            <w:vAlign w:val="bottom"/>
            <w:tcBorders>
              <w:bottom w:val="single" w:sz="8" w:color="BFE4FF"/>
            </w:tcBorders>
            <w:shd w:val="clear" w:color="auto" w:fill="BFE4FF"/>
          </w:tcPr>
          <w:p>
            <w:pPr>
              <w:jc w:val="right"/>
              <w:ind w:right="2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BFE4FF"/>
            </w:tcBorders>
            <w:shd w:val="clear" w:color="auto" w:fill="BFE4FF"/>
          </w:tcPr>
          <w:p>
            <w:pPr>
              <w:jc w:val="right"/>
              <w:ind w:right="4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BFE4FF"/>
            </w:tcBorders>
            <w:shd w:val="clear" w:color="auto" w:fill="BFE4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19,431</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Commercial paper</w:t>
            </w:r>
          </w:p>
        </w:tc>
        <w:tc>
          <w:tcPr>
            <w:tcW w:w="28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13,018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13,018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Corporate notes</w:t>
            </w:r>
          </w:p>
        </w:tc>
        <w:tc>
          <w:tcPr>
            <w:tcW w:w="280" w:type="dxa"/>
            <w:vAlign w:val="bottom"/>
            <w:tcBorders>
              <w:bottom w:val="single" w:sz="8" w:color="BFE4FF"/>
            </w:tcBorders>
            <w:shd w:val="clear" w:color="auto" w:fill="BFE4FF"/>
          </w:tcPr>
          <w:p>
            <w:pPr>
              <w:spacing w:after="0"/>
              <w:rPr>
                <w:sz w:val="21"/>
                <w:szCs w:val="21"/>
                <w:color w:val="auto"/>
              </w:rPr>
            </w:pPr>
          </w:p>
        </w:tc>
        <w:tc>
          <w:tcPr>
            <w:tcW w:w="156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13,549</w:t>
            </w:r>
          </w:p>
        </w:tc>
        <w:tc>
          <w:tcPr>
            <w:tcW w:w="120" w:type="dxa"/>
            <w:vAlign w:val="bottom"/>
            <w:tcBorders>
              <w:bottom w:val="single" w:sz="8" w:color="BFE4FF"/>
            </w:tcBorders>
            <w:shd w:val="clear" w:color="auto" w:fill="BFE4FF"/>
          </w:tcPr>
          <w:p>
            <w:pPr>
              <w:spacing w:after="0"/>
              <w:rPr>
                <w:sz w:val="21"/>
                <w:szCs w:val="21"/>
                <w:color w:val="auto"/>
              </w:rPr>
            </w:pPr>
          </w:p>
        </w:tc>
        <w:tc>
          <w:tcPr>
            <w:tcW w:w="420" w:type="dxa"/>
            <w:vAlign w:val="bottom"/>
            <w:tcBorders>
              <w:bottom w:val="single" w:sz="8" w:color="BFE4FF"/>
            </w:tcBorders>
            <w:shd w:val="clear" w:color="auto" w:fill="BFE4FF"/>
          </w:tcPr>
          <w:p>
            <w:pPr>
              <w:spacing w:after="0"/>
              <w:rPr>
                <w:sz w:val="21"/>
                <w:szCs w:val="21"/>
                <w:color w:val="auto"/>
              </w:rPr>
            </w:pPr>
          </w:p>
        </w:tc>
        <w:tc>
          <w:tcPr>
            <w:tcW w:w="140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BFE4FF"/>
            </w:tcBorders>
            <w:shd w:val="clear" w:color="auto" w:fill="BFE4FF"/>
          </w:tcPr>
          <w:p>
            <w:pPr>
              <w:spacing w:after="0"/>
              <w:rPr>
                <w:sz w:val="21"/>
                <w:szCs w:val="21"/>
                <w:color w:val="auto"/>
              </w:rPr>
            </w:pPr>
          </w:p>
        </w:tc>
        <w:tc>
          <w:tcPr>
            <w:tcW w:w="640" w:type="dxa"/>
            <w:vAlign w:val="bottom"/>
            <w:tcBorders>
              <w:bottom w:val="single" w:sz="8" w:color="BFE4FF"/>
            </w:tcBorders>
            <w:shd w:val="clear" w:color="auto" w:fill="BFE4FF"/>
          </w:tcPr>
          <w:p>
            <w:pPr>
              <w:spacing w:after="0"/>
              <w:rPr>
                <w:sz w:val="21"/>
                <w:szCs w:val="21"/>
                <w:color w:val="auto"/>
              </w:rPr>
            </w:pPr>
          </w:p>
        </w:tc>
        <w:tc>
          <w:tcPr>
            <w:tcW w:w="130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BFE4FF"/>
            </w:tcBorders>
            <w:shd w:val="clear" w:color="auto" w:fill="BFE4FF"/>
          </w:tcPr>
          <w:p>
            <w:pPr>
              <w:spacing w:after="0"/>
              <w:rPr>
                <w:sz w:val="21"/>
                <w:szCs w:val="21"/>
                <w:color w:val="auto"/>
              </w:rPr>
            </w:pPr>
          </w:p>
        </w:tc>
        <w:tc>
          <w:tcPr>
            <w:tcW w:w="148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13,568</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U.S. government securities</w:t>
            </w:r>
          </w:p>
        </w:tc>
        <w:tc>
          <w:tcPr>
            <w:tcW w:w="28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6,986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6,992</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U.S. asset-backed securities</w:t>
            </w:r>
          </w:p>
        </w:tc>
        <w:tc>
          <w:tcPr>
            <w:tcW w:w="280" w:type="dxa"/>
            <w:vAlign w:val="bottom"/>
            <w:tcBorders>
              <w:bottom w:val="single" w:sz="8" w:color="BFE4FF"/>
            </w:tcBorders>
            <w:shd w:val="clear" w:color="auto" w:fill="BFE4FF"/>
          </w:tcPr>
          <w:p>
            <w:pPr>
              <w:spacing w:after="0"/>
              <w:rPr>
                <w:sz w:val="23"/>
                <w:szCs w:val="23"/>
                <w:color w:val="auto"/>
              </w:rPr>
            </w:pPr>
          </w:p>
        </w:tc>
        <w:tc>
          <w:tcPr>
            <w:tcW w:w="156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4,178</w:t>
            </w:r>
          </w:p>
        </w:tc>
        <w:tc>
          <w:tcPr>
            <w:tcW w:w="120" w:type="dxa"/>
            <w:vAlign w:val="bottom"/>
            <w:tcBorders>
              <w:bottom w:val="single" w:sz="8" w:color="BFE4FF"/>
            </w:tcBorders>
            <w:shd w:val="clear" w:color="auto" w:fill="BFE4FF"/>
          </w:tcPr>
          <w:p>
            <w:pPr>
              <w:spacing w:after="0"/>
              <w:rPr>
                <w:sz w:val="23"/>
                <w:szCs w:val="23"/>
                <w:color w:val="auto"/>
              </w:rPr>
            </w:pPr>
          </w:p>
        </w:tc>
        <w:tc>
          <w:tcPr>
            <w:tcW w:w="420" w:type="dxa"/>
            <w:vAlign w:val="bottom"/>
            <w:tcBorders>
              <w:bottom w:val="single" w:sz="8" w:color="BFE4FF"/>
            </w:tcBorders>
            <w:shd w:val="clear" w:color="auto" w:fill="BFE4FF"/>
          </w:tcPr>
          <w:p>
            <w:pPr>
              <w:spacing w:after="0"/>
              <w:rPr>
                <w:sz w:val="23"/>
                <w:szCs w:val="23"/>
                <w:color w:val="auto"/>
              </w:rPr>
            </w:pPr>
          </w:p>
        </w:tc>
        <w:tc>
          <w:tcPr>
            <w:tcW w:w="140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BFE4FF"/>
            </w:tcBorders>
            <w:shd w:val="clear" w:color="auto" w:fill="BFE4FF"/>
          </w:tcPr>
          <w:p>
            <w:pPr>
              <w:spacing w:after="0"/>
              <w:rPr>
                <w:sz w:val="23"/>
                <w:szCs w:val="23"/>
                <w:color w:val="auto"/>
              </w:rPr>
            </w:pPr>
          </w:p>
        </w:tc>
        <w:tc>
          <w:tcPr>
            <w:tcW w:w="640" w:type="dxa"/>
            <w:vAlign w:val="bottom"/>
            <w:tcBorders>
              <w:bottom w:val="single" w:sz="8" w:color="BFE4FF"/>
            </w:tcBorders>
            <w:shd w:val="clear" w:color="auto" w:fill="BFE4FF"/>
          </w:tcPr>
          <w:p>
            <w:pPr>
              <w:spacing w:after="0"/>
              <w:rPr>
                <w:sz w:val="23"/>
                <w:szCs w:val="23"/>
                <w:color w:val="auto"/>
              </w:rPr>
            </w:pPr>
          </w:p>
        </w:tc>
        <w:tc>
          <w:tcPr>
            <w:tcW w:w="130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BFE4FF"/>
            </w:tcBorders>
            <w:shd w:val="clear" w:color="auto" w:fill="BFE4FF"/>
          </w:tcPr>
          <w:p>
            <w:pPr>
              <w:spacing w:after="0"/>
              <w:rPr>
                <w:sz w:val="23"/>
                <w:szCs w:val="23"/>
                <w:color w:val="auto"/>
              </w:rPr>
            </w:pPr>
          </w:p>
        </w:tc>
        <w:tc>
          <w:tcPr>
            <w:tcW w:w="148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4,182</w:t>
            </w: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57,162</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6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57,191</w:t>
            </w:r>
          </w:p>
        </w:tc>
        <w:tc>
          <w:tcPr>
            <w:tcW w:w="0" w:type="dxa"/>
            <w:vAlign w:val="bottom"/>
          </w:tcPr>
          <w:p>
            <w:pPr>
              <w:spacing w:after="0"/>
              <w:rPr>
                <w:sz w:val="1"/>
                <w:szCs w:val="1"/>
                <w:color w:val="auto"/>
              </w:rPr>
            </w:pPr>
          </w:p>
        </w:tc>
      </w:tr>
      <w:tr>
        <w:trPr>
          <w:trHeight w:val="67"/>
        </w:trPr>
        <w:tc>
          <w:tcPr>
            <w:tcW w:w="3780" w:type="dxa"/>
            <w:vAlign w:val="bottom"/>
            <w:tcBorders>
              <w:bottom w:val="single" w:sz="8" w:color="BFE4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120" w:type="dxa"/>
            <w:vAlign w:val="bottom"/>
            <w:tcBorders>
              <w:bottom w:val="single" w:sz="8" w:color="BFE4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BFE4FF"/>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BFE4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7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Classified as:</w:t>
            </w:r>
          </w:p>
        </w:tc>
        <w:tc>
          <w:tcPr>
            <w:tcW w:w="280" w:type="dxa"/>
            <w:vAlign w:val="bottom"/>
            <w:tcBorders>
              <w:bottom w:val="single" w:sz="8" w:color="BFE4FF"/>
            </w:tcBorders>
            <w:shd w:val="clear" w:color="auto" w:fill="BFE4FF"/>
          </w:tcPr>
          <w:p>
            <w:pPr>
              <w:spacing w:after="0"/>
              <w:rPr>
                <w:sz w:val="20"/>
                <w:szCs w:val="20"/>
                <w:color w:val="auto"/>
              </w:rPr>
            </w:pPr>
          </w:p>
        </w:tc>
        <w:tc>
          <w:tcPr>
            <w:tcW w:w="1560" w:type="dxa"/>
            <w:vAlign w:val="bottom"/>
            <w:tcBorders>
              <w:bottom w:val="single" w:sz="8" w:color="BFE4FF"/>
            </w:tcBorders>
            <w:shd w:val="clear" w:color="auto" w:fill="BFE4FF"/>
          </w:tcPr>
          <w:p>
            <w:pPr>
              <w:spacing w:after="0"/>
              <w:rPr>
                <w:sz w:val="20"/>
                <w:szCs w:val="20"/>
                <w:color w:val="auto"/>
              </w:rPr>
            </w:pPr>
          </w:p>
        </w:tc>
        <w:tc>
          <w:tcPr>
            <w:tcW w:w="120" w:type="dxa"/>
            <w:vAlign w:val="bottom"/>
            <w:tcBorders>
              <w:bottom w:val="single" w:sz="8" w:color="BFE4FF"/>
            </w:tcBorders>
            <w:shd w:val="clear" w:color="auto" w:fill="BFE4FF"/>
          </w:tcPr>
          <w:p>
            <w:pPr>
              <w:spacing w:after="0"/>
              <w:rPr>
                <w:sz w:val="20"/>
                <w:szCs w:val="20"/>
                <w:color w:val="auto"/>
              </w:rPr>
            </w:pPr>
          </w:p>
        </w:tc>
        <w:tc>
          <w:tcPr>
            <w:tcW w:w="420" w:type="dxa"/>
            <w:vAlign w:val="bottom"/>
            <w:tcBorders>
              <w:bottom w:val="single" w:sz="8" w:color="BFE4FF"/>
            </w:tcBorders>
            <w:shd w:val="clear" w:color="auto" w:fill="BFE4FF"/>
          </w:tcPr>
          <w:p>
            <w:pPr>
              <w:spacing w:after="0"/>
              <w:rPr>
                <w:sz w:val="20"/>
                <w:szCs w:val="20"/>
                <w:color w:val="auto"/>
              </w:rPr>
            </w:pPr>
          </w:p>
        </w:tc>
        <w:tc>
          <w:tcPr>
            <w:tcW w:w="1400" w:type="dxa"/>
            <w:vAlign w:val="bottom"/>
            <w:tcBorders>
              <w:bottom w:val="single" w:sz="8" w:color="BFE4FF"/>
            </w:tcBorders>
            <w:shd w:val="clear" w:color="auto" w:fill="BFE4FF"/>
          </w:tcPr>
          <w:p>
            <w:pPr>
              <w:spacing w:after="0"/>
              <w:rPr>
                <w:sz w:val="20"/>
                <w:szCs w:val="20"/>
                <w:color w:val="auto"/>
              </w:rPr>
            </w:pPr>
          </w:p>
        </w:tc>
        <w:tc>
          <w:tcPr>
            <w:tcW w:w="100" w:type="dxa"/>
            <w:vAlign w:val="bottom"/>
            <w:tcBorders>
              <w:bottom w:val="single" w:sz="8" w:color="BFE4FF"/>
            </w:tcBorders>
            <w:shd w:val="clear" w:color="auto" w:fill="BFE4FF"/>
          </w:tcPr>
          <w:p>
            <w:pPr>
              <w:spacing w:after="0"/>
              <w:rPr>
                <w:sz w:val="20"/>
                <w:szCs w:val="20"/>
                <w:color w:val="auto"/>
              </w:rPr>
            </w:pPr>
          </w:p>
        </w:tc>
        <w:tc>
          <w:tcPr>
            <w:tcW w:w="640" w:type="dxa"/>
            <w:vAlign w:val="bottom"/>
            <w:tcBorders>
              <w:bottom w:val="single" w:sz="8" w:color="BFE4FF"/>
            </w:tcBorders>
            <w:shd w:val="clear" w:color="auto" w:fill="BFE4FF"/>
          </w:tcPr>
          <w:p>
            <w:pPr>
              <w:spacing w:after="0"/>
              <w:rPr>
                <w:sz w:val="20"/>
                <w:szCs w:val="20"/>
                <w:color w:val="auto"/>
              </w:rPr>
            </w:pPr>
          </w:p>
        </w:tc>
        <w:tc>
          <w:tcPr>
            <w:tcW w:w="1180" w:type="dxa"/>
            <w:vAlign w:val="bottom"/>
            <w:tcBorders>
              <w:bottom w:val="single" w:sz="8" w:color="BFE4FF"/>
            </w:tcBorders>
            <w:shd w:val="clear" w:color="auto" w:fill="BFE4FF"/>
          </w:tcPr>
          <w:p>
            <w:pPr>
              <w:spacing w:after="0"/>
              <w:rPr>
                <w:sz w:val="20"/>
                <w:szCs w:val="20"/>
                <w:color w:val="auto"/>
              </w:rPr>
            </w:pPr>
          </w:p>
        </w:tc>
        <w:tc>
          <w:tcPr>
            <w:tcW w:w="120" w:type="dxa"/>
            <w:vAlign w:val="bottom"/>
            <w:tcBorders>
              <w:bottom w:val="single" w:sz="8" w:color="BFE4FF"/>
            </w:tcBorders>
            <w:shd w:val="clear" w:color="auto" w:fill="BFE4FF"/>
          </w:tcPr>
          <w:p>
            <w:pPr>
              <w:spacing w:after="0"/>
              <w:rPr>
                <w:sz w:val="20"/>
                <w:szCs w:val="20"/>
                <w:color w:val="auto"/>
              </w:rPr>
            </w:pPr>
          </w:p>
        </w:tc>
        <w:tc>
          <w:tcPr>
            <w:tcW w:w="340" w:type="dxa"/>
            <w:vAlign w:val="bottom"/>
            <w:tcBorders>
              <w:bottom w:val="single" w:sz="8" w:color="BFE4FF"/>
            </w:tcBorders>
            <w:shd w:val="clear" w:color="auto" w:fill="BFE4FF"/>
          </w:tcPr>
          <w:p>
            <w:pPr>
              <w:spacing w:after="0"/>
              <w:rPr>
                <w:sz w:val="20"/>
                <w:szCs w:val="20"/>
                <w:color w:val="auto"/>
              </w:rPr>
            </w:pPr>
          </w:p>
        </w:tc>
        <w:tc>
          <w:tcPr>
            <w:tcW w:w="1480" w:type="dxa"/>
            <w:vAlign w:val="bottom"/>
            <w:tcBorders>
              <w:bottom w:val="single" w:sz="8" w:color="BFE4FF"/>
            </w:tcBorders>
            <w:shd w:val="clear" w:color="auto" w:fill="BFE4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19,431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Short-term investments</w:t>
            </w:r>
          </w:p>
        </w:tc>
        <w:tc>
          <w:tcPr>
            <w:tcW w:w="280" w:type="dxa"/>
            <w:vAlign w:val="bottom"/>
            <w:tcBorders>
              <w:bottom w:val="single" w:sz="8" w:color="BFE4FF"/>
            </w:tcBorders>
            <w:shd w:val="clear" w:color="auto" w:fill="BFE4FF"/>
          </w:tcPr>
          <w:p>
            <w:pPr>
              <w:spacing w:after="0"/>
              <w:rPr>
                <w:sz w:val="23"/>
                <w:szCs w:val="23"/>
                <w:color w:val="auto"/>
              </w:rPr>
            </w:pPr>
          </w:p>
        </w:tc>
        <w:tc>
          <w:tcPr>
            <w:tcW w:w="1560" w:type="dxa"/>
            <w:vAlign w:val="bottom"/>
            <w:tcBorders>
              <w:bottom w:val="single" w:sz="8" w:color="BFE4FF"/>
            </w:tcBorders>
            <w:shd w:val="clear" w:color="auto" w:fill="BFE4FF"/>
          </w:tcPr>
          <w:p>
            <w:pPr>
              <w:spacing w:after="0"/>
              <w:rPr>
                <w:sz w:val="23"/>
                <w:szCs w:val="23"/>
                <w:color w:val="auto"/>
              </w:rPr>
            </w:pPr>
          </w:p>
        </w:tc>
        <w:tc>
          <w:tcPr>
            <w:tcW w:w="120" w:type="dxa"/>
            <w:vAlign w:val="bottom"/>
            <w:tcBorders>
              <w:bottom w:val="single" w:sz="8" w:color="BFE4FF"/>
            </w:tcBorders>
            <w:shd w:val="clear" w:color="auto" w:fill="BFE4FF"/>
          </w:tcPr>
          <w:p>
            <w:pPr>
              <w:spacing w:after="0"/>
              <w:rPr>
                <w:sz w:val="23"/>
                <w:szCs w:val="23"/>
                <w:color w:val="auto"/>
              </w:rPr>
            </w:pPr>
          </w:p>
        </w:tc>
        <w:tc>
          <w:tcPr>
            <w:tcW w:w="420" w:type="dxa"/>
            <w:vAlign w:val="bottom"/>
            <w:tcBorders>
              <w:bottom w:val="single" w:sz="8" w:color="BFE4FF"/>
            </w:tcBorders>
            <w:shd w:val="clear" w:color="auto" w:fill="BFE4FF"/>
          </w:tcPr>
          <w:p>
            <w:pPr>
              <w:spacing w:after="0"/>
              <w:rPr>
                <w:sz w:val="23"/>
                <w:szCs w:val="23"/>
                <w:color w:val="auto"/>
              </w:rPr>
            </w:pPr>
          </w:p>
        </w:tc>
        <w:tc>
          <w:tcPr>
            <w:tcW w:w="1400" w:type="dxa"/>
            <w:vAlign w:val="bottom"/>
            <w:tcBorders>
              <w:bottom w:val="single" w:sz="8" w:color="BFE4FF"/>
            </w:tcBorders>
            <w:shd w:val="clear" w:color="auto" w:fill="BFE4FF"/>
          </w:tcPr>
          <w:p>
            <w:pPr>
              <w:spacing w:after="0"/>
              <w:rPr>
                <w:sz w:val="23"/>
                <w:szCs w:val="23"/>
                <w:color w:val="auto"/>
              </w:rPr>
            </w:pPr>
          </w:p>
        </w:tc>
        <w:tc>
          <w:tcPr>
            <w:tcW w:w="100" w:type="dxa"/>
            <w:vAlign w:val="bottom"/>
            <w:tcBorders>
              <w:bottom w:val="single" w:sz="8" w:color="BFE4FF"/>
            </w:tcBorders>
            <w:shd w:val="clear" w:color="auto" w:fill="BFE4FF"/>
          </w:tcPr>
          <w:p>
            <w:pPr>
              <w:spacing w:after="0"/>
              <w:rPr>
                <w:sz w:val="23"/>
                <w:szCs w:val="23"/>
                <w:color w:val="auto"/>
              </w:rPr>
            </w:pPr>
          </w:p>
        </w:tc>
        <w:tc>
          <w:tcPr>
            <w:tcW w:w="640" w:type="dxa"/>
            <w:vAlign w:val="bottom"/>
            <w:tcBorders>
              <w:bottom w:val="single" w:sz="8" w:color="BFE4FF"/>
            </w:tcBorders>
            <w:shd w:val="clear" w:color="auto" w:fill="BFE4FF"/>
          </w:tcPr>
          <w:p>
            <w:pPr>
              <w:spacing w:after="0"/>
              <w:rPr>
                <w:sz w:val="23"/>
                <w:szCs w:val="23"/>
                <w:color w:val="auto"/>
              </w:rPr>
            </w:pPr>
          </w:p>
        </w:tc>
        <w:tc>
          <w:tcPr>
            <w:tcW w:w="1180" w:type="dxa"/>
            <w:vAlign w:val="bottom"/>
            <w:tcBorders>
              <w:bottom w:val="single" w:sz="8" w:color="BFE4FF"/>
            </w:tcBorders>
            <w:shd w:val="clear" w:color="auto" w:fill="BFE4FF"/>
          </w:tcPr>
          <w:p>
            <w:pPr>
              <w:spacing w:after="0"/>
              <w:rPr>
                <w:sz w:val="23"/>
                <w:szCs w:val="23"/>
                <w:color w:val="auto"/>
              </w:rPr>
            </w:pPr>
          </w:p>
        </w:tc>
        <w:tc>
          <w:tcPr>
            <w:tcW w:w="120" w:type="dxa"/>
            <w:vAlign w:val="bottom"/>
            <w:tcBorders>
              <w:bottom w:val="single" w:sz="8" w:color="BFE4FF"/>
            </w:tcBorders>
            <w:shd w:val="clear" w:color="auto" w:fill="BFE4FF"/>
          </w:tcPr>
          <w:p>
            <w:pPr>
              <w:spacing w:after="0"/>
              <w:rPr>
                <w:sz w:val="23"/>
                <w:szCs w:val="23"/>
                <w:color w:val="auto"/>
              </w:rPr>
            </w:pPr>
          </w:p>
        </w:tc>
        <w:tc>
          <w:tcPr>
            <w:tcW w:w="340" w:type="dxa"/>
            <w:vAlign w:val="bottom"/>
            <w:tcBorders>
              <w:bottom w:val="single" w:sz="8" w:color="BFE4FF"/>
            </w:tcBorders>
            <w:shd w:val="clear" w:color="auto" w:fill="BFE4FF"/>
          </w:tcPr>
          <w:p>
            <w:pPr>
              <w:spacing w:after="0"/>
              <w:rPr>
                <w:sz w:val="23"/>
                <w:szCs w:val="23"/>
                <w:color w:val="auto"/>
              </w:rPr>
            </w:pPr>
          </w:p>
        </w:tc>
        <w:tc>
          <w:tcPr>
            <w:tcW w:w="148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37,760</w:t>
            </w: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57,191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140" w:type="dxa"/>
            <w:vAlign w:val="bottom"/>
            <w:gridSpan w:val="3"/>
            <w:vMerge w:val="restart"/>
          </w:tcPr>
          <w:p>
            <w:pPr>
              <w:jc w:val="center"/>
              <w:ind w:left="696"/>
              <w:spacing w:after="0"/>
              <w:rPr>
                <w:sz w:val="20"/>
                <w:szCs w:val="20"/>
                <w:color w:val="auto"/>
              </w:rPr>
            </w:pPr>
            <w:r>
              <w:rPr>
                <w:rFonts w:ascii="Arial" w:cs="Arial" w:eastAsia="Arial" w:hAnsi="Arial"/>
                <w:sz w:val="14"/>
                <w:szCs w:val="14"/>
                <w:b w:val="1"/>
                <w:bCs w:val="1"/>
                <w:color w:val="auto"/>
                <w:w w:val="91"/>
              </w:rPr>
              <w:t>December 31, 2018</w:t>
            </w: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40" w:type="dxa"/>
            <w:vAlign w:val="bottom"/>
            <w:gridSpan w:val="3"/>
            <w:vMerge w:val="continu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6"/>
        </w:trPr>
        <w:tc>
          <w:tcPr>
            <w:tcW w:w="3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40" w:type="dxa"/>
            <w:vAlign w:val="bottom"/>
            <w:gridSpan w:val="3"/>
            <w:vMerge w:val="continue"/>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140" w:type="dxa"/>
            <w:vAlign w:val="bottom"/>
            <w:gridSpan w:val="3"/>
          </w:tcPr>
          <w:p>
            <w:pPr>
              <w:jc w:val="center"/>
              <w:ind w:left="716"/>
              <w:spacing w:after="0"/>
              <w:rPr>
                <w:sz w:val="20"/>
                <w:szCs w:val="20"/>
                <w:color w:val="auto"/>
              </w:rPr>
            </w:pPr>
            <w:r>
              <w:rPr>
                <w:rFonts w:ascii="Arial" w:cs="Arial" w:eastAsia="Arial" w:hAnsi="Arial"/>
                <w:sz w:val="14"/>
                <w:szCs w:val="14"/>
                <w:b w:val="1"/>
                <w:bCs w:val="1"/>
                <w:color w:val="auto"/>
                <w:w w:val="92"/>
              </w:rPr>
              <w:t>Gross Unrealized</w:t>
            </w: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3780" w:type="dxa"/>
            <w:vAlign w:val="bottom"/>
            <w:tcBorders>
              <w:bottom w:val="single" w:sz="8" w:color="BFE4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Borders>
              <w:bottom w:val="single" w:sz="8" w:color="BFE4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Gains</w:t>
            </w:r>
          </w:p>
        </w:tc>
        <w:tc>
          <w:tcPr>
            <w:tcW w:w="100" w:type="dxa"/>
            <w:vAlign w:val="bottom"/>
            <w:tcBorders>
              <w:bottom w:val="single" w:sz="8" w:color="BFE4FF"/>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w w:val="95"/>
              </w:rPr>
              <w:t>Losses</w:t>
            </w:r>
          </w:p>
        </w:tc>
        <w:tc>
          <w:tcPr>
            <w:tcW w:w="120" w:type="dxa"/>
            <w:vAlign w:val="bottom"/>
            <w:tcBorders>
              <w:bottom w:val="single" w:sz="8" w:color="BFE4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Money market funds</w:t>
            </w:r>
          </w:p>
        </w:tc>
        <w:tc>
          <w:tcPr>
            <w:tcW w:w="280" w:type="dxa"/>
            <w:vAlign w:val="bottom"/>
            <w:tcBorders>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5,838</w:t>
            </w:r>
          </w:p>
        </w:tc>
        <w:tc>
          <w:tcPr>
            <w:tcW w:w="120" w:type="dxa"/>
            <w:vAlign w:val="bottom"/>
            <w:tcBorders>
              <w:bottom w:val="single" w:sz="8" w:color="BFE4FF"/>
            </w:tcBorders>
            <w:shd w:val="clear" w:color="auto" w:fill="BFE4FF"/>
          </w:tcPr>
          <w:p>
            <w:pPr>
              <w:spacing w:after="0"/>
              <w:rPr>
                <w:sz w:val="21"/>
                <w:szCs w:val="21"/>
                <w:color w:val="auto"/>
              </w:rPr>
            </w:pPr>
          </w:p>
        </w:tc>
        <w:tc>
          <w:tcPr>
            <w:tcW w:w="420" w:type="dxa"/>
            <w:vAlign w:val="bottom"/>
            <w:tcBorders>
              <w:bottom w:val="single" w:sz="8" w:color="BFE4FF"/>
            </w:tcBorders>
            <w:shd w:val="clear" w:color="auto" w:fill="BFE4FF"/>
          </w:tcPr>
          <w:p>
            <w:pPr>
              <w:jc w:val="right"/>
              <w:ind w:right="2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BFE4FF"/>
            </w:tcBorders>
            <w:shd w:val="clear" w:color="auto" w:fill="BFE4FF"/>
          </w:tcPr>
          <w:p>
            <w:pPr>
              <w:jc w:val="right"/>
              <w:ind w:right="4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BFE4FF"/>
            </w:tcBorders>
            <w:shd w:val="clear" w:color="auto" w:fill="BFE4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5,838</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Repurchase agreements</w:t>
            </w:r>
          </w:p>
        </w:tc>
        <w:tc>
          <w:tcPr>
            <w:tcW w:w="28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Commercial paper</w:t>
            </w:r>
          </w:p>
        </w:tc>
        <w:tc>
          <w:tcPr>
            <w:tcW w:w="280" w:type="dxa"/>
            <w:vAlign w:val="bottom"/>
            <w:tcBorders>
              <w:bottom w:val="single" w:sz="8" w:color="BFE4FF"/>
            </w:tcBorders>
            <w:shd w:val="clear" w:color="auto" w:fill="BFE4FF"/>
          </w:tcPr>
          <w:p>
            <w:pPr>
              <w:spacing w:after="0"/>
              <w:rPr>
                <w:sz w:val="21"/>
                <w:szCs w:val="21"/>
                <w:color w:val="auto"/>
              </w:rPr>
            </w:pPr>
          </w:p>
        </w:tc>
        <w:tc>
          <w:tcPr>
            <w:tcW w:w="156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30,710</w:t>
            </w:r>
          </w:p>
        </w:tc>
        <w:tc>
          <w:tcPr>
            <w:tcW w:w="120" w:type="dxa"/>
            <w:vAlign w:val="bottom"/>
            <w:tcBorders>
              <w:bottom w:val="single" w:sz="8" w:color="BFE4FF"/>
            </w:tcBorders>
            <w:shd w:val="clear" w:color="auto" w:fill="BFE4FF"/>
          </w:tcPr>
          <w:p>
            <w:pPr>
              <w:spacing w:after="0"/>
              <w:rPr>
                <w:sz w:val="21"/>
                <w:szCs w:val="21"/>
                <w:color w:val="auto"/>
              </w:rPr>
            </w:pPr>
          </w:p>
        </w:tc>
        <w:tc>
          <w:tcPr>
            <w:tcW w:w="420" w:type="dxa"/>
            <w:vAlign w:val="bottom"/>
            <w:tcBorders>
              <w:bottom w:val="single" w:sz="8" w:color="BFE4FF"/>
            </w:tcBorders>
            <w:shd w:val="clear" w:color="auto" w:fill="BFE4FF"/>
          </w:tcPr>
          <w:p>
            <w:pPr>
              <w:spacing w:after="0"/>
              <w:rPr>
                <w:sz w:val="21"/>
                <w:szCs w:val="21"/>
                <w:color w:val="auto"/>
              </w:rPr>
            </w:pPr>
          </w:p>
        </w:tc>
        <w:tc>
          <w:tcPr>
            <w:tcW w:w="150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BFE4FF"/>
            </w:tcBorders>
            <w:shd w:val="clear" w:color="auto" w:fill="BFE4FF"/>
          </w:tcPr>
          <w:p>
            <w:pPr>
              <w:spacing w:after="0"/>
              <w:rPr>
                <w:sz w:val="21"/>
                <w:szCs w:val="21"/>
                <w:color w:val="auto"/>
              </w:rPr>
            </w:pPr>
          </w:p>
        </w:tc>
        <w:tc>
          <w:tcPr>
            <w:tcW w:w="130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BFE4FF"/>
            </w:tcBorders>
            <w:shd w:val="clear" w:color="auto" w:fill="BFE4FF"/>
          </w:tcPr>
          <w:p>
            <w:pPr>
              <w:spacing w:after="0"/>
              <w:rPr>
                <w:sz w:val="21"/>
                <w:szCs w:val="21"/>
                <w:color w:val="auto"/>
              </w:rPr>
            </w:pPr>
          </w:p>
        </w:tc>
        <w:tc>
          <w:tcPr>
            <w:tcW w:w="148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30,710</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Corporate notes</w:t>
            </w:r>
          </w:p>
        </w:tc>
        <w:tc>
          <w:tcPr>
            <w:tcW w:w="28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13,168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13,144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U.S. government securities</w:t>
            </w:r>
          </w:p>
        </w:tc>
        <w:tc>
          <w:tcPr>
            <w:tcW w:w="280" w:type="dxa"/>
            <w:vAlign w:val="bottom"/>
            <w:tcBorders>
              <w:bottom w:val="single" w:sz="8" w:color="BFE4FF"/>
            </w:tcBorders>
            <w:shd w:val="clear" w:color="auto" w:fill="BFE4FF"/>
          </w:tcPr>
          <w:p>
            <w:pPr>
              <w:spacing w:after="0"/>
              <w:rPr>
                <w:sz w:val="21"/>
                <w:szCs w:val="21"/>
                <w:color w:val="auto"/>
              </w:rPr>
            </w:pPr>
          </w:p>
        </w:tc>
        <w:tc>
          <w:tcPr>
            <w:tcW w:w="156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10,167</w:t>
            </w:r>
          </w:p>
        </w:tc>
        <w:tc>
          <w:tcPr>
            <w:tcW w:w="120" w:type="dxa"/>
            <w:vAlign w:val="bottom"/>
            <w:tcBorders>
              <w:bottom w:val="single" w:sz="8" w:color="BFE4FF"/>
            </w:tcBorders>
            <w:shd w:val="clear" w:color="auto" w:fill="BFE4FF"/>
          </w:tcPr>
          <w:p>
            <w:pPr>
              <w:spacing w:after="0"/>
              <w:rPr>
                <w:sz w:val="21"/>
                <w:szCs w:val="21"/>
                <w:color w:val="auto"/>
              </w:rPr>
            </w:pPr>
          </w:p>
        </w:tc>
        <w:tc>
          <w:tcPr>
            <w:tcW w:w="420" w:type="dxa"/>
            <w:vAlign w:val="bottom"/>
            <w:tcBorders>
              <w:bottom w:val="single" w:sz="8" w:color="BFE4FF"/>
            </w:tcBorders>
            <w:shd w:val="clear" w:color="auto" w:fill="BFE4FF"/>
          </w:tcPr>
          <w:p>
            <w:pPr>
              <w:spacing w:after="0"/>
              <w:rPr>
                <w:sz w:val="21"/>
                <w:szCs w:val="21"/>
                <w:color w:val="auto"/>
              </w:rPr>
            </w:pPr>
          </w:p>
        </w:tc>
        <w:tc>
          <w:tcPr>
            <w:tcW w:w="150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148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10,166</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U.S. asset-backed securities</w:t>
            </w:r>
          </w:p>
        </w:tc>
        <w:tc>
          <w:tcPr>
            <w:tcW w:w="28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10,632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10,618</w:t>
            </w:r>
          </w:p>
        </w:tc>
        <w:tc>
          <w:tcPr>
            <w:tcW w:w="0" w:type="dxa"/>
            <w:vAlign w:val="bottom"/>
          </w:tcPr>
          <w:p>
            <w:pPr>
              <w:spacing w:after="0"/>
              <w:rPr>
                <w:sz w:val="1"/>
                <w:szCs w:val="1"/>
                <w:color w:val="auto"/>
              </w:rPr>
            </w:pPr>
          </w:p>
        </w:tc>
      </w:tr>
      <w:tr>
        <w:trPr>
          <w:trHeight w:val="27"/>
        </w:trPr>
        <w:tc>
          <w:tcPr>
            <w:tcW w:w="3780" w:type="dxa"/>
            <w:vAlign w:val="bottom"/>
            <w:tcBorders>
              <w:bottom w:val="single" w:sz="8" w:color="BFE4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BFE4FF"/>
            </w:tcBorders>
            <w:shd w:val="clear" w:color="auto" w:fill="BFE4FF"/>
          </w:tcPr>
          <w:p>
            <w:pPr>
              <w:spacing w:after="0"/>
              <w:rPr>
                <w:sz w:val="22"/>
                <w:szCs w:val="22"/>
                <w:color w:val="auto"/>
              </w:rPr>
            </w:pPr>
          </w:p>
        </w:tc>
        <w:tc>
          <w:tcPr>
            <w:tcW w:w="280" w:type="dxa"/>
            <w:vAlign w:val="bottom"/>
            <w:tcBorders>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75,515</w:t>
            </w:r>
          </w:p>
        </w:tc>
        <w:tc>
          <w:tcPr>
            <w:tcW w:w="120" w:type="dxa"/>
            <w:vAlign w:val="bottom"/>
            <w:tcBorders>
              <w:bottom w:val="single" w:sz="8" w:color="BFE4FF"/>
            </w:tcBorders>
            <w:shd w:val="clear" w:color="auto" w:fill="BFE4FF"/>
          </w:tcPr>
          <w:p>
            <w:pPr>
              <w:spacing w:after="0"/>
              <w:rPr>
                <w:sz w:val="22"/>
                <w:szCs w:val="22"/>
                <w:color w:val="auto"/>
              </w:rPr>
            </w:pPr>
          </w:p>
        </w:tc>
        <w:tc>
          <w:tcPr>
            <w:tcW w:w="420" w:type="dxa"/>
            <w:vAlign w:val="bottom"/>
            <w:tcBorders>
              <w:bottom w:val="single" w:sz="8" w:color="BFE4FF"/>
            </w:tcBorders>
            <w:shd w:val="clear" w:color="auto" w:fill="BFE4FF"/>
          </w:tcPr>
          <w:p>
            <w:pPr>
              <w:jc w:val="right"/>
              <w:ind w:right="2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BFE4FF"/>
            </w:tcBorders>
            <w:shd w:val="clear" w:color="auto" w:fill="BFE4FF"/>
          </w:tcPr>
          <w:p>
            <w:pPr>
              <w:jc w:val="right"/>
              <w:ind w:right="4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BFE4FF"/>
            </w:tcBorders>
            <w:shd w:val="clear" w:color="auto" w:fill="BFE4FF"/>
          </w:tcPr>
          <w:p>
            <w:pPr>
              <w:spacing w:after="0"/>
              <w:rPr>
                <w:sz w:val="22"/>
                <w:szCs w:val="22"/>
                <w:color w:val="auto"/>
              </w:rPr>
            </w:pPr>
          </w:p>
        </w:tc>
        <w:tc>
          <w:tcPr>
            <w:tcW w:w="340" w:type="dxa"/>
            <w:vAlign w:val="bottom"/>
            <w:tcBorders>
              <w:bottom w:val="single" w:sz="8" w:color="BFE4FF"/>
            </w:tcBorders>
            <w:shd w:val="clear" w:color="auto" w:fill="BFE4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75,476</w:t>
            </w:r>
          </w:p>
        </w:tc>
        <w:tc>
          <w:tcPr>
            <w:tcW w:w="0" w:type="dxa"/>
            <w:vAlign w:val="bottom"/>
          </w:tcPr>
          <w:p>
            <w:pPr>
              <w:spacing w:after="0"/>
              <w:rPr>
                <w:sz w:val="1"/>
                <w:szCs w:val="1"/>
                <w:color w:val="auto"/>
              </w:rPr>
            </w:pPr>
          </w:p>
        </w:tc>
      </w:tr>
      <w:tr>
        <w:trPr>
          <w:trHeight w:val="20"/>
        </w:trPr>
        <w:tc>
          <w:tcPr>
            <w:tcW w:w="3780" w:type="dxa"/>
            <w:vAlign w:val="bottom"/>
            <w:tcBorders>
              <w:top w:val="single" w:sz="8" w:color="BFE4FF"/>
              <w:bottom w:val="single" w:sz="8" w:color="BFE4FF"/>
            </w:tcBorders>
            <w:vMerge w:val="restart"/>
          </w:tcPr>
          <w:p>
            <w:pPr>
              <w:ind w:left="40"/>
              <w:spacing w:after="0"/>
              <w:rPr>
                <w:sz w:val="20"/>
                <w:szCs w:val="20"/>
                <w:color w:val="auto"/>
              </w:rPr>
            </w:pPr>
            <w:r>
              <w:rPr>
                <w:rFonts w:ascii="Arial" w:cs="Arial" w:eastAsia="Arial" w:hAnsi="Arial"/>
                <w:sz w:val="18"/>
                <w:szCs w:val="18"/>
                <w:color w:val="auto"/>
              </w:rPr>
              <w:t>Classified as: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7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Cash equivalents</w:t>
            </w:r>
          </w:p>
        </w:tc>
        <w:tc>
          <w:tcPr>
            <w:tcW w:w="280" w:type="dxa"/>
            <w:vAlign w:val="bottom"/>
            <w:tcBorders>
              <w:bottom w:val="single" w:sz="8" w:color="BFE4FF"/>
            </w:tcBorders>
            <w:shd w:val="clear" w:color="auto" w:fill="BFE4FF"/>
          </w:tcPr>
          <w:p>
            <w:pPr>
              <w:spacing w:after="0"/>
              <w:rPr>
                <w:sz w:val="21"/>
                <w:szCs w:val="21"/>
                <w:color w:val="auto"/>
              </w:rPr>
            </w:pPr>
          </w:p>
        </w:tc>
        <w:tc>
          <w:tcPr>
            <w:tcW w:w="156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420" w:type="dxa"/>
            <w:vAlign w:val="bottom"/>
            <w:tcBorders>
              <w:bottom w:val="single" w:sz="8" w:color="BFE4FF"/>
            </w:tcBorders>
            <w:shd w:val="clear" w:color="auto" w:fill="BFE4FF"/>
          </w:tcPr>
          <w:p>
            <w:pPr>
              <w:spacing w:after="0"/>
              <w:rPr>
                <w:sz w:val="21"/>
                <w:szCs w:val="21"/>
                <w:color w:val="auto"/>
              </w:rPr>
            </w:pPr>
          </w:p>
        </w:tc>
        <w:tc>
          <w:tcPr>
            <w:tcW w:w="140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640" w:type="dxa"/>
            <w:vAlign w:val="bottom"/>
            <w:tcBorders>
              <w:bottom w:val="single" w:sz="8" w:color="BFE4FF"/>
            </w:tcBorders>
            <w:shd w:val="clear" w:color="auto" w:fill="BFE4FF"/>
          </w:tcPr>
          <w:p>
            <w:pPr>
              <w:spacing w:after="0"/>
              <w:rPr>
                <w:sz w:val="21"/>
                <w:szCs w:val="21"/>
                <w:color w:val="auto"/>
              </w:rPr>
            </w:pPr>
          </w:p>
        </w:tc>
        <w:tc>
          <w:tcPr>
            <w:tcW w:w="118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10,838</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64,638</w:t>
            </w:r>
          </w:p>
        </w:tc>
        <w:tc>
          <w:tcPr>
            <w:tcW w:w="0" w:type="dxa"/>
            <w:vAlign w:val="bottom"/>
          </w:tcPr>
          <w:p>
            <w:pPr>
              <w:spacing w:after="0"/>
              <w:rPr>
                <w:sz w:val="1"/>
                <w:szCs w:val="1"/>
                <w:color w:val="auto"/>
              </w:rPr>
            </w:pPr>
          </w:p>
        </w:tc>
      </w:tr>
      <w:tr>
        <w:trPr>
          <w:trHeight w:val="27"/>
        </w:trPr>
        <w:tc>
          <w:tcPr>
            <w:tcW w:w="3780" w:type="dxa"/>
            <w:vAlign w:val="bottom"/>
            <w:tcBorders>
              <w:bottom w:val="single" w:sz="8" w:color="BFE4FF"/>
            </w:tcBorders>
          </w:tcPr>
          <w:p>
            <w:pPr>
              <w:spacing w:after="0"/>
              <w:rPr>
                <w:sz w:val="2"/>
                <w:szCs w:val="2"/>
                <w:color w:val="auto"/>
              </w:rPr>
            </w:pPr>
          </w:p>
        </w:tc>
        <w:tc>
          <w:tcPr>
            <w:tcW w:w="280" w:type="dxa"/>
            <w:vAlign w:val="bottom"/>
            <w:tcBorders>
              <w:bottom w:val="single" w:sz="8" w:color="BFE4FF"/>
            </w:tcBorders>
          </w:tcPr>
          <w:p>
            <w:pPr>
              <w:spacing w:after="0"/>
              <w:rPr>
                <w:sz w:val="2"/>
                <w:szCs w:val="2"/>
                <w:color w:val="auto"/>
              </w:rPr>
            </w:pPr>
          </w:p>
        </w:tc>
        <w:tc>
          <w:tcPr>
            <w:tcW w:w="1560" w:type="dxa"/>
            <w:vAlign w:val="bottom"/>
            <w:tcBorders>
              <w:bottom w:val="single" w:sz="8" w:color="BFE4FF"/>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420" w:type="dxa"/>
            <w:vAlign w:val="bottom"/>
            <w:tcBorders>
              <w:bottom w:val="single" w:sz="8" w:color="BFE4FF"/>
            </w:tcBorders>
          </w:tcPr>
          <w:p>
            <w:pPr>
              <w:spacing w:after="0"/>
              <w:rPr>
                <w:sz w:val="2"/>
                <w:szCs w:val="2"/>
                <w:color w:val="auto"/>
              </w:rPr>
            </w:pPr>
          </w:p>
        </w:tc>
        <w:tc>
          <w:tcPr>
            <w:tcW w:w="1400" w:type="dxa"/>
            <w:vAlign w:val="bottom"/>
            <w:tcBorders>
              <w:bottom w:val="single" w:sz="8" w:color="BFE4FF"/>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640" w:type="dxa"/>
            <w:vAlign w:val="bottom"/>
            <w:tcBorders>
              <w:bottom w:val="single" w:sz="8" w:color="BFE4FF"/>
            </w:tcBorders>
          </w:tcPr>
          <w:p>
            <w:pPr>
              <w:spacing w:after="0"/>
              <w:rPr>
                <w:sz w:val="2"/>
                <w:szCs w:val="2"/>
                <w:color w:val="auto"/>
              </w:rPr>
            </w:pPr>
          </w:p>
        </w:tc>
        <w:tc>
          <w:tcPr>
            <w:tcW w:w="1180" w:type="dxa"/>
            <w:vAlign w:val="bottom"/>
            <w:tcBorders>
              <w:bottom w:val="single" w:sz="8" w:color="BFE4FF"/>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BFE4FF"/>
            </w:tcBorders>
            <w:shd w:val="clear" w:color="auto" w:fill="BFE4FF"/>
          </w:tcPr>
          <w:p>
            <w:pPr>
              <w:spacing w:after="0"/>
              <w:rPr>
                <w:sz w:val="22"/>
                <w:szCs w:val="22"/>
                <w:color w:val="auto"/>
              </w:rPr>
            </w:pPr>
          </w:p>
        </w:tc>
        <w:tc>
          <w:tcPr>
            <w:tcW w:w="280" w:type="dxa"/>
            <w:vAlign w:val="bottom"/>
            <w:tcBorders>
              <w:bottom w:val="single" w:sz="8" w:color="BFE4FF"/>
            </w:tcBorders>
            <w:shd w:val="clear" w:color="auto" w:fill="BFE4FF"/>
          </w:tcPr>
          <w:p>
            <w:pPr>
              <w:spacing w:after="0"/>
              <w:rPr>
                <w:sz w:val="22"/>
                <w:szCs w:val="22"/>
                <w:color w:val="auto"/>
              </w:rPr>
            </w:pPr>
          </w:p>
        </w:tc>
        <w:tc>
          <w:tcPr>
            <w:tcW w:w="1560" w:type="dxa"/>
            <w:vAlign w:val="bottom"/>
            <w:tcBorders>
              <w:bottom w:val="single" w:sz="8" w:color="BFE4FF"/>
            </w:tcBorders>
            <w:shd w:val="clear" w:color="auto" w:fill="BFE4FF"/>
          </w:tcPr>
          <w:p>
            <w:pPr>
              <w:spacing w:after="0"/>
              <w:rPr>
                <w:sz w:val="22"/>
                <w:szCs w:val="22"/>
                <w:color w:val="auto"/>
              </w:rPr>
            </w:pPr>
          </w:p>
        </w:tc>
        <w:tc>
          <w:tcPr>
            <w:tcW w:w="120" w:type="dxa"/>
            <w:vAlign w:val="bottom"/>
            <w:tcBorders>
              <w:bottom w:val="single" w:sz="8" w:color="BFE4FF"/>
            </w:tcBorders>
            <w:shd w:val="clear" w:color="auto" w:fill="BFE4FF"/>
          </w:tcPr>
          <w:p>
            <w:pPr>
              <w:spacing w:after="0"/>
              <w:rPr>
                <w:sz w:val="22"/>
                <w:szCs w:val="22"/>
                <w:color w:val="auto"/>
              </w:rPr>
            </w:pPr>
          </w:p>
        </w:tc>
        <w:tc>
          <w:tcPr>
            <w:tcW w:w="420" w:type="dxa"/>
            <w:vAlign w:val="bottom"/>
            <w:tcBorders>
              <w:bottom w:val="single" w:sz="8" w:color="BFE4FF"/>
            </w:tcBorders>
            <w:shd w:val="clear" w:color="auto" w:fill="BFE4FF"/>
          </w:tcPr>
          <w:p>
            <w:pPr>
              <w:spacing w:after="0"/>
              <w:rPr>
                <w:sz w:val="22"/>
                <w:szCs w:val="22"/>
                <w:color w:val="auto"/>
              </w:rPr>
            </w:pPr>
          </w:p>
        </w:tc>
        <w:tc>
          <w:tcPr>
            <w:tcW w:w="1400" w:type="dxa"/>
            <w:vAlign w:val="bottom"/>
            <w:tcBorders>
              <w:bottom w:val="single" w:sz="8" w:color="BFE4FF"/>
            </w:tcBorders>
            <w:shd w:val="clear" w:color="auto" w:fill="BFE4FF"/>
          </w:tcPr>
          <w:p>
            <w:pPr>
              <w:spacing w:after="0"/>
              <w:rPr>
                <w:sz w:val="22"/>
                <w:szCs w:val="22"/>
                <w:color w:val="auto"/>
              </w:rPr>
            </w:pPr>
          </w:p>
        </w:tc>
        <w:tc>
          <w:tcPr>
            <w:tcW w:w="100" w:type="dxa"/>
            <w:vAlign w:val="bottom"/>
            <w:tcBorders>
              <w:bottom w:val="single" w:sz="8" w:color="BFE4FF"/>
            </w:tcBorders>
            <w:shd w:val="clear" w:color="auto" w:fill="BFE4FF"/>
          </w:tcPr>
          <w:p>
            <w:pPr>
              <w:spacing w:after="0"/>
              <w:rPr>
                <w:sz w:val="22"/>
                <w:szCs w:val="22"/>
                <w:color w:val="auto"/>
              </w:rPr>
            </w:pPr>
          </w:p>
        </w:tc>
        <w:tc>
          <w:tcPr>
            <w:tcW w:w="640" w:type="dxa"/>
            <w:vAlign w:val="bottom"/>
            <w:tcBorders>
              <w:bottom w:val="single" w:sz="8" w:color="BFE4FF"/>
            </w:tcBorders>
            <w:shd w:val="clear" w:color="auto" w:fill="BFE4FF"/>
          </w:tcPr>
          <w:p>
            <w:pPr>
              <w:spacing w:after="0"/>
              <w:rPr>
                <w:sz w:val="22"/>
                <w:szCs w:val="22"/>
                <w:color w:val="auto"/>
              </w:rPr>
            </w:pPr>
          </w:p>
        </w:tc>
        <w:tc>
          <w:tcPr>
            <w:tcW w:w="1180" w:type="dxa"/>
            <w:vAlign w:val="bottom"/>
            <w:tcBorders>
              <w:bottom w:val="single" w:sz="8" w:color="BFE4FF"/>
            </w:tcBorders>
            <w:shd w:val="clear" w:color="auto" w:fill="BFE4FF"/>
          </w:tcPr>
          <w:p>
            <w:pPr>
              <w:spacing w:after="0"/>
              <w:rPr>
                <w:sz w:val="22"/>
                <w:szCs w:val="22"/>
                <w:color w:val="auto"/>
              </w:rPr>
            </w:pPr>
          </w:p>
        </w:tc>
        <w:tc>
          <w:tcPr>
            <w:tcW w:w="120" w:type="dxa"/>
            <w:vAlign w:val="bottom"/>
            <w:tcBorders>
              <w:bottom w:val="single" w:sz="8" w:color="BFE4FF"/>
            </w:tcBorders>
            <w:shd w:val="clear" w:color="auto" w:fill="BFE4FF"/>
          </w:tcPr>
          <w:p>
            <w:pPr>
              <w:spacing w:after="0"/>
              <w:rPr>
                <w:sz w:val="22"/>
                <w:szCs w:val="22"/>
                <w:color w:val="auto"/>
              </w:rPr>
            </w:pPr>
          </w:p>
        </w:tc>
        <w:tc>
          <w:tcPr>
            <w:tcW w:w="340" w:type="dxa"/>
            <w:vAlign w:val="bottom"/>
            <w:tcBorders>
              <w:bottom w:val="single" w:sz="8" w:color="BFE4FF"/>
            </w:tcBorders>
            <w:shd w:val="clear" w:color="auto" w:fill="BFE4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75,476</w:t>
            </w:r>
          </w:p>
        </w:tc>
        <w:tc>
          <w:tcPr>
            <w:tcW w:w="0" w:type="dxa"/>
            <w:vAlign w:val="bottom"/>
          </w:tcPr>
          <w:p>
            <w:pPr>
              <w:spacing w:after="0"/>
              <w:rPr>
                <w:sz w:val="1"/>
                <w:szCs w:val="1"/>
                <w:color w:val="auto"/>
              </w:rPr>
            </w:pPr>
          </w:p>
        </w:tc>
      </w:tr>
      <w:tr>
        <w:trPr>
          <w:trHeight w:val="20"/>
        </w:trPr>
        <w:tc>
          <w:tcPr>
            <w:tcW w:w="3780" w:type="dxa"/>
            <w:vAlign w:val="bottom"/>
            <w:tcBorders>
              <w:top w:val="single" w:sz="8" w:color="BFE4FF"/>
            </w:tcBorders>
          </w:tcPr>
          <w:p>
            <w:pPr>
              <w:spacing w:after="0" w:line="20" w:lineRule="exact"/>
              <w:rPr>
                <w:sz w:val="1"/>
                <w:szCs w:val="1"/>
                <w:color w:val="auto"/>
              </w:rPr>
            </w:pPr>
          </w:p>
        </w:tc>
        <w:tc>
          <w:tcPr>
            <w:tcW w:w="280" w:type="dxa"/>
            <w:vAlign w:val="bottom"/>
            <w:tcBorders>
              <w:top w:val="single" w:sz="8" w:color="BFE4FF"/>
            </w:tcBorders>
          </w:tcPr>
          <w:p>
            <w:pPr>
              <w:spacing w:after="0" w:line="20" w:lineRule="exact"/>
              <w:rPr>
                <w:sz w:val="1"/>
                <w:szCs w:val="1"/>
                <w:color w:val="auto"/>
              </w:rPr>
            </w:pPr>
          </w:p>
        </w:tc>
        <w:tc>
          <w:tcPr>
            <w:tcW w:w="1560" w:type="dxa"/>
            <w:vAlign w:val="bottom"/>
            <w:tcBorders>
              <w:top w:val="single" w:sz="8" w:color="BFE4FF"/>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420" w:type="dxa"/>
            <w:vAlign w:val="bottom"/>
            <w:tcBorders>
              <w:top w:val="single" w:sz="8" w:color="BFE4FF"/>
            </w:tcBorders>
          </w:tcPr>
          <w:p>
            <w:pPr>
              <w:spacing w:after="0" w:line="20" w:lineRule="exact"/>
              <w:rPr>
                <w:sz w:val="1"/>
                <w:szCs w:val="1"/>
                <w:color w:val="auto"/>
              </w:rPr>
            </w:pPr>
          </w:p>
        </w:tc>
        <w:tc>
          <w:tcPr>
            <w:tcW w:w="1400" w:type="dxa"/>
            <w:vAlign w:val="bottom"/>
            <w:tcBorders>
              <w:top w:val="single" w:sz="8" w:color="BFE4FF"/>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640" w:type="dxa"/>
            <w:vAlign w:val="bottom"/>
            <w:tcBorders>
              <w:top w:val="single" w:sz="8" w:color="BFE4FF"/>
            </w:tcBorders>
          </w:tcPr>
          <w:p>
            <w:pPr>
              <w:spacing w:after="0" w:line="20" w:lineRule="exact"/>
              <w:rPr>
                <w:sz w:val="1"/>
                <w:szCs w:val="1"/>
                <w:color w:val="auto"/>
              </w:rPr>
            </w:pPr>
          </w:p>
        </w:tc>
        <w:tc>
          <w:tcPr>
            <w:tcW w:w="1180" w:type="dxa"/>
            <w:vAlign w:val="bottom"/>
            <w:tcBorders>
              <w:top w:val="single" w:sz="8" w:color="BFE4FF"/>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At December 31, 2018, the Company invested $5.0 million in overnight repurchase agreement securities classified as cash equivalents on the balance sheet. As of September 30, 2019, no amounts were invested in overnight repurchase agreements.</w:t>
      </w:r>
    </w:p>
    <w:p>
      <w:pPr>
        <w:spacing w:after="0" w:line="170"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There were no marketable securities that the Company considers to be other-than-temporarily impaired as of September 30, 2019. The Company's investment strategy is to buy short-duration marketable securities with a high credit rating. As of September 30, 2019, all marketable securities held by the Company had remaining contractual maturities of one year or less.</w:t>
      </w:r>
    </w:p>
    <w:p>
      <w:pPr>
        <w:spacing w:after="0" w:line="7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If any adjustment to fair value reflects a decline in the value of the investment, the Company considers all available evidence to evaluate the extent to which the decline is “other than temporary,” including the Company's intention to sell and, if so, mark the investment to market through a charge to our consolidated statements of operations. There have been no impairments of the Company’s assets measured and carried at fair value during the nine months ended September 30,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806" w:right="239" w:bottom="532" w:gutter="0" w:footer="0" w:header="0"/>
        </w:sectPr>
      </w:pPr>
    </w:p>
    <w:bookmarkStart w:id="17" w:name="page18"/>
    <w:bookmarkEnd w:id="17"/>
    <w:p>
      <w:pPr>
        <w:ind w:left="240"/>
        <w:spacing w:after="0"/>
        <w:rPr>
          <w:sz w:val="20"/>
          <w:szCs w:val="20"/>
          <w:color w:val="auto"/>
        </w:rPr>
      </w:pPr>
      <w:r>
        <w:rPr>
          <w:rFonts w:ascii="Arial" w:cs="Arial" w:eastAsia="Arial" w:hAnsi="Arial"/>
          <w:sz w:val="18"/>
          <w:szCs w:val="18"/>
          <w:color w:val="auto"/>
        </w:rPr>
        <w:t>The Company’s fair value measurements are classified and disclosed in one of the following three categories:</w:t>
      </w:r>
    </w:p>
    <w:p>
      <w:pPr>
        <w:spacing w:after="0" w:line="225"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Level 1: Unadjusted quoted prices in active markets that are accessible at the measurement date for identical, unrestricted assets or liabilities;</w:t>
      </w:r>
    </w:p>
    <w:p>
      <w:pPr>
        <w:spacing w:after="0" w:line="46" w:lineRule="exact"/>
        <w:rPr>
          <w:rFonts w:ascii="Arial" w:cs="Arial" w:eastAsia="Arial" w:hAnsi="Arial"/>
          <w:sz w:val="16"/>
          <w:szCs w:val="16"/>
          <w:color w:val="auto"/>
        </w:rPr>
      </w:pPr>
    </w:p>
    <w:p>
      <w:pPr>
        <w:ind w:left="980" w:hanging="324"/>
        <w:spacing w:after="0" w:line="250"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2: Quoted prices in markets that are not active, or inputs which are observable, either directly or indirectly, for substantially the full term of the asset or liability; and</w:t>
      </w:r>
    </w:p>
    <w:p>
      <w:pPr>
        <w:ind w:left="980" w:hanging="324"/>
        <w:spacing w:after="0" w:line="261"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3: Prices or valuation techniques that require inputs that are both significant to the fair value measurement and unobservable (i.e., supported by little or no market activity).</w:t>
      </w:r>
    </w:p>
    <w:p>
      <w:pPr>
        <w:spacing w:after="0" w:line="184"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There was no movement between Level 1 and Level 2 or between Level 2 and Level 3 from December 31, 2018 to September 30, 2019. Assets and liabilities measured at fair value are classified in their entirety based on the lowest level of input that is significant to the fair value measurement. The commercial paper, corporate notes, government securities and asset-backed securities are classified as Level 2 as they were valued based upon quoted market prices for similar instruments in active markets, quoted prices for identical or similar instruments in markets that are not active and model-based valuation techniques for which all significant inputs are observable in the market or can be corroborated by observable market data for substantially the full term of the assets. The following table summarizes the valuation of the Company’s financial instruments that are measured at fair value on a recurring basis:</w:t>
      </w:r>
    </w:p>
    <w:p>
      <w:pPr>
        <w:sectPr>
          <w:pgSz w:w="11900" w:h="16838" w:orient="portrait"/>
          <w:cols w:equalWidth="0" w:num="1">
            <w:col w:w="11420"/>
          </w:cols>
          <w:pgMar w:left="240" w:top="800" w:right="239" w:bottom="1440" w:gutter="0" w:footer="0" w:header="0"/>
        </w:sectPr>
      </w:pPr>
    </w:p>
    <w:p>
      <w:pPr>
        <w:spacing w:after="0" w:line="386"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23495</wp:posOffset>
            </wp:positionV>
            <wp:extent cx="28213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03" w:lineRule="exact"/>
        <w:rPr>
          <w:sz w:val="20"/>
          <w:szCs w:val="20"/>
          <w:color w:val="auto"/>
        </w:rPr>
      </w:pPr>
    </w:p>
    <w:p>
      <w:pPr>
        <w:ind w:left="4200"/>
        <w:spacing w:after="0"/>
        <w:rPr>
          <w:sz w:val="20"/>
          <w:szCs w:val="20"/>
          <w:color w:val="auto"/>
        </w:rPr>
      </w:pPr>
      <w:r>
        <w:rPr>
          <w:rFonts w:ascii="Arial" w:cs="Arial" w:eastAsia="Arial" w:hAnsi="Arial"/>
          <w:sz w:val="12"/>
          <w:szCs w:val="12"/>
          <w:b w:val="1"/>
          <w:bCs w:val="1"/>
          <w:color w:val="auto"/>
        </w:rPr>
        <w:t>Fair value measurement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38100</wp:posOffset>
            </wp:positionV>
            <wp:extent cx="20923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23495</wp:posOffset>
            </wp:positionV>
            <wp:extent cx="28130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auto"/>
        </w:rPr>
        <w:t>Fair value measurement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38100</wp:posOffset>
            </wp:positionV>
            <wp:extent cx="20923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146" w:lineRule="exact"/>
        <w:rPr>
          <w:sz w:val="20"/>
          <w:szCs w:val="20"/>
          <w:color w:val="auto"/>
        </w:rPr>
      </w:pPr>
    </w:p>
    <w:p>
      <w:pPr>
        <w:sectPr>
          <w:pgSz w:w="11900" w:h="16838" w:orient="portrait"/>
          <w:cols w:equalWidth="0" w:num="2">
            <w:col w:w="7900" w:space="720"/>
            <w:col w:w="2800"/>
          </w:cols>
          <w:pgMar w:left="240" w:top="800" w:right="239" w:bottom="1440" w:gutter="0" w:footer="0" w:header="0"/>
          <w:type w:val="continuous"/>
        </w:sectPr>
      </w:pPr>
    </w:p>
    <w:tbl>
      <w:tblPr>
        <w:tblLayout w:type="fixed"/>
        <w:tblInd w:w="0" w:type="dxa"/>
        <w:tblCellMar>
          <w:top w:w="0" w:type="dxa"/>
          <w:left w:w="0" w:type="dxa"/>
          <w:bottom w:w="0" w:type="dxa"/>
          <w:right w:w="0" w:type="dxa"/>
        </w:tblCellMar>
      </w:tblPr>
      <w:tr>
        <w:trPr>
          <w:trHeight w:val="192"/>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3</w:t>
            </w: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2420" w:type="dxa"/>
            <w:vAlign w:val="bottom"/>
            <w:gridSpan w:val="2"/>
          </w:tcPr>
          <w:p>
            <w:pPr>
              <w:ind w:left="18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19,431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19,431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36"/>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5,838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5,838</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ind w:left="520"/>
              <w:spacing w:after="0"/>
              <w:rPr>
                <w:sz w:val="20"/>
                <w:szCs w:val="20"/>
                <w:color w:val="auto"/>
              </w:rPr>
            </w:pPr>
            <w:r>
              <w:rPr>
                <w:rFonts w:ascii="Arial" w:cs="Arial" w:eastAsia="Arial" w:hAnsi="Arial"/>
                <w:sz w:val="18"/>
                <w:szCs w:val="18"/>
                <w:color w:val="auto"/>
              </w:rPr>
              <w:t>—</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Repurchase agreements</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w:t>
            </w:r>
          </w:p>
        </w:tc>
      </w:tr>
      <w:tr>
        <w:trPr>
          <w:trHeight w:val="243"/>
        </w:trPr>
        <w:tc>
          <w:tcPr>
            <w:tcW w:w="2420" w:type="dxa"/>
            <w:vAlign w:val="bottom"/>
            <w:gridSpan w:val="2"/>
          </w:tcPr>
          <w:p>
            <w:pPr>
              <w:ind w:left="18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13,018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13,018</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30,710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30,710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ind w:left="520"/>
              <w:spacing w:after="0"/>
              <w:rPr>
                <w:sz w:val="20"/>
                <w:szCs w:val="20"/>
                <w:color w:val="auto"/>
              </w:rPr>
            </w:pPr>
            <w:r>
              <w:rPr>
                <w:rFonts w:ascii="Arial" w:cs="Arial" w:eastAsia="Arial" w:hAnsi="Arial"/>
                <w:sz w:val="18"/>
                <w:szCs w:val="18"/>
                <w:color w:val="auto"/>
              </w:rPr>
              <w:t>—</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Corporate notes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13,568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13,568</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w:t>
            </w:r>
          </w:p>
        </w:tc>
      </w:tr>
      <w:tr>
        <w:trPr>
          <w:trHeight w:val="243"/>
        </w:trPr>
        <w:tc>
          <w:tcPr>
            <w:tcW w:w="2420" w:type="dxa"/>
            <w:vAlign w:val="bottom"/>
            <w:gridSpan w:val="2"/>
          </w:tcPr>
          <w:p>
            <w:pPr>
              <w:ind w:left="180"/>
              <w:spacing w:after="0"/>
              <w:rPr>
                <w:sz w:val="20"/>
                <w:szCs w:val="20"/>
                <w:color w:val="auto"/>
              </w:rPr>
            </w:pPr>
            <w:r>
              <w:rPr>
                <w:rFonts w:ascii="Arial" w:cs="Arial" w:eastAsia="Arial" w:hAnsi="Arial"/>
                <w:sz w:val="18"/>
                <w:szCs w:val="18"/>
                <w:color w:val="auto"/>
              </w:rPr>
              <w:t>U.S. government securities</w:t>
            </w: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6,992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6,992</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10,166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10,166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ind w:left="520"/>
              <w:spacing w:after="0"/>
              <w:rPr>
                <w:sz w:val="20"/>
                <w:szCs w:val="20"/>
                <w:color w:val="auto"/>
              </w:rPr>
            </w:pPr>
            <w:r>
              <w:rPr>
                <w:rFonts w:ascii="Arial" w:cs="Arial" w:eastAsia="Arial" w:hAnsi="Arial"/>
                <w:sz w:val="18"/>
                <w:szCs w:val="18"/>
                <w:color w:val="auto"/>
              </w:rPr>
              <w:t>—</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2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7"/>
              </w:rPr>
              <w:t>U.S. asset-backed securities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4,182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4,182</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10,618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10,618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w:t>
            </w:r>
          </w:p>
        </w:tc>
      </w:tr>
      <w:tr>
        <w:trPr>
          <w:trHeight w:val="237"/>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57,191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19,431</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37,760</w:t>
            </w:r>
          </w:p>
        </w:tc>
        <w:tc>
          <w:tcPr>
            <w:tcW w:w="100" w:type="dxa"/>
            <w:vAlign w:val="bottom"/>
          </w:tcPr>
          <w:p>
            <w:pPr>
              <w:spacing w:after="0"/>
              <w:rPr>
                <w:sz w:val="20"/>
                <w:szCs w:val="20"/>
                <w:color w:val="auto"/>
              </w:rPr>
            </w:pPr>
          </w:p>
        </w:tc>
        <w:tc>
          <w:tcPr>
            <w:tcW w:w="740" w:type="dxa"/>
            <w:vAlign w:val="bottom"/>
            <w:tcBorders>
              <w:top w:val="single" w:sz="8" w:color="auto"/>
            </w:tcBorders>
          </w:tcPr>
          <w:p>
            <w:pPr>
              <w:jc w:val="right"/>
              <w:ind w:right="536"/>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75,476</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5,838</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69,638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11.Net Earnings (Loss) Per Common Share</w:t>
      </w:r>
    </w:p>
    <w:p>
      <w:pPr>
        <w:spacing w:after="0" w:line="2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Basic earnings per share is calculated by dividing net income (loss) by the weighted average number of common shares outstanding during the period. Diluted earnings per share is calculated by adding the dilutive potential common shares to the weighted average number of common shares that were outstanding during the period. For purposes of the diluted earnings per share calculation, outstanding stock options and restricted stock units are considered common stock equivalents, using the treasury stock method.</w:t>
      </w:r>
    </w:p>
    <w:p>
      <w:pPr>
        <w:spacing w:after="0" w:line="187" w:lineRule="exact"/>
        <w:rPr>
          <w:sz w:val="20"/>
          <w:szCs w:val="20"/>
          <w:color w:val="auto"/>
        </w:rPr>
      </w:pPr>
    </w:p>
    <w:p>
      <w:pPr>
        <w:ind w:right="820" w:firstLine="243"/>
        <w:spacing w:after="0" w:line="277" w:lineRule="auto"/>
        <w:rPr>
          <w:sz w:val="20"/>
          <w:szCs w:val="20"/>
          <w:color w:val="auto"/>
        </w:rPr>
      </w:pPr>
      <w:r>
        <w:rPr>
          <w:rFonts w:ascii="Arial" w:cs="Arial" w:eastAsia="Arial" w:hAnsi="Arial"/>
          <w:sz w:val="18"/>
          <w:szCs w:val="18"/>
          <w:color w:val="auto"/>
        </w:rPr>
        <w:t>The following reflects the net income (loss) attributable to common shareholders and share data used in the basic and diluted earnings per share computations using the treasury class method: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800" w:right="239"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60" w:type="dxa"/>
            <w:vAlign w:val="bottom"/>
            <w:gridSpan w:val="4"/>
          </w:tcPr>
          <w:p>
            <w:pPr>
              <w:jc w:val="right"/>
              <w:ind w:right="352"/>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thousands except per share amounts)</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Numerator:</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3,470</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(1,069)</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(19,166)</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(13,379)</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Denominator:</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Weighted-average common shares outstanding (basic)</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44,251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42,925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43,979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39,163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Weighted-average shares outstanding (diluted)</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46,667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42,925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43,979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39,163</w:t>
            </w:r>
          </w:p>
        </w:tc>
        <w:tc>
          <w:tcPr>
            <w:tcW w:w="0" w:type="dxa"/>
            <w:vAlign w:val="bottom"/>
          </w:tcPr>
          <w:p>
            <w:pPr>
              <w:spacing w:after="0"/>
              <w:rPr>
                <w:sz w:val="1"/>
                <w:szCs w:val="1"/>
                <w:color w:val="auto"/>
              </w:rPr>
            </w:pPr>
          </w:p>
        </w:tc>
      </w:tr>
      <w:tr>
        <w:trPr>
          <w:trHeight w:val="229"/>
        </w:trPr>
        <w:tc>
          <w:tcPr>
            <w:tcW w:w="5160" w:type="dxa"/>
            <w:vAlign w:val="bottom"/>
            <w:gridSpan w:val="2"/>
          </w:tcPr>
          <w:p>
            <w:pPr>
              <w:ind w:left="40"/>
              <w:spacing w:after="0"/>
              <w:rPr>
                <w:sz w:val="20"/>
                <w:szCs w:val="20"/>
                <w:color w:val="auto"/>
              </w:rPr>
            </w:pPr>
            <w:r>
              <w:rPr>
                <w:rFonts w:ascii="Arial" w:cs="Arial" w:eastAsia="Arial" w:hAnsi="Arial"/>
                <w:sz w:val="18"/>
                <w:szCs w:val="18"/>
                <w:color w:val="auto"/>
                <w:w w:val="98"/>
              </w:rPr>
              <w:t>Net income (loss) per share attributable to common shareholders</w:t>
            </w: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ind w:right="34"/>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19"/>
                <w:szCs w:val="19"/>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(0.44)</w:t>
            </w:r>
          </w:p>
        </w:tc>
        <w:tc>
          <w:tcPr>
            <w:tcW w:w="120" w:type="dxa"/>
            <w:vAlign w:val="bottom"/>
          </w:tcPr>
          <w:p>
            <w:pPr>
              <w:spacing w:after="0"/>
              <w:rPr>
                <w:sz w:val="19"/>
                <w:szCs w:val="19"/>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77"/>
        </w:trPr>
        <w:tc>
          <w:tcPr>
            <w:tcW w:w="51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vMerge w:val="continue"/>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11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160" w:type="dxa"/>
            <w:vAlign w:val="bottom"/>
            <w:gridSpan w:val="2"/>
          </w:tcPr>
          <w:p>
            <w:pPr>
              <w:ind w:left="40"/>
              <w:spacing w:after="0"/>
              <w:rPr>
                <w:sz w:val="20"/>
                <w:szCs w:val="20"/>
                <w:color w:val="auto"/>
              </w:rPr>
            </w:pPr>
            <w:r>
              <w:rPr>
                <w:rFonts w:ascii="Arial" w:cs="Arial" w:eastAsia="Arial" w:hAnsi="Arial"/>
                <w:sz w:val="18"/>
                <w:szCs w:val="18"/>
                <w:color w:val="auto"/>
                <w:w w:val="98"/>
              </w:rPr>
              <w:t>Net income (loss) per share attributable to common shareholders</w:t>
            </w: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ind w:right="34"/>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19"/>
                <w:szCs w:val="19"/>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(0.44)</w:t>
            </w:r>
          </w:p>
        </w:tc>
        <w:tc>
          <w:tcPr>
            <w:tcW w:w="120" w:type="dxa"/>
            <w:vAlign w:val="bottom"/>
          </w:tcPr>
          <w:p>
            <w:pPr>
              <w:spacing w:after="0"/>
              <w:rPr>
                <w:sz w:val="19"/>
                <w:szCs w:val="19"/>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77"/>
        </w:trPr>
        <w:tc>
          <w:tcPr>
            <w:tcW w:w="51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vMerge w:val="continue"/>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11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Anti-dilutive shares excluded from the calculation of diluted</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gridSpan w:val="2"/>
          </w:tcPr>
          <w:p>
            <w:pPr>
              <w:ind w:left="40"/>
              <w:spacing w:after="0" w:line="257" w:lineRule="exact"/>
              <w:rPr>
                <w:sz w:val="20"/>
                <w:szCs w:val="20"/>
                <w:color w:val="auto"/>
              </w:rPr>
            </w:pPr>
            <w:r>
              <w:rPr>
                <w:rFonts w:ascii="Arial" w:cs="Arial" w:eastAsia="Arial" w:hAnsi="Arial"/>
                <w:sz w:val="18"/>
                <w:szCs w:val="18"/>
                <w:color w:val="auto"/>
              </w:rPr>
              <w:t>earnings per share</w:t>
            </w:r>
            <w:r>
              <w:rPr>
                <w:rFonts w:ascii="Arial" w:cs="Arial" w:eastAsia="Arial" w:hAnsi="Arial"/>
                <w:sz w:val="25"/>
                <w:szCs w:val="25"/>
                <w:color w:val="auto"/>
                <w:vertAlign w:val="superscript"/>
              </w:rPr>
              <w:t>(a)</w:t>
            </w: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Stock options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5,196</w:t>
            </w:r>
          </w:p>
        </w:tc>
        <w:tc>
          <w:tcPr>
            <w:tcW w:w="0" w:type="dxa"/>
            <w:vAlign w:val="bottom"/>
          </w:tcPr>
          <w:p>
            <w:pPr>
              <w:spacing w:after="0"/>
              <w:rPr>
                <w:sz w:val="1"/>
                <w:szCs w:val="1"/>
                <w:color w:val="auto"/>
              </w:rPr>
            </w:pP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Restricted stock unit awards</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Warrants</w:t>
            </w:r>
          </w:p>
        </w:tc>
        <w:tc>
          <w:tcPr>
            <w:tcW w:w="2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5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0" w:hanging="250"/>
        <w:spacing w:after="0"/>
        <w:tabs>
          <w:tab w:leader="none" w:pos="4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Common equivalent shares are not included in the diluted per share calculation where the effect of their inclusion would be anti-dilutive.</w:t>
      </w:r>
    </w:p>
    <w:p>
      <w:pPr>
        <w:spacing w:after="0" w:line="200" w:lineRule="exact"/>
        <w:rPr>
          <w:rFonts w:ascii="Arial" w:cs="Arial" w:eastAsia="Arial" w:hAnsi="Arial"/>
          <w:sz w:val="18"/>
          <w:szCs w:val="18"/>
          <w:color w:val="auto"/>
        </w:rPr>
      </w:pPr>
    </w:p>
    <w:p>
      <w:pPr>
        <w:spacing w:after="0" w:line="264" w:lineRule="exact"/>
        <w:rPr>
          <w:rFonts w:ascii="Arial" w:cs="Arial" w:eastAsia="Arial" w:hAnsi="Arial"/>
          <w:sz w:val="18"/>
          <w:szCs w:val="18"/>
          <w:color w:val="auto"/>
        </w:rPr>
      </w:pPr>
    </w:p>
    <w:p>
      <w:pPr>
        <w:ind w:left="280" w:hanging="272"/>
        <w:spacing w:after="0"/>
        <w:tabs>
          <w:tab w:leader="none" w:pos="2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NexoBrid License and Supply Agreements</w:t>
      </w:r>
    </w:p>
    <w:p>
      <w:pPr>
        <w:spacing w:after="0" w:line="229" w:lineRule="exact"/>
        <w:rPr>
          <w:sz w:val="20"/>
          <w:szCs w:val="20"/>
          <w:color w:val="auto"/>
        </w:rPr>
      </w:pPr>
    </w:p>
    <w:p>
      <w:pPr>
        <w:jc w:val="both"/>
        <w:ind w:firstLine="243"/>
        <w:spacing w:after="0" w:line="226" w:lineRule="auto"/>
        <w:rPr>
          <w:sz w:val="20"/>
          <w:szCs w:val="20"/>
          <w:color w:val="auto"/>
        </w:rPr>
      </w:pPr>
      <w:r>
        <w:rPr>
          <w:rFonts w:ascii="Arial" w:cs="Arial" w:eastAsia="Arial" w:hAnsi="Arial"/>
          <w:sz w:val="18"/>
          <w:szCs w:val="18"/>
          <w:color w:val="auto"/>
        </w:rPr>
        <w:t>On May 6, 2019, the Company entered into exclusive license and supply agreements with MediWound Ltd. (MediWound) to commercialize NexoBrid</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any improvements to Nexobrid in all countries of North America. NexoBrid is a topically-administered biological product that enzymatically removes nonviable burn tissue, or eschar, in patients with deep partial and full-thickness thermal burns.</w:t>
      </w:r>
    </w:p>
    <w:p>
      <w:pPr>
        <w:spacing w:after="0" w:line="20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NexoBrid is currently in clinical development in North America, and pursuant to the terms of the license agreement, MediWound will continue to conduct all clinical activities described in the development plan to support the BLA filing with the United States Food and Drug Administration under the supervision of a Central Steering Committee comprised of members of each party.</w:t>
      </w:r>
    </w:p>
    <w:p>
      <w:pPr>
        <w:spacing w:after="0" w:line="181"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In May 2019, the Company paid MediWound $17.5 million in consideration of the license. The $17.5 million upfront payment was recorded to research and development expense in the nine months ended September 30, 2019 as the license is for registration-stage product rights and is considered in process research and development. The Company is also obligated to pay MediWound $7.5 million upon U.S. regulatory approval of the BLA for NexoBrid and up to $125 million contingent upon meeting certain sales milestones. The first sales milestone of $7.5 million would be triggered when annual net sales of NexoBrid or improvements to it in North America exceed $75 million. The Company also will pay MediWound tiered royalties on net sales ranging from high single-digit to low double-digit percentages, subject to customary reductions. The U.S. Biomedical Advanced Research and Development Authority (BARDA) has committed to procure NexoBrid, and the Company will pay a percentage of gross profits to MediWound on initial committed amounts and a royalty on any additional BARDA purchases of NexoBrid beyond the initial committed amount. The Company also entered into a supply agreement with MediWound under which MediWound will manufacture NexoBrid for the Company on a unit price basis which may be increased based on a published index. MediWound is obligated to supply the Company with NexoBrid for sale in North America on an exclusive basis for the first five years of the term of the supply agreement. After the exclusivity period or upon supply failure, the Company will be permitted to establish an alternate source of supply.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leases facilities in Ann Arbor, Michigan and Cambridge, Massachusetts. The Cambridge facility includes clean rooms, laboratories for MACI and Epicel manufacturing and office space. The Company also pays for use of an offsite warehouse space and leases various vehicles and computer equipment.</w:t>
      </w:r>
    </w:p>
    <w:p>
      <w:pPr>
        <w:spacing w:after="0" w:line="18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 xml:space="preserve">In March 2016, the Company amended its current lease in Cambridge to, among other provisions, extend the term until February 2022. Under the amendment, the landlord will contribute approximately $2.0 million toward the cost of tenant improvements. The </w:t>
      </w:r>
      <w:r>
        <w:rPr>
          <w:rFonts w:ascii="Arial" w:cs="Arial" w:eastAsia="Arial" w:hAnsi="Arial"/>
          <w:sz w:val="18"/>
          <w:szCs w:val="18"/>
          <w:color w:val="222222"/>
        </w:rPr>
        <w:t>contribution toward the cost of tenant</w:t>
      </w:r>
      <w:r>
        <w:rPr>
          <w:rFonts w:ascii="Arial" w:cs="Arial" w:eastAsia="Arial" w:hAnsi="Arial"/>
          <w:sz w:val="18"/>
          <w:szCs w:val="18"/>
          <w:color w:val="auto"/>
        </w:rPr>
        <w:t xml:space="preserve"> </w:t>
      </w:r>
      <w:r>
        <w:rPr>
          <w:rFonts w:ascii="Arial" w:cs="Arial" w:eastAsia="Arial" w:hAnsi="Arial"/>
          <w:sz w:val="18"/>
          <w:szCs w:val="18"/>
          <w:color w:val="222222"/>
        </w:rPr>
        <w:t>improvements is recorded as part of the operating lease assets under the new leasing guidance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806" w:right="239" w:bottom="1440" w:gutter="0" w:footer="0" w:header="0"/>
        </w:sectPr>
      </w:pPr>
    </w:p>
    <w:bookmarkStart w:id="19" w:name="page20"/>
    <w:bookmarkEnd w:id="19"/>
    <w:p>
      <w:pPr>
        <w:jc w:val="both"/>
        <w:spacing w:after="0" w:line="277" w:lineRule="auto"/>
        <w:rPr>
          <w:sz w:val="20"/>
          <w:szCs w:val="20"/>
          <w:color w:val="auto"/>
        </w:rPr>
      </w:pPr>
      <w:r>
        <w:rPr>
          <w:rFonts w:ascii="Arial" w:cs="Arial" w:eastAsia="Arial" w:hAnsi="Arial"/>
          <w:sz w:val="18"/>
          <w:szCs w:val="18"/>
          <w:color w:val="222222"/>
        </w:rPr>
        <w:t xml:space="preserve">described below, on the Company's condensed consolidated balance sheet. As of September 30, 2019, the Company has recorded $2.0 million </w:t>
      </w:r>
      <w:r>
        <w:rPr>
          <w:rFonts w:ascii="Arial" w:cs="Arial" w:eastAsia="Arial" w:hAnsi="Arial"/>
          <w:sz w:val="18"/>
          <w:szCs w:val="18"/>
          <w:color w:val="000000"/>
        </w:rPr>
        <w:t>of leasehold</w:t>
      </w:r>
      <w:r>
        <w:rPr>
          <w:rFonts w:ascii="Arial" w:cs="Arial" w:eastAsia="Arial" w:hAnsi="Arial"/>
          <w:sz w:val="18"/>
          <w:szCs w:val="18"/>
          <w:color w:val="222222"/>
        </w:rPr>
        <w:t xml:space="preserve"> </w:t>
      </w:r>
      <w:r>
        <w:rPr>
          <w:rFonts w:ascii="Arial" w:cs="Arial" w:eastAsia="Arial" w:hAnsi="Arial"/>
          <w:sz w:val="18"/>
          <w:szCs w:val="18"/>
          <w:color w:val="000000"/>
        </w:rPr>
        <w:t>improvements funded by the tenant improvement allowance</w:t>
      </w:r>
      <w:r>
        <w:rPr>
          <w:rFonts w:ascii="Arial" w:cs="Arial" w:eastAsia="Arial" w:hAnsi="Arial"/>
          <w:sz w:val="18"/>
          <w:szCs w:val="18"/>
          <w:color w:val="222222"/>
        </w:rPr>
        <w:t>.</w:t>
      </w:r>
    </w:p>
    <w:p>
      <w:pPr>
        <w:spacing w:after="0" w:line="17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Company adopted the updated leasing guidance as described in note 7, as of January 1, 2019. Upon adoption all operating lease commitments with a lease term greater than 12 months that were previously assessed under previous lease guidance, were recognized as right to use assets and liabilities, on a discounted basis on the balance sheet. Leases with an initial term of 12 months or less are not recorded on the balance sheet and lease expense is recorded on a straight-line basis over the lease term.</w:t>
      </w:r>
    </w:p>
    <w:p>
      <w:pPr>
        <w:spacing w:after="0" w:line="18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Company's purchase commitments consist of minimum purchase amounts of materials used in the Company's cell manufacturing process to manufacture its marketed cell therapy products.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243"/>
        <w:spacing w:after="0" w:line="235" w:lineRule="auto"/>
        <w:rPr>
          <w:sz w:val="20"/>
          <w:szCs w:val="20"/>
          <w:color w:val="auto"/>
        </w:rPr>
      </w:pPr>
      <w:r>
        <w:rPr>
          <w:rFonts w:ascii="Arial" w:cs="Arial" w:eastAsia="Arial" w:hAnsi="Arial"/>
          <w:sz w:val="17"/>
          <w:szCs w:val="17"/>
          <w:color w:val="auto"/>
        </w:rPr>
        <w:t>Vericel Corporation is a leader in advanced cell therapies for the sports medicine and severe burn care markets, and a developer of cell therapies for use in the treatment of patients with severe diseases and conditions. We currently market two FDA approved autologous cell therapy products in the United States. MACI</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(autologous cultured chondrocytes on porcine collagen membrane) is an autologous cellularized scaffold product indicated for the repair of symptomatic, single or multiple full-thickness cartilage defects of the knee with or without bone involvement in adults. We also market Epicel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(cultured epidermal autografts), a permanent skin replacement Humanitarian Use Device (HUD) for the treatment of adult and pediatric patients with deep-dermal or full-thickness burns greater than or equal to 30 percent of total body surface area (TBSA).</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We have a cell-manufacturing facility in Cambridge, Massachusetts which is used for U.S. manufacturing and distribution of MACI and Epicel.</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Portfolio</w:t>
      </w:r>
    </w:p>
    <w:p>
      <w:pPr>
        <w:spacing w:after="0" w:line="22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marketed products include two FDA-approved autologous cell therapies: MACI, a third-generation autologous implant for the repair of symptomatic, full-thickness cartilage defects of the knee in adult patients and Epicel, a permanent skin replacement for adult and pediatric patients with deep dermal or full thickness burns greater than or equal to 30% of TBSA. Both products are currently marketed in the U.S. We also own Carticel which is no longer marketed in the U.S. In addition, we have entered into exclusive license and supply agreements with MediWound to commercialize NexoBrid in all countries of North America. NexoBrid is currently in clinical development in North America. Until 2017, our active product candidate portfolio included ixmyelocel-T, a patient-specific multicellular therapy for the treatment of advanced heart failure due to dilated cardiomyopathy, or DCM. We have no current plans to continue the development of ixmyelocel-T.</w:t>
      </w:r>
    </w:p>
    <w:p>
      <w:pPr>
        <w:spacing w:after="0" w:line="18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MACI</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MACI is a third-generation product for autologous chondrocyte implantation (ACI), a class of methods for the repair of symptomatic, single or multiple full-thickness cartilage defects of the knee with or without bone involvement in adults. MACI replaced Carticel, an earlier generation ACI product for the treatment and repair of cartilage defects in the knee and was the first FDA-approved cartilage repair product.</w:t>
      </w:r>
    </w:p>
    <w:p>
      <w:pPr>
        <w:spacing w:after="0" w:line="195"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In the U.S., the physician target audience which repairs cartilage defects is concentrated and is comprised of a group of orthopedic surgeons who self-identify and/or have a formal specialty as sports medicine physicians. We believe this target audience is approximately 3,000 physicians. In addition to these physicians there is a population of approximately 8,000 general orthopedic surgeons who treat cartilage injuries, although typically at a much lower average volume relative to the sports medicine segment. As we look to more effectively engage this customer base, we expanded our field force from 40 to 48 representatives in the second quarter of 2019 to target the majority of the approximately 3,000 sports medicine physicians. In 2020 we plan on a further expansion to 76 representatives to enable the field force to also call on 2,000 of the general orthopedic surgeons. Most private payers have a medical policy that covers treatment with MACI with the top 30 largest commercial payers having a formal medical policy for MACI or ACI in general. Even for private payers which have not yet approved a medical policy for MACI, for medically appropriate cases, we often obtain approval on a case by case basis. For the three and nine months ended September 30, 2019, net revenues for MACI were $20.6 million and $58.0 million, respectively and $16.4 million and $42.6 million, for the same periods in 2018.</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0" w:name="page21"/>
    <w:bookmarkEnd w:id="20"/>
    <w:p>
      <w:pPr>
        <w:ind w:left="260"/>
        <w:spacing w:after="0"/>
        <w:rPr>
          <w:sz w:val="20"/>
          <w:szCs w:val="20"/>
          <w:color w:val="auto"/>
        </w:rPr>
      </w:pPr>
      <w:r>
        <w:rPr>
          <w:rFonts w:ascii="Arial" w:cs="Arial" w:eastAsia="Arial" w:hAnsi="Arial"/>
          <w:sz w:val="18"/>
          <w:szCs w:val="18"/>
          <w:b w:val="1"/>
          <w:bCs w:val="1"/>
          <w:color w:val="auto"/>
        </w:rPr>
        <w:t>Epicel</w:t>
      </w:r>
    </w:p>
    <w:p>
      <w:pPr>
        <w:spacing w:after="0" w:line="229"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Epicel is a permanent skin replacement for deep dermal or full thickness burns greater than or equal to 30% of total body surface area (TBSA). Epicel is regulated by the Center for Biologics Evaluation and Research, or CBER of the U.S. Food and Drug Administration, or FDA under medical device authorities, and is the only FDA-approved cultured epidermal autograft product available for large total surface area burns. Epicel was designated as a Humanitarian Use Device (HUD) in 1998 and a Humanitarian Device Exception (HDE) application for the product was submitted in 1999. HUDs are devices that are intended for diseases or conditions that affect fewer than 8,000 individuals annually in the U.S. Under an HDE approval, a HUD cannot be sold for an amount that exceeds the cost of research and development, fabrication and distribution unless certain conditions are met.</w:t>
      </w:r>
    </w:p>
    <w:p>
      <w:pPr>
        <w:spacing w:after="0" w:line="16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 HUD is eligible to be sold for profit after receiving HDE approval if the device meets certain eligibility criteria, including where the device is intended for the treatment of a disease or condition that occurs in pediatric patients and such device is labeled for use in pediatric patients. If the FDA determines that a HUD meets the eligibility criteria, the HUD is permitted to be sold for profit as long as the number of devices distributed in any calendar year does not exceed the Annual Distribution Number (ADN). The ADN is defined as the number of devices reasonably needed to treat a population of 8,000 individuals per year in the U.S.</w:t>
      </w:r>
    </w:p>
    <w:p>
      <w:pPr>
        <w:spacing w:after="0" w:line="18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On February 18, 2016, the FDA approved our HDE supplement to revise the labeled indications of use to specifically include pediatric patients and to add pediatric labeling. The revised product label also now specifies that the probable benefit of Epicel, mainly related to survival, was demonstrated in two Epicel clinical experience databases and a physician-sponsored study comparing outcomes in patients with massive burns treated with Epicel relative to standard care. Due to the change in the label to specifically include use in pediatric patients, Epicel is no longer subject to the HDE profit restrictions. In conjunction with adding the pediatric labeling and meeting the pediatric eligibility criteria, the FDA has determined the ADN number for Epicel is 360,400 which is approximately 45 times larger than the volume of grafts sold in 2018. We currently have a 9-person field force. For the three and nine months ended September 30, 2019, net revenues for Epicel were $9.9 million and $20.4 million, respectively, and $6.0 million and $16.9 million for the same periods in 2018.</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NexoBrid</w:t>
      </w:r>
    </w:p>
    <w:p>
      <w:pPr>
        <w:spacing w:after="0" w:line="229"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Our preapproval stage portfolio includes NexoBrid, a topically-administered biological product that enzymatically removes nonviable burn tissue, or eschar, in patients with deep partial and full-thickness thermal burns. NexoBrid is currently in clinical development in North America, and a BLA currently is targeted for submission to the FDA in the second quarter of 2020. Pursuant to the terms of our license agreement with MediWound, MediWound will continue to conduct all clinical activities described in the development plan to support the filing of a BLA with the United States Food and Drug Administration under the supervision of a Central Steering Committee comprised of members of each party.</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Ixmyelocel-T</w:t>
      </w:r>
    </w:p>
    <w:p>
      <w:pPr>
        <w:spacing w:after="0" w:line="229"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Our preapproval stage portfolio also includes ixmyelocel-T, a unique multicellular therapy derived from an adult patient’s own bone marrow which utilizes our proprietary, highly automated and scalable manufacturing system. This multicellular therapy was developed for the treatment of advanced heart failure due to DCM.</w:t>
      </w:r>
    </w:p>
    <w:p>
      <w:pPr>
        <w:spacing w:after="0" w:line="181" w:lineRule="exact"/>
        <w:rPr>
          <w:sz w:val="20"/>
          <w:szCs w:val="20"/>
          <w:color w:val="auto"/>
        </w:rPr>
      </w:pPr>
    </w:p>
    <w:p>
      <w:pPr>
        <w:ind w:right="220" w:firstLine="243"/>
        <w:spacing w:after="0" w:line="279" w:lineRule="auto"/>
        <w:rPr>
          <w:sz w:val="20"/>
          <w:szCs w:val="20"/>
          <w:color w:val="auto"/>
        </w:rPr>
      </w:pPr>
      <w:r>
        <w:rPr>
          <w:rFonts w:ascii="Arial" w:cs="Arial" w:eastAsia="Arial" w:hAnsi="Arial"/>
          <w:sz w:val="17"/>
          <w:szCs w:val="17"/>
          <w:color w:val="auto"/>
        </w:rPr>
        <w:t>Ixmyelocel-T has been granted a U.S. Orphan Drug designation by the FDA for the treatment of DCM. We completed enrolling and treating patients in our completed Phase 2b ixCELL-DCM study in February 2015. On September 29, 2017, the FDA indicated we would be required to conduct at least one additional Phase 3 clinical study to support a BLA for ixmyelocel-T. Given the expense required to conduct further development and our focus on growing our existing commercial products, at this time we have no current plans to initiate or fund a Phase 3 trial on our own.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Our net earnings and loss for the three and nine months ended September 30, 2019 totaled $3.5 million and $19.2 million, respectively and a loss of $1.1 million and $13.4 million for the same periods in 2018.</w:t>
      </w:r>
    </w:p>
    <w:p>
      <w:pPr>
        <w:spacing w:after="0" w:line="176" w:lineRule="exact"/>
        <w:rPr>
          <w:sz w:val="20"/>
          <w:szCs w:val="20"/>
          <w:color w:val="auto"/>
        </w:rPr>
      </w:pPr>
    </w:p>
    <w:tbl>
      <w:tblPr>
        <w:tblLayout w:type="fixed"/>
        <w:tblInd w:w="18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4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20" w:type="dxa"/>
            <w:vAlign w:val="bottom"/>
            <w:gridSpan w:val="4"/>
          </w:tcPr>
          <w:p>
            <w:pPr>
              <w:jc w:val="right"/>
              <w:ind w:right="332"/>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64"/>
        </w:trPr>
        <w:tc>
          <w:tcPr>
            <w:tcW w:w="48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r>
      <w:tr>
        <w:trPr>
          <w:trHeight w:val="243"/>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Total 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30,499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22,484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78,460</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59,522</w:t>
            </w:r>
          </w:p>
        </w:tc>
      </w:tr>
      <w:tr>
        <w:trPr>
          <w:trHeight w:val="27"/>
        </w:trPr>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9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Cost of product sales</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9,324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8,138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26,986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23,531</w:t>
            </w:r>
          </w:p>
        </w:tc>
      </w:tr>
      <w:tr>
        <w:trPr>
          <w:trHeight w:val="237"/>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21,175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14,346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51,474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35,991</w:t>
            </w:r>
          </w:p>
        </w:tc>
      </w:tr>
      <w:tr>
        <w:trPr>
          <w:trHeight w:val="27"/>
        </w:trPr>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9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18,078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15,682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71,935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45,895</w:t>
            </w:r>
          </w:p>
        </w:tc>
      </w:tr>
      <w:tr>
        <w:trPr>
          <w:trHeight w:val="237"/>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Income (loss) from operations</w:t>
            </w: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3,097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(20,461)</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(9,904)</w:t>
            </w:r>
          </w:p>
        </w:tc>
      </w:tr>
      <w:tr>
        <w:trPr>
          <w:trHeight w:val="27"/>
        </w:trPr>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9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income (expense)</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1,295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(3,475)</w:t>
            </w:r>
          </w:p>
        </w:tc>
      </w:tr>
      <w:tr>
        <w:trPr>
          <w:trHeight w:val="257"/>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3,470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(19,166)</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(13,379)</w:t>
            </w:r>
          </w:p>
        </w:tc>
      </w:tr>
      <w:tr>
        <w:trPr>
          <w:trHeight w:val="20"/>
        </w:trPr>
        <w:tc>
          <w:tcPr>
            <w:tcW w:w="4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Net revenues increased for the three and nine months ended September 30, 2019 compared to the same periods in 2018 due to significant volume growth for both MACI and Epicel.</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Revenue by product (in thousands)</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5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MACI</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20,610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16,449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58,015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42,629</w:t>
            </w:r>
          </w:p>
        </w:tc>
      </w:tr>
      <w:tr>
        <w:trPr>
          <w:trHeight w:val="243"/>
        </w:trPr>
        <w:tc>
          <w:tcPr>
            <w:tcW w:w="5140" w:type="dxa"/>
            <w:vAlign w:val="bottom"/>
            <w:gridSpan w:val="2"/>
          </w:tcPr>
          <w:p>
            <w:pPr>
              <w:ind w:left="40"/>
              <w:spacing w:after="0"/>
              <w:rPr>
                <w:sz w:val="20"/>
                <w:szCs w:val="20"/>
                <w:color w:val="auto"/>
              </w:rPr>
            </w:pPr>
            <w:r>
              <w:rPr>
                <w:rFonts w:ascii="Arial" w:cs="Arial" w:eastAsia="Arial" w:hAnsi="Arial"/>
                <w:sz w:val="18"/>
                <w:szCs w:val="18"/>
                <w:color w:val="auto"/>
              </w:rPr>
              <w:t>Epicel</w:t>
            </w:r>
          </w:p>
        </w:tc>
        <w:tc>
          <w:tcPr>
            <w:tcW w:w="280" w:type="dxa"/>
            <w:vAlign w:val="bottom"/>
          </w:tcPr>
          <w:p>
            <w:pPr>
              <w:spacing w:after="0"/>
              <w:rPr>
                <w:sz w:val="21"/>
                <w:szCs w:val="21"/>
                <w:color w:val="auto"/>
              </w:rPr>
            </w:pP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9,889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6,035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7"/>
              <w:spacing w:after="0"/>
              <w:rPr>
                <w:sz w:val="20"/>
                <w:szCs w:val="20"/>
                <w:color w:val="auto"/>
              </w:rPr>
            </w:pPr>
            <w:r>
              <w:rPr>
                <w:rFonts w:ascii="Arial" w:cs="Arial" w:eastAsia="Arial" w:hAnsi="Arial"/>
                <w:sz w:val="18"/>
                <w:szCs w:val="18"/>
                <w:color w:val="auto"/>
              </w:rPr>
              <w:t>20,445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16,893</w:t>
            </w:r>
          </w:p>
        </w:tc>
      </w:tr>
      <w:tr>
        <w:trPr>
          <w:trHeight w:val="27"/>
        </w:trPr>
        <w:tc>
          <w:tcPr>
            <w:tcW w:w="5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30,499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22,484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78,460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59,522</w:t>
            </w:r>
          </w:p>
        </w:tc>
      </w:tr>
      <w:tr>
        <w:trPr>
          <w:trHeight w:val="20"/>
        </w:trPr>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91"/>
        <w:spacing w:after="0" w:line="272" w:lineRule="auto"/>
        <w:rPr>
          <w:sz w:val="20"/>
          <w:szCs w:val="20"/>
          <w:color w:val="auto"/>
        </w:rPr>
      </w:pPr>
      <w:r>
        <w:rPr>
          <w:rFonts w:ascii="Arial" w:cs="Arial" w:eastAsia="Arial" w:hAnsi="Arial"/>
          <w:sz w:val="17"/>
          <w:szCs w:val="17"/>
          <w:i w:val="1"/>
          <w:iCs w:val="1"/>
          <w:color w:val="auto"/>
        </w:rPr>
        <w:t xml:space="preserve">Seasonality. </w:t>
      </w:r>
      <w:r>
        <w:rPr>
          <w:rFonts w:ascii="Arial" w:cs="Arial" w:eastAsia="Arial" w:hAnsi="Arial"/>
          <w:sz w:val="17"/>
          <w:szCs w:val="17"/>
          <w:color w:val="auto"/>
        </w:rPr>
        <w:t>Over the last four years ACI (MACI and Carticel prior to its replacement) sales volumes from the first through the fourth quarter have on</w:t>
      </w:r>
      <w:r>
        <w:rPr>
          <w:rFonts w:ascii="Arial" w:cs="Arial" w:eastAsia="Arial" w:hAnsi="Arial"/>
          <w:sz w:val="17"/>
          <w:szCs w:val="17"/>
          <w:i w:val="1"/>
          <w:iCs w:val="1"/>
          <w:color w:val="auto"/>
        </w:rPr>
        <w:t xml:space="preserve"> </w:t>
      </w:r>
      <w:r>
        <w:rPr>
          <w:rFonts w:ascii="Arial" w:cs="Arial" w:eastAsia="Arial" w:hAnsi="Arial"/>
          <w:sz w:val="17"/>
          <w:szCs w:val="17"/>
          <w:color w:val="auto"/>
        </w:rPr>
        <w:t>average represented 20%, 24%, 22% and 35% respectively, of total annual volumes. In some years individual quarters have deviated from these means by up to 4%. MACI orders are stronger in the fourth quarter due to several factors including insurance copay limits and the time of year patients prefer to start rehabilitation. Epicel revenue is also subject to seasonal fluctuations mostly associated with the use of heating elements during the colder months, with stronger sales occurring in the winter months of the first and fourth quarters, and weaker sales occurring in the hot summer months of the third quarter. However, in any single year, this trend can be absent due to the extreme variability inherent with Epicel’s patient volume. Over the last four years the percentage of annual product orders for Epicel has on average been 28%, 25%, 21% and 27% from the first to the fourth quarters.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and Gross Profit Ratio</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6"/>
                <w:szCs w:val="16"/>
                <w:color w:val="auto"/>
              </w:rPr>
            </w:pPr>
          </w:p>
        </w:tc>
        <w:tc>
          <w:tcPr>
            <w:tcW w:w="2860" w:type="dxa"/>
            <w:vAlign w:val="bottom"/>
            <w:gridSpan w:val="4"/>
          </w:tcPr>
          <w:p>
            <w:pPr>
              <w:jc w:val="right"/>
              <w:ind w:right="416"/>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2018</w:t>
            </w:r>
          </w:p>
        </w:tc>
      </w:tr>
      <w:tr>
        <w:trPr>
          <w:trHeight w:val="250"/>
        </w:trPr>
        <w:tc>
          <w:tcPr>
            <w:tcW w:w="4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21,175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14,346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51,474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35,991</w:t>
            </w:r>
          </w:p>
        </w:tc>
      </w:tr>
      <w:tr>
        <w:trPr>
          <w:trHeight w:val="243"/>
        </w:trPr>
        <w:tc>
          <w:tcPr>
            <w:tcW w:w="4960" w:type="dxa"/>
            <w:vAlign w:val="bottom"/>
            <w:gridSpan w:val="2"/>
          </w:tcPr>
          <w:p>
            <w:pPr>
              <w:ind w:left="40"/>
              <w:spacing w:after="0"/>
              <w:rPr>
                <w:sz w:val="20"/>
                <w:szCs w:val="20"/>
                <w:color w:val="auto"/>
              </w:rPr>
            </w:pPr>
            <w:r>
              <w:rPr>
                <w:rFonts w:ascii="Arial" w:cs="Arial" w:eastAsia="Arial" w:hAnsi="Arial"/>
                <w:sz w:val="18"/>
                <w:szCs w:val="18"/>
                <w:color w:val="auto"/>
              </w:rPr>
              <w:t>Gross profit %</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w:t>
            </w:r>
          </w:p>
        </w:tc>
      </w:tr>
    </w:tbl>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Gross profit increased for the three and nine months ended September 30, 2019 compared to the same period in 2018 due primarily to an increase in MACI and Epicel sales combined with our highly fixed manufacturing cost structure which consists mainly of labor and facility costs that do not materially fluctuate with volume increases.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96"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Research and Development Costs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6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40" w:type="dxa"/>
            <w:vAlign w:val="bottom"/>
            <w:gridSpan w:val="3"/>
          </w:tcPr>
          <w:p>
            <w:pPr>
              <w:jc w:val="right"/>
              <w:ind w:right="359"/>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64"/>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r>
      <w:tr>
        <w:trPr>
          <w:trHeight w:val="243"/>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Research and development costs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3,096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3,113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27,174</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10,581</w:t>
            </w:r>
          </w:p>
        </w:tc>
      </w:tr>
      <w:tr>
        <w:trPr>
          <w:trHeight w:val="27"/>
        </w:trPr>
        <w:tc>
          <w:tcPr>
            <w:tcW w:w="4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approximate allocation of cost for our research and development projects: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6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40" w:type="dxa"/>
            <w:vAlign w:val="bottom"/>
            <w:gridSpan w:val="4"/>
          </w:tcPr>
          <w:p>
            <w:pPr>
              <w:jc w:val="right"/>
              <w:ind w:right="353"/>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64"/>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Dilated Cardiomyopathy</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1,119</w:t>
            </w: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MACI</w:t>
            </w:r>
          </w:p>
        </w:tc>
        <w:tc>
          <w:tcPr>
            <w:tcW w:w="26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1,804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2,095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6,165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7,169</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Epicel</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2,813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2,293</w:t>
            </w: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NexoBrid</w:t>
            </w:r>
          </w:p>
        </w:tc>
        <w:tc>
          <w:tcPr>
            <w:tcW w:w="26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18,164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research and development costs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3,096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3,113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27,174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10,581</w:t>
            </w: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color w:val="auto"/>
        </w:rPr>
        <w:t>Research and development costs for the three months ended September 30, 2019 and 2018 were $3.1 million. Research and development expenses are due primarily to manufacturing process improvement activities, the ongoing MACI pediatric trial, pharmacovigilance and other reporting and compliance requirements, and medical affairs and external grants which are similar to the same period in the previous year.</w:t>
      </w:r>
    </w:p>
    <w:p>
      <w:pPr>
        <w:spacing w:after="0" w:line="18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Research and development costs for the nine months ended September 30, 2019 were $27.2 million compared to $10.6 million for the same period a year ago. The increase in research and development costs during the nine months ended September 30, 2019 is due to the $17.5 million upfront payment to MediWound for the North American rights to NexoBrid, partially offset by costs related to the ongoing MACI pediatric trial which decreased compared to the same period a year ago.</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6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40" w:type="dxa"/>
            <w:vAlign w:val="bottom"/>
            <w:gridSpan w:val="4"/>
          </w:tcPr>
          <w:p>
            <w:pPr>
              <w:jc w:val="right"/>
              <w:ind w:right="359"/>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64"/>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r>
      <w:tr>
        <w:trPr>
          <w:trHeight w:val="243"/>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costs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14,982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12,569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44,761</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35,314</w:t>
            </w:r>
          </w:p>
        </w:tc>
      </w:tr>
      <w:tr>
        <w:trPr>
          <w:trHeight w:val="27"/>
        </w:trPr>
        <w:tc>
          <w:tcPr>
            <w:tcW w:w="4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Selling, general and administrative costs for the three months ended September 30, 2019 were $15.0 million compared to $12.6 million for the same period a year ago. The increase in selling, general and administrative costs for the three months ended September 30, 2019 is due primarily to $0.9 million increase in stock-based compensation expenses, a $0.8 million increase in marketing expenses, and a $0.7 million increase in MACI sales force expenses driven by the expansion in the second quarter of 2019.</w:t>
      </w:r>
    </w:p>
    <w:p>
      <w:pPr>
        <w:spacing w:after="0" w:line="187"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Selling, general and administrative costs for the nine months ended September 30, 2019 were $44.8 million compared to $35.3 million for the same period a year ago. The increase in selling, general and administrative costs for the nine months ended September 30, 2019 is due primarily to a $3.0 million increase in stock-based compensation expenses, a $2.1 million increase in marketing expenses, an incremental $1.9 million increase in MACI sales force expenses driven by the expansions in the second quarter of 2019 and a $1.1 million increase in patient reimbursement support services.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Increase in fair value of warrants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(2,524)</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Other income (expense)</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interest income (expense)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383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1,287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w:t>
            </w:r>
          </w:p>
        </w:tc>
      </w:tr>
      <w:tr>
        <w:trPr>
          <w:trHeight w:val="237"/>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Total other income (expense)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1,295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(3,475)</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other income and expense for the three and nine months ended September 30, 2019 is due primarily to interest income as a result of our investments in various marketable debt securities. The other income and expense for the same periods in 2018 relate to the increase in our stock price in 2018 resulting in an increase in the fair value of warrants and interest expense related to the then outstanding term loan. For the three and nine months ended September 30, 2019 we did not incur interest expense as the term</w:t>
      </w:r>
    </w:p>
    <w:p>
      <w:pPr>
        <w:sectPr>
          <w:pgSz w:w="11900" w:h="16838" w:orient="portrait"/>
          <w:cols w:equalWidth="0" w:num="1">
            <w:col w:w="11420"/>
          </w:cols>
          <w:pgMar w:left="240" w:top="800"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800" w:right="2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6"/>
          <w:szCs w:val="16"/>
          <w:color w:val="auto"/>
        </w:rPr>
        <w:t>loan was repaid in December 2018 and we did not experience a change in warrant value due to the expiration of the liability classified 2013 warrants in 2018.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Compensation</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Non-cash stock-based compensation expense included in cost of goods sold, research and development expenses and selling, general and administrative expenses is summarized in the following table: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543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820</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21"/>
                <w:szCs w:val="21"/>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583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1,993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1,282</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2,159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6,583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3,637</w:t>
            </w:r>
          </w:p>
        </w:tc>
      </w:tr>
      <w:tr>
        <w:trPr>
          <w:trHeight w:val="237"/>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Total non-cash stock-based compensation expense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3,285</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1,932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10,095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5,739</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changes in stock-based compensation expense are due primarily to fluctuations in the fair value of the options granted in 2019 compared to 2018 as a result in the increase in stock price. In addition, we granted restricted stock units in 2019 and none in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Since the acquisition in 2014 of MACI, Epicel and Carticel from Sanofi, our primary focus has been to invest in our existing commercial business with the goal of growing revenue. We have raised significant funds in order to complete our product development programs, and complete clinical trials needed to market and commercialize our products. To date, we have financed our operations primarily through public and private sales of our equity securities. At present revenue levels, we do not currently anticipate the need to finance our operations through the sales of equity securities.</w:t>
      </w:r>
    </w:p>
    <w:p>
      <w:pPr>
        <w:spacing w:after="0" w:line="17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cash and cash equivalents totaled $36.9 million, and short-term investments totaled $37.8 million as of September 30, 2019. During the nine months ended September 30, 2019, the cash used in operations of $10.3 million was largely a result of our net loss of $19.2 million which included a cash outflow of $17.5 million for the upfront payment for the NexoBrid license. The net loss was offset by noncash charges including $10.1 million of stock compensation expense and $1.2 million of depreciation expense.</w:t>
      </w:r>
    </w:p>
    <w:p>
      <w:pPr>
        <w:spacing w:after="0" w:line="187"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color w:val="auto"/>
        </w:rPr>
        <w:t>Our cash and cash equivalents totaled $53.3 million as of September 30, 2018. During the nine months ended September 30, 2018, the cash used for operations of $3.0 million was largely a result of our net loss of $13.4 million, offset by noncash charges including $5.7 million of stock compensation expense, $2.5 million due to the change in fair value of warrants and $1.1 million of depreciation expense.</w:t>
      </w:r>
    </w:p>
    <w:p>
      <w:pPr>
        <w:spacing w:after="0" w:line="181"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The change in cash provided by investing activities as of September 30, 2019 is the result of $46.3 million in short-term investments purchases offset by $73.8 million of short-term investment maturities and property plant and equipment purchases of $2.3 million primarily for manufacturing upgrades and leasehold improvements through September 30, 2019. The change in cash used for investing activities as of September 30, 2018 is the result of $44.5 million in short term investments and the purchases of $2.1 million of property plant and equipment for manufacturing upgrades through September 30, 2018.</w:t>
      </w:r>
    </w:p>
    <w:p>
      <w:pPr>
        <w:spacing w:after="0" w:line="154"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The change in cash provided from financing activities is the result of net proceeds from the exercise of stock options of $3.8 million during the nine months ended September 30, 2019. The change in cash provided from financing activities during the nine months ended September 30, 2018 is the result of net proceeds from our public equity offering of common stock of $70.0 million, proceeds from the exercise of stock options of $3.3 million and exercise of warrants of $2.7 million.</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believe that, based on current revenue levels, cash on hand, cash equivalents and short-term investments we are able to operate our business without the need to finance our operations through the sales of equity securities. If revenues decline for a sustained period, we may need to access additional capital; however, we may not be able to obtain financing on acceptable terms or at all. The terms of any financing may adversely affect the holdings or the rights of our shareholders. Actual cash requirements may differ from projections and will depend on many factors, including the level of future research and development, the scope and results of ongoing and potential clinical trials, the costs involved in filing, prosecuting and enforcing patents, the need for additional manufacturing capacity, competing technological and market developments, costs of possible acquisition or development of complementary business activities, and the cost to market our products.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September 30, 2019, we were not party to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condensed consolidated financial statements are prepared in accordance with accounting principles generally accepted in the United States of America (U.S. GAAP). The preparation of these condensed consolidated financial statements requires the application of appropriate technical accounting rules and guidance, as well as the use of estimates. The application of these policies necessarily involves judgments regarding future events. These estimates and judgments, in and of themselves, could materially impact the condensed consolidated financial statements and disclosures based on varying assumptions. The accounting policies discussed in our Form 10-K for the fiscal year ended December 31, 2018 are considered by management to be the most important to an understanding of the consolidated financial statements because of their significance to the portrayal of our financial condition and results of operations. There have been no material changes to that information disclosed in our Annual Report during the nine months ended September 30, 2019.</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This report, including the documents that we incorporate by reference, contains forward-looking statements within the meaning of Section 27A of the Securities Act of 1933 and Section 21E of the Securities Exchange Act of 1934, as amended (the Exchange Act). Any statements about our expectations, beliefs, plans, objectives, assumptions or future events or performance are not historical facts and may be forward-looking. These statements are often, but are not always, made through the use of words or phrases such as “anticipates,” “estimates,” “plans,” “projects,” “trends,” “opportunity,” “current,” “intention,” “position,” “assume,” “potential,” “outlook,” “remain,” “continue,” “maintain,” “sustain,” “seek,” “target,” “achieve,” “continuing,” “ongoing,” “expects,” “management believes,” “we believe,” “we intend” and similar words or phrases, or future or conditional verbs such as “will,” “would,” “should,” “could,” “may,” or similar expressions. Accordingly, these statements involve estimates, assumptions and uncertainties which could cause actual results to differ materially from those expressed in them. The factors described in our Annual Report, among others, could have a material adverse effect upon our business, results of operations and financial conditions.</w:t>
      </w:r>
    </w:p>
    <w:p>
      <w:pPr>
        <w:spacing w:after="0" w:line="18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Because the factors referred to in the preceding paragraph could cause actual results or outcomes to differ materially from those expressed in any forward-looking statements we make, you should not place undue reliance on any such forward-looking statements. Further, any forward-looking statement speaks only as of the date on which it is made, and we undertake no obligation to update any forward-looking statement or statements to reflect events or circumstances after the date on which such statement is made or to reflect the occurrence of unanticipated events. New factors emerge from time to time, and it is not possible for us to predict which factors will arise. In addition, we cannot assess the impact of each factor on our business or the extent to which any factor, or combination of factors, may cause actual results to differ materially from those contained in any forward-looking statements. These forward-looking statements include statements regarding:</w:t>
      </w:r>
    </w:p>
    <w:p>
      <w:pPr>
        <w:spacing w:after="0" w:line="270" w:lineRule="exact"/>
        <w:rPr>
          <w:sz w:val="20"/>
          <w:szCs w:val="20"/>
          <w:color w:val="auto"/>
        </w:rPr>
      </w:pPr>
    </w:p>
    <w:p>
      <w:pPr>
        <w:ind w:left="1360" w:hanging="380"/>
        <w:spacing w:after="0"/>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manufacturing and facility capabilities;</w:t>
      </w:r>
    </w:p>
    <w:p>
      <w:pPr>
        <w:spacing w:after="0" w:line="103" w:lineRule="exact"/>
        <w:rPr>
          <w:rFonts w:ascii="Arial" w:cs="Arial" w:eastAsia="Arial" w:hAnsi="Arial"/>
          <w:sz w:val="18"/>
          <w:szCs w:val="18"/>
          <w:color w:val="auto"/>
        </w:rPr>
      </w:pPr>
    </w:p>
    <w:p>
      <w:pPr>
        <w:ind w:left="1360" w:hanging="380"/>
        <w:spacing w:after="0"/>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strategic collaborations with others;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future capital needs and financing sources;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adequacy of existing capital to support operations for a specified time;</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reimbursement for our products;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submission of a BLA for NexoBrid to the FDA;</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development and marketing plans;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features and successes of our therapies;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clinical trial plans, including publication thereof;</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anticipation of future losses;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replacement of manufacturing sources;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commercialization plans; or</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revenue expectations and operating results.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As of September 30, 2019, we would not expect our operating results or cash flows to be affected to any significant degree by the effect of a sudden change in market interest rates or credit conditions on our securities portfolio. We invest our excess cash balances in marketable securities including municipal bond securities, U.S. government agency securities and high-grade corporate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0" w:right="239" w:bottom="1440" w:gutter="0" w:footer="0" w:header="0"/>
        </w:sectPr>
      </w:pPr>
    </w:p>
    <w:bookmarkStart w:id="25" w:name="page26"/>
    <w:bookmarkEnd w:id="25"/>
    <w:p>
      <w:pPr>
        <w:jc w:val="both"/>
        <w:spacing w:after="0" w:line="259" w:lineRule="auto"/>
        <w:rPr>
          <w:sz w:val="20"/>
          <w:szCs w:val="20"/>
          <w:color w:val="auto"/>
        </w:rPr>
      </w:pPr>
      <w:r>
        <w:rPr>
          <w:rFonts w:ascii="Arial" w:cs="Arial" w:eastAsia="Arial" w:hAnsi="Arial"/>
          <w:sz w:val="18"/>
          <w:szCs w:val="18"/>
          <w:color w:val="auto"/>
        </w:rPr>
        <w:t>bonds that meet high credit quality standards, as specified in our investment policy. Our investment policy seeks to manage these assets to achieve our goals of preserving principal and maintaining adequate liquidity. Because of the short-term nature of these investments, we do not believe we have material exposure due to market risk. For additional information regarding our market risk, refer to Item 7A. Quantitative and Qualitative Disclosures About Market Risk in our Annual Report on Form 10-K for the year ended December 31,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230"/>
        <w:spacing w:after="0" w:line="279" w:lineRule="auto"/>
        <w:rPr>
          <w:sz w:val="20"/>
          <w:szCs w:val="20"/>
          <w:color w:val="auto"/>
        </w:rPr>
      </w:pPr>
      <w:r>
        <w:rPr>
          <w:rFonts w:ascii="Arial" w:cs="Arial" w:eastAsia="Arial" w:hAnsi="Arial"/>
          <w:sz w:val="17"/>
          <w:szCs w:val="17"/>
          <w:color w:val="auto"/>
        </w:rPr>
        <w:t>The Company has established disclosure controls and procedures designed to ensure that information required to be disclosed by the Company in the reports that it files or submits under the Exchange Act, is recorded, processed, summarized and reported within the time periods specified in the SEC’s rules and forms, and that such information is accumulated and communicated to management of the Company, with the participation of its Chief Executive Officer and Chief Financial Officer (its “Certifying Officers”), as appropriate, to allow timely decisions regarding required disclosure.</w:t>
      </w:r>
    </w:p>
    <w:p>
      <w:pPr>
        <w:spacing w:after="0" w:line="171"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Management of the Company, with the participation of its Certifying Officers, evaluated the effectiveness of the Company’s disclosure controls and procedures as defined in Rules l3a-15(e) and l5d-15(e) under the Exchange Act. Based on the evaluation as of September 30, 2019, our Certifying Officers concluded that the Company’s disclosure controls and procedures were effective.</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September 30, 2019, that have materially affected, or are reasonably likely to materially affect, our internal control over financial reporting.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From time to time we receive threats or may be subject to litigation matters incidental to our business. However, we are not currently a party to any material pending legal proceedings.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There have been no material changes from the risk factors previously disclosed in the Company's Annual Report on Form 10-K for the year ended December 31, 2018 and Quarterly Report on Form 10-Q for the quarter ended June 30, 2019. The risks described in the Annual Report on Form 10-K and Quarterly Report on Form 10-Q are not the only risks the Company faces. Additional risks and uncertainties not currently known or currently deemed to be immaterial also may materially and adversely affect the Company’s business, financial condition, results of operations or cash flows.</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Company did not have any repurchases or unregistered issuances of its equity securities during the quarter ended September 30, 2019.</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Exhibits listed in the Exhibit Index are filed as a part of this Quarterly Report on Form 10-Q.</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0"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420" w:type="dxa"/>
            <w:vAlign w:val="bottom"/>
            <w:gridSpan w:val="7"/>
          </w:tcPr>
          <w:p>
            <w:pPr>
              <w:jc w:val="center"/>
              <w:ind w:right="4940"/>
              <w:spacing w:after="0"/>
              <w:rPr>
                <w:sz w:val="20"/>
                <w:szCs w:val="20"/>
                <w:color w:val="auto"/>
              </w:rPr>
            </w:pPr>
            <w:r>
              <w:rPr>
                <w:rFonts w:ascii="Arial" w:cs="Arial" w:eastAsia="Arial" w:hAnsi="Arial"/>
                <w:sz w:val="18"/>
                <w:szCs w:val="18"/>
                <w:b w:val="1"/>
                <w:bCs w:val="1"/>
                <w:color w:val="auto"/>
              </w:rPr>
              <w:t>EXHIBIT INDEX</w:t>
            </w:r>
          </w:p>
        </w:tc>
      </w:tr>
      <w:tr>
        <w:trPr>
          <w:trHeight w:val="332"/>
        </w:trPr>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Exhibit No.</w:t>
            </w:r>
          </w:p>
        </w:tc>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380" w:type="dxa"/>
            <w:vAlign w:val="bottom"/>
            <w:gridSpan w:val="3"/>
          </w:tcPr>
          <w:p>
            <w:pPr>
              <w:ind w:left="60"/>
              <w:spacing w:after="0"/>
              <w:rPr>
                <w:sz w:val="20"/>
                <w:szCs w:val="20"/>
                <w:color w:val="auto"/>
              </w:rPr>
            </w:pPr>
            <w:r>
              <w:rPr>
                <w:rFonts w:ascii="Arial" w:cs="Arial" w:eastAsia="Arial" w:hAnsi="Arial"/>
                <w:sz w:val="14"/>
                <w:szCs w:val="14"/>
                <w:b w:val="1"/>
                <w:bCs w:val="1"/>
                <w:color w:val="auto"/>
              </w:rPr>
              <w:t>Description</w:t>
            </w:r>
          </w:p>
        </w:tc>
      </w:tr>
      <w:tr>
        <w:trPr>
          <w:trHeight w:val="337"/>
        </w:trPr>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240" w:type="dxa"/>
            <w:vAlign w:val="bottom"/>
            <w:tcBorders>
              <w:top w:val="single" w:sz="8" w:color="auto"/>
              <w:bottom w:val="single" w:sz="8" w:color="0000FF"/>
            </w:tcBorders>
            <w:gridSpan w:val="8"/>
          </w:tcPr>
          <w:p>
            <w:pPr>
              <w:spacing w:after="0"/>
              <w:rPr>
                <w:rFonts w:ascii="Arial" w:cs="Arial" w:eastAsia="Arial" w:hAnsi="Arial"/>
                <w:sz w:val="18"/>
                <w:szCs w:val="18"/>
                <w:color w:val="0000FF"/>
                <w:w w:val="92"/>
              </w:rPr>
            </w:pPr>
            <w:hyperlink w:anchor="page30">
              <w:r>
                <w:rPr>
                  <w:rFonts w:ascii="Arial" w:cs="Arial" w:eastAsia="Arial" w:hAnsi="Arial"/>
                  <w:sz w:val="18"/>
                  <w:szCs w:val="18"/>
                  <w:color w:val="0000FF"/>
                  <w:w w:val="92"/>
                </w:rPr>
                <w:t>Certification of Chief Executive Officer pursuant to Section 302 of the Sarbanes-Oxley Act of 2002.</w:t>
              </w:r>
            </w:hyperlink>
          </w:p>
        </w:tc>
        <w:tc>
          <w:tcPr>
            <w:tcW w:w="2640" w:type="dxa"/>
            <w:vAlign w:val="bottom"/>
            <w:tcBorders>
              <w:top w:val="single" w:sz="8" w:color="auto"/>
            </w:tcBorders>
          </w:tcPr>
          <w:p>
            <w:pPr>
              <w:spacing w:after="0"/>
              <w:rPr>
                <w:sz w:val="24"/>
                <w:szCs w:val="24"/>
                <w:color w:val="auto"/>
              </w:rPr>
            </w:pPr>
          </w:p>
        </w:tc>
      </w:tr>
      <w:tr>
        <w:trPr>
          <w:trHeight w:val="520"/>
        </w:trPr>
        <w:tc>
          <w:tcPr>
            <w:tcW w:w="1260" w:type="dxa"/>
            <w:vAlign w:val="bottom"/>
          </w:tcPr>
          <w:p>
            <w:pPr>
              <w:jc w:val="center"/>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9"/>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Certification of Chief Financial Officer pursuant to Section 302 of the Sarbanes-Oxley Act of 2002.</w:t>
              </w:r>
            </w:hyperlink>
          </w:p>
        </w:tc>
      </w:tr>
      <w:tr>
        <w:trPr>
          <w:trHeight w:val="20"/>
        </w:trPr>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80" w:type="dxa"/>
            <w:vAlign w:val="bottom"/>
            <w:tcBorders>
              <w:right w:val="single" w:sz="8" w:color="0000FF"/>
            </w:tcBorders>
            <w:shd w:val="clear" w:color="auto" w:fill="0000FF"/>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r>
      <w:tr>
        <w:trPr>
          <w:trHeight w:val="520"/>
        </w:trPr>
        <w:tc>
          <w:tcPr>
            <w:tcW w:w="1260" w:type="dxa"/>
            <w:vAlign w:val="bottom"/>
          </w:tcPr>
          <w:p>
            <w:pPr>
              <w:jc w:val="center"/>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40" w:type="dxa"/>
            <w:vAlign w:val="bottom"/>
            <w:tcBorders>
              <w:bottom w:val="single" w:sz="8" w:color="0000FF"/>
            </w:tcBorders>
            <w:gridSpan w:val="8"/>
          </w:tcPr>
          <w:p>
            <w:pPr>
              <w:spacing w:after="0"/>
              <w:rPr>
                <w:rFonts w:ascii="Arial" w:cs="Arial" w:eastAsia="Arial" w:hAnsi="Arial"/>
                <w:sz w:val="18"/>
                <w:szCs w:val="18"/>
                <w:color w:val="0000FF"/>
                <w:w w:val="92"/>
              </w:rPr>
            </w:pPr>
            <w:hyperlink w:anchor="page32">
              <w:r>
                <w:rPr>
                  <w:rFonts w:ascii="Arial" w:cs="Arial" w:eastAsia="Arial" w:hAnsi="Arial"/>
                  <w:sz w:val="18"/>
                  <w:szCs w:val="18"/>
                  <w:color w:val="0000FF"/>
                  <w:w w:val="92"/>
                </w:rPr>
                <w:t>Certification of Chief Executive Officer pursuant to Section 906 of the Sarbanes-Oxley Act of 2002.</w:t>
              </w:r>
            </w:hyperlink>
          </w:p>
        </w:tc>
        <w:tc>
          <w:tcPr>
            <w:tcW w:w="2640" w:type="dxa"/>
            <w:vAlign w:val="bottom"/>
          </w:tcPr>
          <w:p>
            <w:pPr>
              <w:spacing w:after="0"/>
              <w:rPr>
                <w:sz w:val="24"/>
                <w:szCs w:val="24"/>
                <w:color w:val="auto"/>
              </w:rPr>
            </w:pPr>
          </w:p>
        </w:tc>
      </w:tr>
      <w:tr>
        <w:trPr>
          <w:trHeight w:val="480"/>
        </w:trPr>
        <w:tc>
          <w:tcPr>
            <w:tcW w:w="1260" w:type="dxa"/>
            <w:vAlign w:val="bottom"/>
          </w:tcPr>
          <w:p>
            <w:pPr>
              <w:jc w:val="center"/>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9"/>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Certification of Chief Financial Officer pursuant to Section 906 of the Sarbanes-Oxley Act of 2002</w:t>
              </w:r>
            </w:hyperlink>
            <w:r>
              <w:rPr>
                <w:rFonts w:ascii="Arial" w:cs="Arial" w:eastAsia="Arial" w:hAnsi="Arial"/>
                <w:sz w:val="18"/>
                <w:szCs w:val="18"/>
                <w:color w:val="000000"/>
              </w:rPr>
              <w:t>.</w:t>
            </w:r>
          </w:p>
        </w:tc>
      </w:tr>
      <w:tr>
        <w:trPr>
          <w:trHeight w:val="520"/>
        </w:trPr>
        <w:tc>
          <w:tcPr>
            <w:tcW w:w="1500" w:type="dxa"/>
            <w:vAlign w:val="bottom"/>
            <w:gridSpan w:val="2"/>
          </w:tcPr>
          <w:p>
            <w:pPr>
              <w:jc w:val="center"/>
              <w:ind w:right="240"/>
              <w:spacing w:after="0"/>
              <w:rPr>
                <w:sz w:val="20"/>
                <w:szCs w:val="20"/>
                <w:color w:val="auto"/>
              </w:rPr>
            </w:pPr>
            <w:r>
              <w:rPr>
                <w:rFonts w:ascii="Arial" w:cs="Arial" w:eastAsia="Arial" w:hAnsi="Arial"/>
                <w:sz w:val="18"/>
                <w:szCs w:val="18"/>
                <w:color w:val="auto"/>
                <w:w w:val="98"/>
              </w:rPr>
              <w:t>101.INS**</w:t>
            </w:r>
          </w:p>
        </w:tc>
        <w:tc>
          <w:tcPr>
            <w:tcW w:w="20" w:type="dxa"/>
            <w:vAlign w:val="bottom"/>
          </w:tcPr>
          <w:p>
            <w:pPr>
              <w:spacing w:after="0"/>
              <w:rPr>
                <w:sz w:val="24"/>
                <w:szCs w:val="24"/>
                <w:color w:val="auto"/>
              </w:rPr>
            </w:pPr>
          </w:p>
        </w:tc>
        <w:tc>
          <w:tcPr>
            <w:tcW w:w="718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0000FF"/>
              </w:rPr>
              <w:t>XBRL Instance Document</w:t>
            </w:r>
          </w:p>
        </w:tc>
        <w:tc>
          <w:tcPr>
            <w:tcW w:w="2700" w:type="dxa"/>
            <w:vAlign w:val="bottom"/>
            <w:gridSpan w:val="2"/>
          </w:tcPr>
          <w:p>
            <w:pPr>
              <w:spacing w:after="0"/>
              <w:rPr>
                <w:sz w:val="24"/>
                <w:szCs w:val="24"/>
                <w:color w:val="auto"/>
              </w:rPr>
            </w:pPr>
          </w:p>
        </w:tc>
      </w:tr>
      <w:tr>
        <w:trPr>
          <w:trHeight w:val="20"/>
        </w:trPr>
        <w:tc>
          <w:tcPr>
            <w:tcW w:w="1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380" w:type="dxa"/>
            <w:vAlign w:val="bottom"/>
            <w:gridSpan w:val="3"/>
          </w:tcPr>
          <w:p>
            <w:pPr>
              <w:spacing w:after="0" w:line="20" w:lineRule="exact"/>
              <w:rPr>
                <w:sz w:val="1"/>
                <w:szCs w:val="1"/>
                <w:color w:val="auto"/>
              </w:rPr>
            </w:pPr>
          </w:p>
        </w:tc>
      </w:tr>
      <w:tr>
        <w:trPr>
          <w:trHeight w:val="520"/>
        </w:trPr>
        <w:tc>
          <w:tcPr>
            <w:tcW w:w="150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101.SCH**</w:t>
            </w:r>
          </w:p>
        </w:tc>
        <w:tc>
          <w:tcPr>
            <w:tcW w:w="20" w:type="dxa"/>
            <w:vAlign w:val="bottom"/>
          </w:tcPr>
          <w:p>
            <w:pPr>
              <w:spacing w:after="0"/>
              <w:rPr>
                <w:sz w:val="24"/>
                <w:szCs w:val="24"/>
                <w:color w:val="auto"/>
              </w:rPr>
            </w:pPr>
          </w:p>
        </w:tc>
        <w:tc>
          <w:tcPr>
            <w:tcW w:w="9880" w:type="dxa"/>
            <w:vAlign w:val="bottom"/>
            <w:gridSpan w:val="9"/>
          </w:tcPr>
          <w:p>
            <w:pPr>
              <w:spacing w:after="0"/>
              <w:rPr>
                <w:sz w:val="20"/>
                <w:szCs w:val="20"/>
                <w:color w:val="auto"/>
              </w:rPr>
            </w:pPr>
            <w:r>
              <w:rPr>
                <w:rFonts w:ascii="Arial" w:cs="Arial" w:eastAsia="Arial" w:hAnsi="Arial"/>
                <w:sz w:val="18"/>
                <w:szCs w:val="18"/>
                <w:color w:val="0000FF"/>
              </w:rPr>
              <w:t>XBRL Taxonomy Extension Schema Document</w:t>
            </w:r>
          </w:p>
        </w:tc>
      </w:tr>
      <w:tr>
        <w:trPr>
          <w:trHeight w:val="20"/>
        </w:trPr>
        <w:tc>
          <w:tcPr>
            <w:tcW w:w="1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6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380" w:type="dxa"/>
            <w:vAlign w:val="bottom"/>
            <w:gridSpan w:val="3"/>
          </w:tcPr>
          <w:p>
            <w:pPr>
              <w:spacing w:after="0" w:line="20" w:lineRule="exact"/>
              <w:rPr>
                <w:sz w:val="1"/>
                <w:szCs w:val="1"/>
                <w:color w:val="auto"/>
              </w:rPr>
            </w:pPr>
          </w:p>
        </w:tc>
      </w:tr>
      <w:tr>
        <w:trPr>
          <w:trHeight w:val="520"/>
        </w:trPr>
        <w:tc>
          <w:tcPr>
            <w:tcW w:w="1500" w:type="dxa"/>
            <w:vAlign w:val="bottom"/>
            <w:gridSpan w:val="2"/>
          </w:tcPr>
          <w:p>
            <w:pPr>
              <w:jc w:val="center"/>
              <w:ind w:right="24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44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2"/>
              </w:rPr>
              <w:t>XBRL Taxonomy Extension Calculation Linkbase Document</w:t>
            </w:r>
          </w:p>
        </w:tc>
        <w:tc>
          <w:tcPr>
            <w:tcW w:w="5440" w:type="dxa"/>
            <w:vAlign w:val="bottom"/>
            <w:gridSpan w:val="4"/>
          </w:tcPr>
          <w:p>
            <w:pPr>
              <w:spacing w:after="0"/>
              <w:rPr>
                <w:sz w:val="24"/>
                <w:szCs w:val="24"/>
                <w:color w:val="auto"/>
              </w:rPr>
            </w:pPr>
          </w:p>
        </w:tc>
      </w:tr>
      <w:tr>
        <w:trPr>
          <w:trHeight w:val="520"/>
        </w:trPr>
        <w:tc>
          <w:tcPr>
            <w:tcW w:w="1500" w:type="dxa"/>
            <w:vAlign w:val="bottom"/>
            <w:gridSpan w:val="2"/>
          </w:tcPr>
          <w:p>
            <w:pPr>
              <w:jc w:val="center"/>
              <w:ind w:right="24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402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2"/>
              </w:rPr>
              <w:t>XBRL Taxonomy Extension Label Linkbase Document</w:t>
            </w:r>
          </w:p>
        </w:tc>
        <w:tc>
          <w:tcPr>
            <w:tcW w:w="5860" w:type="dxa"/>
            <w:vAlign w:val="bottom"/>
            <w:gridSpan w:val="6"/>
          </w:tcPr>
          <w:p>
            <w:pPr>
              <w:spacing w:after="0"/>
              <w:rPr>
                <w:sz w:val="24"/>
                <w:szCs w:val="24"/>
                <w:color w:val="auto"/>
              </w:rPr>
            </w:pPr>
          </w:p>
        </w:tc>
      </w:tr>
      <w:tr>
        <w:trPr>
          <w:trHeight w:val="520"/>
        </w:trPr>
        <w:tc>
          <w:tcPr>
            <w:tcW w:w="150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101.PRE**</w:t>
            </w:r>
          </w:p>
        </w:tc>
        <w:tc>
          <w:tcPr>
            <w:tcW w:w="20" w:type="dxa"/>
            <w:vAlign w:val="bottom"/>
          </w:tcPr>
          <w:p>
            <w:pPr>
              <w:spacing w:after="0"/>
              <w:rPr>
                <w:sz w:val="24"/>
                <w:szCs w:val="24"/>
                <w:color w:val="auto"/>
              </w:rPr>
            </w:pPr>
          </w:p>
        </w:tc>
        <w:tc>
          <w:tcPr>
            <w:tcW w:w="450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1"/>
              </w:rPr>
              <w:t>XBRL Taxonomy Extension Presentation Linkbase Document</w:t>
            </w:r>
          </w:p>
        </w:tc>
        <w:tc>
          <w:tcPr>
            <w:tcW w:w="5380" w:type="dxa"/>
            <w:vAlign w:val="bottom"/>
            <w:gridSpan w:val="3"/>
          </w:tcPr>
          <w:p>
            <w:pPr>
              <w:spacing w:after="0"/>
              <w:rPr>
                <w:sz w:val="24"/>
                <w:szCs w:val="24"/>
                <w:color w:val="auto"/>
              </w:rPr>
            </w:pPr>
          </w:p>
        </w:tc>
      </w:tr>
      <w:tr>
        <w:trPr>
          <w:trHeight w:val="480"/>
        </w:trPr>
        <w:tc>
          <w:tcPr>
            <w:tcW w:w="150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101 DEF**</w:t>
            </w:r>
          </w:p>
        </w:tc>
        <w:tc>
          <w:tcPr>
            <w:tcW w:w="20" w:type="dxa"/>
            <w:vAlign w:val="bottom"/>
          </w:tcPr>
          <w:p>
            <w:pPr>
              <w:spacing w:after="0"/>
              <w:rPr>
                <w:sz w:val="24"/>
                <w:szCs w:val="24"/>
                <w:color w:val="auto"/>
              </w:rPr>
            </w:pPr>
          </w:p>
        </w:tc>
        <w:tc>
          <w:tcPr>
            <w:tcW w:w="9880" w:type="dxa"/>
            <w:vAlign w:val="bottom"/>
            <w:gridSpan w:val="9"/>
          </w:tcPr>
          <w:p>
            <w:pPr>
              <w:spacing w:after="0"/>
              <w:rPr>
                <w:sz w:val="20"/>
                <w:szCs w:val="20"/>
                <w:color w:val="auto"/>
              </w:rPr>
            </w:pPr>
            <w:r>
              <w:rPr>
                <w:rFonts w:ascii="Arial" w:cs="Arial" w:eastAsia="Arial" w:hAnsi="Arial"/>
                <w:sz w:val="18"/>
                <w:szCs w:val="18"/>
                <w:color w:val="0000FF"/>
              </w:rPr>
              <w:t>XBRL Taxonomy Extension Definition Linkbase Document</w:t>
            </w:r>
          </w:p>
        </w:tc>
      </w:tr>
      <w:tr>
        <w:trPr>
          <w:trHeight w:val="480"/>
        </w:trPr>
        <w:tc>
          <w:tcPr>
            <w:tcW w:w="1500" w:type="dxa"/>
            <w:vAlign w:val="bottom"/>
            <w:gridSpan w:val="2"/>
          </w:tcPr>
          <w:p>
            <w:pPr>
              <w:spacing w:after="0"/>
              <w:rPr>
                <w:sz w:val="20"/>
                <w:szCs w:val="20"/>
                <w:color w:val="auto"/>
              </w:rPr>
            </w:pPr>
            <w:r>
              <w:rPr>
                <w:rFonts w:ascii="Arial" w:cs="Arial" w:eastAsia="Arial" w:hAnsi="Arial"/>
                <w:sz w:val="18"/>
                <w:szCs w:val="18"/>
                <w:color w:val="auto"/>
              </w:rPr>
              <w:t>** Filed herewith.</w:t>
            </w:r>
          </w:p>
        </w:tc>
        <w:tc>
          <w:tcPr>
            <w:tcW w:w="20" w:type="dxa"/>
            <w:vAlign w:val="bottom"/>
          </w:tcPr>
          <w:p>
            <w:pPr>
              <w:spacing w:after="0"/>
              <w:rPr>
                <w:sz w:val="24"/>
                <w:szCs w:val="24"/>
                <w:color w:val="auto"/>
              </w:rPr>
            </w:pPr>
          </w:p>
        </w:tc>
        <w:tc>
          <w:tcPr>
            <w:tcW w:w="1920" w:type="dxa"/>
            <w:vAlign w:val="bottom"/>
            <w:tcBorders>
              <w:top w:val="single" w:sz="8" w:color="0000FF"/>
            </w:tcBorders>
          </w:tcPr>
          <w:p>
            <w:pPr>
              <w:spacing w:after="0"/>
              <w:rPr>
                <w:sz w:val="24"/>
                <w:szCs w:val="24"/>
                <w:color w:val="auto"/>
              </w:rPr>
            </w:pPr>
          </w:p>
        </w:tc>
        <w:tc>
          <w:tcPr>
            <w:tcW w:w="154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891"/>
        </w:trPr>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360" w:type="dxa"/>
            <w:vAlign w:val="bottom"/>
            <w:gridSpan w:val="5"/>
          </w:tcPr>
          <w:p>
            <w:pPr>
              <w:jc w:val="right"/>
              <w:ind w:right="6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40" w:type="dxa"/>
            <w:vAlign w:val="bottom"/>
          </w:tcPr>
          <w:p>
            <w:pPr>
              <w:spacing w:after="0"/>
              <w:rPr>
                <w:sz w:val="24"/>
                <w:szCs w:val="24"/>
                <w:color w:val="auto"/>
              </w:rPr>
            </w:pPr>
          </w:p>
        </w:tc>
      </w:tr>
    </w:tbl>
    <w:p>
      <w:pPr>
        <w:sectPr>
          <w:pgSz w:w="11900" w:h="16838" w:orient="portrait"/>
          <w:cols w:equalWidth="0" w:num="1">
            <w:col w:w="11400"/>
          </w:cols>
          <w:pgMar w:left="240" w:top="580" w:right="259" w:bottom="1440" w:gutter="0" w:footer="0" w:header="0"/>
        </w:sectPr>
      </w:pPr>
    </w:p>
    <w:bookmarkStart w:id="28" w:name="page29"/>
    <w:bookmarkEnd w:id="28"/>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00" w:firstLine="24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2019</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VERICEL CORPORATION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Dominick C. Colangelo</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GERARD MICHEL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Gerard Michel</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6"/>
          <w:szCs w:val="16"/>
          <w:i w:val="1"/>
          <w:iCs w:val="1"/>
          <w:color w:val="auto"/>
        </w:rPr>
        <w:t>Chief Financial Officer and Vice President, Corporate Development</w:t>
      </w:r>
    </w:p>
    <w:p>
      <w:pPr>
        <w:spacing w:after="0" w:line="86"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Financial Officer)</w:t>
      </w:r>
    </w:p>
    <w:p>
      <w:pPr>
        <w:spacing w:after="0" w:line="27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0"/>
          </w:cols>
          <w:pgMar w:left="240" w:top="580" w:right="6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Dominick C. Colangelo, certify that:</w:t>
      </w:r>
    </w:p>
    <w:p>
      <w:pPr>
        <w:spacing w:after="0" w:line="225" w:lineRule="exact"/>
        <w:rPr>
          <w:sz w:val="20"/>
          <w:szCs w:val="20"/>
          <w:color w:val="auto"/>
        </w:rPr>
      </w:pPr>
    </w:p>
    <w:p>
      <w:pPr>
        <w:ind w:left="820" w:hanging="488"/>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Vericel Corporation;</w:t>
      </w:r>
    </w:p>
    <w:p>
      <w:pPr>
        <w:spacing w:after="0" w:line="265" w:lineRule="exact"/>
        <w:rPr>
          <w:rFonts w:ascii="Arial" w:cs="Arial" w:eastAsia="Arial" w:hAnsi="Arial"/>
          <w:sz w:val="18"/>
          <w:szCs w:val="18"/>
          <w:color w:val="auto"/>
        </w:rPr>
      </w:pPr>
    </w:p>
    <w:p>
      <w:pPr>
        <w:ind w:right="120" w:firstLine="332"/>
        <w:spacing w:after="0" w:line="395" w:lineRule="auto"/>
        <w:tabs>
          <w:tab w:leader="none" w:pos="815"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100" w:firstLine="332"/>
        <w:spacing w:after="0" w:line="324" w:lineRule="auto"/>
        <w:tabs>
          <w:tab w:leader="none" w:pos="8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820" w:hanging="488"/>
        <w:spacing w:after="0"/>
        <w:tabs>
          <w:tab w:leader="none" w:pos="8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right="180" w:firstLine="1169"/>
        <w:spacing w:after="0" w:line="264" w:lineRule="auto"/>
        <w:tabs>
          <w:tab w:leader="none" w:pos="1406"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1169"/>
        <w:spacing w:after="0" w:line="264" w:lineRule="auto"/>
        <w:tabs>
          <w:tab w:leader="none" w:pos="1416"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00" w:firstLine="1169"/>
        <w:spacing w:after="0" w:line="308" w:lineRule="auto"/>
        <w:tabs>
          <w:tab w:leader="none" w:pos="1406"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260" w:firstLine="1169"/>
        <w:spacing w:after="0" w:line="264" w:lineRule="auto"/>
        <w:tabs>
          <w:tab w:leader="none" w:pos="1416"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 w:firstLine="332"/>
        <w:spacing w:after="0" w:line="357" w:lineRule="auto"/>
        <w:tabs>
          <w:tab w:leader="none" w:pos="81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520" w:firstLine="1169"/>
        <w:spacing w:after="0" w:line="308" w:lineRule="auto"/>
        <w:tabs>
          <w:tab w:leader="none" w:pos="1396"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00" w:firstLine="1169"/>
        <w:spacing w:after="0" w:line="277" w:lineRule="auto"/>
        <w:tabs>
          <w:tab w:leader="none" w:pos="1406"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Date: November 5, 2019</w:t>
      </w:r>
    </w:p>
    <w:p>
      <w:pPr>
        <w:spacing w:after="0" w:line="38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Dominick C. Colangelo</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80"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Gerard Michel, certify that:</w:t>
      </w:r>
    </w:p>
    <w:p>
      <w:pPr>
        <w:spacing w:after="0" w:line="225" w:lineRule="exact"/>
        <w:rPr>
          <w:sz w:val="20"/>
          <w:szCs w:val="20"/>
          <w:color w:val="auto"/>
        </w:rPr>
      </w:pPr>
    </w:p>
    <w:p>
      <w:pPr>
        <w:ind w:left="820" w:hanging="488"/>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Vericel Corporation;</w:t>
      </w:r>
    </w:p>
    <w:p>
      <w:pPr>
        <w:spacing w:after="0" w:line="265" w:lineRule="exact"/>
        <w:rPr>
          <w:rFonts w:ascii="Arial" w:cs="Arial" w:eastAsia="Arial" w:hAnsi="Arial"/>
          <w:sz w:val="18"/>
          <w:szCs w:val="18"/>
          <w:color w:val="auto"/>
        </w:rPr>
      </w:pPr>
    </w:p>
    <w:p>
      <w:pPr>
        <w:ind w:right="120" w:firstLine="332"/>
        <w:spacing w:after="0" w:line="395" w:lineRule="auto"/>
        <w:tabs>
          <w:tab w:leader="none" w:pos="815"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100" w:firstLine="332"/>
        <w:spacing w:after="0" w:line="324" w:lineRule="auto"/>
        <w:tabs>
          <w:tab w:leader="none" w:pos="8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820" w:hanging="488"/>
        <w:spacing w:after="0"/>
        <w:tabs>
          <w:tab w:leader="none" w:pos="8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right="40" w:firstLine="1102"/>
        <w:spacing w:after="0" w:line="264" w:lineRule="auto"/>
        <w:tabs>
          <w:tab w:leader="none" w:pos="1339"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1102"/>
        <w:spacing w:after="0" w:line="264" w:lineRule="auto"/>
        <w:tabs>
          <w:tab w:leader="none" w:pos="1349"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60" w:firstLine="1102"/>
        <w:spacing w:after="0" w:line="308" w:lineRule="auto"/>
        <w:tabs>
          <w:tab w:leader="none" w:pos="1339"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40" w:firstLine="1102"/>
        <w:spacing w:after="0" w:line="264" w:lineRule="auto"/>
        <w:tabs>
          <w:tab w:leader="none" w:pos="1349"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 w:firstLine="332"/>
        <w:spacing w:after="0" w:line="357" w:lineRule="auto"/>
        <w:tabs>
          <w:tab w:leader="none" w:pos="815"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600" w:firstLine="1102"/>
        <w:spacing w:after="0" w:line="308" w:lineRule="auto"/>
        <w:tabs>
          <w:tab w:leader="none" w:pos="1329"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80" w:firstLine="1102"/>
        <w:spacing w:after="0" w:line="277" w:lineRule="auto"/>
        <w:tabs>
          <w:tab w:leader="none" w:pos="1339"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Date: November 5, 2019</w:t>
      </w:r>
    </w:p>
    <w:p>
      <w:pPr>
        <w:spacing w:after="0" w:line="38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GERARD MICHEL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Gerard Michel</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Chief Financial Officer and Vice President, Corporate Development</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580"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firstLine="351"/>
        <w:spacing w:after="0" w:line="264" w:lineRule="auto"/>
        <w:rPr>
          <w:sz w:val="20"/>
          <w:szCs w:val="20"/>
          <w:color w:val="auto"/>
        </w:rPr>
      </w:pPr>
      <w:r>
        <w:rPr>
          <w:rFonts w:ascii="Arial" w:cs="Arial" w:eastAsia="Arial" w:hAnsi="Arial"/>
          <w:sz w:val="18"/>
          <w:szCs w:val="18"/>
          <w:color w:val="auto"/>
        </w:rPr>
        <w:t>In connection with the Quarterly Report of Vericel Corporation (the “Company”) on Form 10-Q for the quarter ended September 30, 2019, as filed with the Securities and Exchange Commission on the date hereof (the “Report”), the undersigned officer of the Company certifies, pursuant to 18 U.S.C. Section 1350, as adopted pursuant to Section 906 of the Sarbanes-Oxley Act of 2002 (“Section 906”), the following:</w:t>
      </w:r>
    </w:p>
    <w:p>
      <w:pPr>
        <w:spacing w:after="0" w:line="181" w:lineRule="exact"/>
        <w:rPr>
          <w:sz w:val="20"/>
          <w:szCs w:val="20"/>
          <w:color w:val="auto"/>
        </w:rPr>
      </w:pPr>
    </w:p>
    <w:p>
      <w:pPr>
        <w:ind w:left="700" w:hanging="368"/>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and 15(d) of the Securities Exchange Act of 1934; and</w:t>
      </w:r>
    </w:p>
    <w:p>
      <w:pPr>
        <w:spacing w:after="0" w:line="265" w:lineRule="exact"/>
        <w:rPr>
          <w:rFonts w:ascii="Arial" w:cs="Arial" w:eastAsia="Arial" w:hAnsi="Arial"/>
          <w:sz w:val="18"/>
          <w:szCs w:val="18"/>
          <w:color w:val="auto"/>
        </w:rPr>
      </w:pPr>
    </w:p>
    <w:p>
      <w:pPr>
        <w:ind w:right="280" w:firstLine="332"/>
        <w:spacing w:after="0" w:line="575" w:lineRule="auto"/>
        <w:tabs>
          <w:tab w:leader="none" w:pos="687"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5, 2019</w:t>
      </w:r>
    </w:p>
    <w:p>
      <w:pPr>
        <w:spacing w:after="0" w:line="75"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Dominick C. Colangelo</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Vericel Corporation and will be retained by Vericel Corporation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firstLine="351"/>
        <w:spacing w:after="0" w:line="264" w:lineRule="auto"/>
        <w:rPr>
          <w:sz w:val="20"/>
          <w:szCs w:val="20"/>
          <w:color w:val="auto"/>
        </w:rPr>
      </w:pPr>
      <w:r>
        <w:rPr>
          <w:rFonts w:ascii="Arial" w:cs="Arial" w:eastAsia="Arial" w:hAnsi="Arial"/>
          <w:sz w:val="18"/>
          <w:szCs w:val="18"/>
          <w:color w:val="auto"/>
        </w:rPr>
        <w:t>In connection with the Quarterly Report of Vericel Corporation (the “Company”) on Form 10-Q for the quarter ended September 30, 2019, as filed with the Securities and Exchange Commission on the date hereof (the “Report”), the undersigned officer of the Company certifies, pursuant to 18 U.S.C. Section 1350, as adopted pursuant to Section 906 of the Sarbanes-Oxley Act of 2002 (“Section 906”), the following:</w:t>
      </w:r>
    </w:p>
    <w:p>
      <w:pPr>
        <w:spacing w:after="0" w:line="181" w:lineRule="exact"/>
        <w:rPr>
          <w:sz w:val="20"/>
          <w:szCs w:val="20"/>
          <w:color w:val="auto"/>
        </w:rPr>
      </w:pPr>
    </w:p>
    <w:p>
      <w:pPr>
        <w:ind w:left="700" w:hanging="368"/>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and 15(d) of the Securities Exchange Act of 1934; and</w:t>
      </w:r>
    </w:p>
    <w:p>
      <w:pPr>
        <w:spacing w:after="0" w:line="265" w:lineRule="exact"/>
        <w:rPr>
          <w:rFonts w:ascii="Arial" w:cs="Arial" w:eastAsia="Arial" w:hAnsi="Arial"/>
          <w:sz w:val="18"/>
          <w:szCs w:val="18"/>
          <w:color w:val="auto"/>
        </w:rPr>
      </w:pPr>
    </w:p>
    <w:p>
      <w:pPr>
        <w:ind w:right="280" w:firstLine="332"/>
        <w:spacing w:after="0" w:line="575" w:lineRule="auto"/>
        <w:tabs>
          <w:tab w:leader="none" w:pos="687"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5, 2019</w:t>
      </w:r>
    </w:p>
    <w:p>
      <w:pPr>
        <w:spacing w:after="0" w:line="75"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GERARD MICHEL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Gerard Michel</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Chief Financial Officer and Vice President, Corporate Development</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(Principal Financial Officer)</w:t>
      </w:r>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Vericel Corporation and will be retained by Vericel Corporation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2"/>
    </w:lvl>
  </w:abstractNum>
  <w:abstractNum w:abstractNumId="4">
    <w:nsid w:val="109CF92E"/>
    <w:multiLevelType w:val="hybridMultilevel"/>
    <w:lvl w:ilvl="0">
      <w:lvlJc w:val="left"/>
      <w:lvlText w:val="%1."/>
      <w:numFmt w:val="decimal"/>
      <w:start w:val="3"/>
    </w:lvl>
  </w:abstractNum>
  <w:abstractNum w:abstractNumId="5">
    <w:nsid w:val="DED7263"/>
    <w:multiLevelType w:val="hybridMultilevel"/>
    <w:lvl w:ilvl="0">
      <w:lvlJc w:val="left"/>
      <w:lvlText w:val="(%1)"/>
      <w:numFmt w:val="lowerLetter"/>
      <w:start w:val="1"/>
    </w:lvl>
  </w:abstractNum>
  <w:abstractNum w:abstractNumId="6">
    <w:nsid w:val="7FDCC233"/>
    <w:multiLevelType w:val="hybridMultilevel"/>
    <w:lvl w:ilvl="0">
      <w:lvlJc w:val="left"/>
      <w:lvlText w:val="%1."/>
      <w:numFmt w:val="decimal"/>
      <w:start w:val="6"/>
    </w:lvl>
  </w:abstractNum>
  <w:abstractNum w:abstractNumId="7">
    <w:nsid w:val="1BEFD79F"/>
    <w:multiLevelType w:val="hybridMultilevel"/>
    <w:lvl w:ilvl="0">
      <w:lvlJc w:val="left"/>
      <w:lvlText w:val="%1."/>
      <w:numFmt w:val="decimal"/>
      <w:start w:val="7"/>
    </w:lvl>
  </w:abstractNum>
  <w:abstractNum w:abstractNumId="8">
    <w:nsid w:val="41A7C4C9"/>
    <w:multiLevelType w:val="hybridMultilevel"/>
    <w:lvl w:ilvl="0">
      <w:lvlJc w:val="left"/>
      <w:lvlText w:val="%1."/>
      <w:numFmt w:val="decimal"/>
      <w:start w:val="8"/>
    </w:lvl>
  </w:abstractNum>
  <w:abstractNum w:abstractNumId="9">
    <w:nsid w:val="6B68079A"/>
    <w:multiLevelType w:val="hybridMultilevel"/>
    <w:lvl w:ilvl="0">
      <w:lvlJc w:val="left"/>
      <w:lvlText w:val="%1."/>
      <w:numFmt w:val="decimal"/>
      <w:start w:val="9"/>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1"/>
      <w:numFmt w:val="decimal"/>
      <w:start w:val="1"/>
    </w:lvl>
    <w:lvl w:ilvl="1">
      <w:lvlJc w:val="left"/>
      <w:lvlText w:val="(%2)"/>
      <w:numFmt w:val="lowerLetter"/>
      <w:start w:val="1"/>
    </w:lvl>
  </w:abstractNum>
  <w:abstractNum w:abstractNumId="12">
    <w:nsid w:val="519B500D"/>
    <w:multiLevelType w:val="hybridMultilevel"/>
    <w:lvl w:ilvl="0">
      <w:lvlJc w:val="left"/>
      <w:lvlText w:val="%1."/>
      <w:numFmt w:val="decimal"/>
      <w:start w:val="12"/>
    </w:lvl>
    <w:lvl w:ilvl="1">
      <w:lvlJc w:val="left"/>
      <w:lvlText w:val="%2"/>
      <w:numFmt w:val="lowerLetter"/>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1"/>
    </w:lvl>
    <w:lvl w:ilvl="1">
      <w:lvlJc w:val="left"/>
      <w:lvlText w:val="(%2)"/>
      <w:numFmt w:val="lowerLetter"/>
      <w:start w:val="1"/>
    </w:lvl>
  </w:abstractNum>
  <w:abstractNum w:abstractNumId="16">
    <w:nsid w:val="257130A3"/>
    <w:multiLevelType w:val="hybridMultilevel"/>
    <w:lvl w:ilvl="0">
      <w:lvlJc w:val="left"/>
      <w:lvlText w:val="%1."/>
      <w:numFmt w:val="decimal"/>
      <w:start w:val="5"/>
    </w:lvl>
    <w:lvl w:ilvl="1">
      <w:lvlJc w:val="left"/>
      <w:lvlText w:val="(%2)"/>
      <w:numFmt w:val="lowerLetter"/>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5"/>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2019-12-28T02:56:55Z</dcterms:created>
  <dcterms:modified xsi:type="dcterms:W3CDTF">2019-12-28T02:56:55Z</dcterms:modified>
</cp:coreProperties>
</file>