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Filed pursuant to 424(b)(3)</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File Number 333-107579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9,397,937 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AASTROM BIOSCIENCES, INC.</w:t>
      </w:r>
    </w:p>
    <w:p>
      <w:pPr>
        <w:spacing w:after="0" w:line="219" w:lineRule="exact"/>
        <w:rPr>
          <w:sz w:val="20"/>
          <w:szCs w:val="20"/>
          <w:color w:val="auto"/>
        </w:rPr>
      </w:pPr>
    </w:p>
    <w:p>
      <w:pPr>
        <w:ind w:right="80" w:firstLine="436"/>
        <w:spacing w:after="0" w:line="298" w:lineRule="auto"/>
        <w:rPr>
          <w:sz w:val="20"/>
          <w:szCs w:val="20"/>
          <w:color w:val="auto"/>
        </w:rPr>
      </w:pPr>
      <w:r>
        <w:rPr>
          <w:rFonts w:ascii="Arial" w:cs="Arial" w:eastAsia="Arial" w:hAnsi="Arial"/>
          <w:sz w:val="16"/>
          <w:szCs w:val="16"/>
          <w:color w:val="auto"/>
        </w:rPr>
        <w:t>This prospectus relates to the offer and sale of 9,397,937 shares of common stock being offered by the selling shareholders identified in this prospectus. These shares include 2,580,001 shares that are issuable upon exercise of warrants. The selling shareholders may sell their shares in a number of ways and at varying prices. Each selling shareholder will determine independent of us the price and manner it may offer or sell its shares. We are not selling any shares of our common stock under this prospectus and will not receive any proceeds from the sale of our shares by the selling shareholders.</w:t>
      </w:r>
    </w:p>
    <w:p>
      <w:pPr>
        <w:spacing w:after="0" w:line="167"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Our common stock is quoted on the Nasdaq SmallCap Market under the symbol “ASTM.” On August 11, 2003, the last reported sale price of our common stock was $0.84.</w:t>
      </w:r>
    </w:p>
    <w:p>
      <w:pPr>
        <w:spacing w:after="0" w:line="180" w:lineRule="exact"/>
        <w:rPr>
          <w:sz w:val="20"/>
          <w:szCs w:val="20"/>
          <w:color w:val="auto"/>
        </w:rPr>
      </w:pPr>
    </w:p>
    <w:p>
      <w:pPr>
        <w:ind w:right="60" w:firstLine="439"/>
        <w:spacing w:after="0" w:line="275" w:lineRule="auto"/>
        <w:rPr>
          <w:sz w:val="20"/>
          <w:szCs w:val="20"/>
          <w:color w:val="auto"/>
        </w:rPr>
      </w:pPr>
      <w:r>
        <w:rPr>
          <w:rFonts w:ascii="Arial" w:cs="Arial" w:eastAsia="Arial" w:hAnsi="Arial"/>
          <w:sz w:val="18"/>
          <w:szCs w:val="18"/>
          <w:b w:val="1"/>
          <w:bCs w:val="1"/>
          <w:color w:val="auto"/>
        </w:rPr>
        <w:t>Investing in our common stock involves a high degree of risk. You should consider carefully the risk factors beginning on page 5 of this prospectus before making a decision to purchase our stock.</w:t>
      </w:r>
    </w:p>
    <w:p>
      <w:pPr>
        <w:spacing w:after="0" w:line="174"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AUGUST 12,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SUMMARY</w:t>
        </w:r>
      </w:hyperlink>
    </w:p>
    <w:p>
      <w:pPr>
        <w:spacing w:after="0" w:line="238"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RISK FACTORS</w:t>
        </w:r>
      </w:hyperlink>
    </w:p>
    <w:p>
      <w:pPr>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WHERE YOU CAN FIND MORE INFORMATION</w:t>
        </w:r>
      </w:hyperlink>
    </w:p>
    <w:p>
      <w:pPr>
        <w:spacing w:after="0" w:line="23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SELLING SHAREHOLDERS</w:t>
        </w:r>
      </w:hyperlink>
    </w:p>
    <w:p>
      <w:pPr>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PLAN OF DISTRIBUTION</w:t>
        </w:r>
      </w:hyperlink>
    </w:p>
    <w:p>
      <w:pPr>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USE OF PROCEEDS</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LEGAL MATTERS</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EXPERTS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You should rely only on the information provided or incorporated by reference in this prospectus. We have not authorized anyone to provide you with additional or different information. This document may only be used where it is legal to sell these securities. You should not assume that any information in this prospectus is accurate as of any date other than the date of this prospectus. Information incorporated by reference in this prospectus is accurate only as of the date of the document incorporated by reference. In this prospectus, unless otherwise indicated, the words “we,” “us,” and “our” refer to Aastrom Biosciences, Inc. and its subsidiaries and do not refer to the selling shareholders.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80" w:type="dxa"/>
            <w:vAlign w:val="bottom"/>
            <w:vMerge w:val="restart"/>
          </w:tcPr>
          <w:p>
            <w:pPr>
              <w:spacing w:after="0"/>
              <w:rPr>
                <w:sz w:val="8"/>
                <w:szCs w:val="8"/>
                <w:color w:val="auto"/>
              </w:rPr>
            </w:pPr>
          </w:p>
        </w:tc>
        <w:tc>
          <w:tcPr>
            <w:tcW w:w="29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Summary</w:t>
            </w:r>
          </w:p>
        </w:tc>
        <w:tc>
          <w:tcPr>
            <w:tcW w:w="3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Risk Factors</w:t>
            </w:r>
          </w:p>
        </w:tc>
        <w:tc>
          <w:tcPr>
            <w:tcW w:w="33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w w:val="94"/>
              </w:rPr>
              <w:t>Where You Can Find More Information</w:t>
            </w:r>
          </w:p>
        </w:tc>
        <w:tc>
          <w:tcPr>
            <w:tcW w:w="3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Selling Shareholders</w:t>
            </w:r>
          </w:p>
        </w:tc>
        <w:tc>
          <w:tcPr>
            <w:tcW w:w="33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Plan of Distribution</w:t>
            </w:r>
          </w:p>
        </w:tc>
        <w:tc>
          <w:tcPr>
            <w:tcW w:w="3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Use of Proceeds</w:t>
            </w:r>
          </w:p>
        </w:tc>
        <w:tc>
          <w:tcPr>
            <w:tcW w:w="33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940" w:type="dxa"/>
            <w:vAlign w:val="bottom"/>
            <w:shd w:val="clear" w:color="auto" w:fill="EEEEEE"/>
          </w:tcPr>
          <w:p>
            <w:pPr>
              <w:spacing w:after="0"/>
              <w:rPr>
                <w:sz w:val="20"/>
                <w:szCs w:val="20"/>
                <w:color w:val="auto"/>
              </w:rPr>
            </w:pPr>
            <w:r>
              <w:rPr>
                <w:rFonts w:ascii="Arial" w:cs="Arial" w:eastAsia="Arial" w:hAnsi="Arial"/>
                <w:sz w:val="18"/>
                <w:szCs w:val="18"/>
                <w:color w:val="auto"/>
              </w:rPr>
              <w:t>Legal Matters</w:t>
            </w:r>
          </w:p>
        </w:tc>
        <w:tc>
          <w:tcPr>
            <w:tcW w:w="3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Experts</w:t>
            </w:r>
          </w:p>
        </w:tc>
        <w:tc>
          <w:tcPr>
            <w:tcW w:w="33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60" w:type="dxa"/>
            <w:vAlign w:val="bottom"/>
          </w:tcPr>
          <w:p>
            <w:pPr>
              <w:jc w:val="right"/>
              <w:ind w:right="2734"/>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40" w:firstLine="655"/>
        <w:spacing w:after="0" w:line="259" w:lineRule="auto"/>
        <w:rPr>
          <w:sz w:val="20"/>
          <w:szCs w:val="20"/>
          <w:color w:val="auto"/>
        </w:rPr>
      </w:pPr>
      <w:r>
        <w:rPr>
          <w:rFonts w:ascii="Arial" w:cs="Arial" w:eastAsia="Arial" w:hAnsi="Arial"/>
          <w:sz w:val="18"/>
          <w:szCs w:val="18"/>
          <w:color w:val="auto"/>
        </w:rPr>
        <w:t>The following summary highlights selected information from this prospectus. Because this is a summary, it does not contain all the information about us that may be important to you. You should read this entire prospectus and the other documents and the financial statements and related notes which are incorporated by reference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31"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 xml:space="preserve">We are a late-stage development company focused on human cell-based therapies. We have identified multiple paths to revenue based on our proprietary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cell production technology, including the near-term Cell Production Products business, and an active Prescription Cell Product pipeline for stem cell tissue</w:t>
      </w:r>
      <w:r>
        <w:rPr>
          <w:rFonts w:ascii="Arial" w:cs="Arial" w:eastAsia="Arial" w:hAnsi="Arial"/>
          <w:sz w:val="18"/>
          <w:szCs w:val="18"/>
          <w:i w:val="1"/>
          <w:iCs w:val="1"/>
          <w:color w:val="auto"/>
        </w:rPr>
        <w:t xml:space="preserve"> </w:t>
      </w:r>
      <w:r>
        <w:rPr>
          <w:rFonts w:ascii="Arial" w:cs="Arial" w:eastAsia="Arial" w:hAnsi="Arial"/>
          <w:sz w:val="18"/>
          <w:szCs w:val="18"/>
          <w:color w:val="auto"/>
        </w:rPr>
        <w:t>repair and cancer and infectious disease treatments.</w:t>
      </w:r>
    </w:p>
    <w:p>
      <w:pPr>
        <w:spacing w:after="0" w:line="194" w:lineRule="exact"/>
        <w:rPr>
          <w:sz w:val="20"/>
          <w:szCs w:val="20"/>
          <w:color w:val="auto"/>
        </w:rPr>
      </w:pPr>
    </w:p>
    <w:p>
      <w:pPr>
        <w:ind w:right="160" w:firstLine="439"/>
        <w:spacing w:after="0" w:line="294" w:lineRule="auto"/>
        <w:rPr>
          <w:sz w:val="20"/>
          <w:szCs w:val="20"/>
          <w:color w:val="auto"/>
        </w:rPr>
      </w:pPr>
      <w:r>
        <w:rPr>
          <w:rFonts w:ascii="Arial" w:cs="Arial" w:eastAsia="Arial" w:hAnsi="Arial"/>
          <w:sz w:val="16"/>
          <w:szCs w:val="16"/>
          <w:color w:val="auto"/>
        </w:rPr>
        <w:t>Our core technology is based on our proprietary AastromReplicell™ System, an integrated system of instrumentation and single-use consumable kits that implements our patented single-pass perfusion process in a fully automated closed-loop culturing system to optimize cell growth and viability. This system provides nutrients to cells by mimicking the natural cell-growth environment, and enabling cells to grow effectively while retaining high biological function, without various cloning approaches. In addition, this system provides GMP-compliant manufacturing and automated process control for the commercial-scale production of human cells. We do not believe that any other comparable system currently exists.</w:t>
      </w:r>
    </w:p>
    <w:p>
      <w:pPr>
        <w:spacing w:after="0" w:line="170"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 xml:space="preserve">Our Cell Production Products operation markets the AastromReplicell™ System and cell production kits to researchers and companies for their production of cells for clinical trials. The initial kits are used for the production of dendritic cells used for developing cancer vaccines. We are leveraging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production technology for a growing Prescription Cell Product pipeline focused on two areas: Tissue Repair Cells (TRCs) for stem cell-derived tissue repair and regeneration, and Therapeutic Cells (TCs) for immune system-directed attacks on certain cancers and other infectious diseases.</w:t>
      </w:r>
    </w:p>
    <w:p>
      <w:pPr>
        <w:spacing w:after="0" w:line="167" w:lineRule="exact"/>
        <w:rPr>
          <w:sz w:val="20"/>
          <w:szCs w:val="20"/>
          <w:color w:val="auto"/>
        </w:rPr>
      </w:pPr>
    </w:p>
    <w:p>
      <w:pPr>
        <w:ind w:right="140" w:firstLine="439"/>
        <w:spacing w:after="0" w:line="290" w:lineRule="auto"/>
        <w:rPr>
          <w:sz w:val="20"/>
          <w:szCs w:val="20"/>
          <w:color w:val="auto"/>
        </w:rPr>
      </w:pPr>
      <w:r>
        <w:rPr>
          <w:rFonts w:ascii="Arial" w:cs="Arial" w:eastAsia="Arial" w:hAnsi="Arial"/>
          <w:sz w:val="16"/>
          <w:szCs w:val="16"/>
          <w:color w:val="auto"/>
        </w:rPr>
        <w:t>Using the AastromReplicell™ System, TRCs are grown from a small sample of a patient’s bone marrow and, once administered back to the patient, are intended to generate normal tissue. The primary TRC product being evaluated is our OCG-I cells for bone grafting (fusions, fractures or dental defects). We are currently preparing for OCG-I clinical trials in both the United States and Europe. We also have in development OC-I cells for osteoporosis, and SC-I cells for autologous bone marrow transplants in lymphoma patients. The SC-I product has been CE marked and is currently being used by a limited number of centers in Europe to evaluate its use. In the United States, the SC-I therapy reached Phase III trials, although we halted these trials due to a shift in medical practice that reduced patient need and availability. The OC-I therapy is currently in a Phase I/II clinical trial. We also believe that the stem cell components of our TRCs may be useful for other medical indications, including the regeneration of cardiac and vascular tissues.</w:t>
      </w:r>
    </w:p>
    <w:p>
      <w:pPr>
        <w:spacing w:after="0" w:line="172" w:lineRule="exact"/>
        <w:rPr>
          <w:sz w:val="20"/>
          <w:szCs w:val="20"/>
          <w:color w:val="auto"/>
        </w:rPr>
      </w:pPr>
    </w:p>
    <w:p>
      <w:pPr>
        <w:ind w:firstLine="436"/>
        <w:spacing w:after="0" w:line="294" w:lineRule="auto"/>
        <w:rPr>
          <w:sz w:val="20"/>
          <w:szCs w:val="20"/>
          <w:color w:val="auto"/>
        </w:rPr>
      </w:pPr>
      <w:r>
        <w:rPr>
          <w:rFonts w:ascii="Arial" w:cs="Arial" w:eastAsia="Arial" w:hAnsi="Arial"/>
          <w:sz w:val="16"/>
          <w:szCs w:val="16"/>
          <w:color w:val="auto"/>
        </w:rPr>
        <w:t>We are developing TC products using human cells to cause the patient’s immune system to attack certain cancers and other infectious diseases. Blood-derived dendritic cells, which are the body’s crucial mobilizers of the immune T-Cells response, are cultured in the AastromReplicell™ System to produce our proprietary Dendricell™. After being exposed to a particular biological signal, or antigen, the Dendricell™ may act to trigger a cell-mediated immune response in a patient against the cancer cells or viri. The first Dendricell™ clinical trials are planned at Stanford University for a multiple myeloma cancer vaccine and at Duke University for a colorectal cancer vaccine. In addition, we have been in the pre-clinical stage for a T-cell therapeutic targeting the Epstein-Barr Virus.</w:t>
      </w:r>
    </w:p>
    <w:p>
      <w:pPr>
        <w:spacing w:after="0" w:line="170" w:lineRule="exact"/>
        <w:rPr>
          <w:sz w:val="20"/>
          <w:szCs w:val="20"/>
          <w:color w:val="auto"/>
        </w:rPr>
      </w:pPr>
    </w:p>
    <w:p>
      <w:pPr>
        <w:ind w:right="20" w:firstLine="436"/>
        <w:spacing w:after="0" w:line="291" w:lineRule="auto"/>
        <w:rPr>
          <w:sz w:val="20"/>
          <w:szCs w:val="20"/>
          <w:color w:val="auto"/>
        </w:rPr>
      </w:pPr>
      <w:r>
        <w:rPr>
          <w:rFonts w:ascii="Arial" w:cs="Arial" w:eastAsia="Arial" w:hAnsi="Arial"/>
          <w:sz w:val="16"/>
          <w:szCs w:val="16"/>
          <w:color w:val="auto"/>
        </w:rPr>
        <w:t>The recent commercialization of our automated cell production instruments and cell-specific production kits should generate revenues in the near term, although we are not yet able to project the market size and potential growth for those products. While we have initiated marketing activities in Europe for the CE Marked SC-I, DC-I and the DCV-I products, we do not expect to generate positive cash flows from our consolidated operations for at least the next two to three years and then only if more significant product sales commence. Until that time, we expect that our revenue sources will consist of sales from our Cell Production Product operation to academic and commercial research centers, grant revenue and research funding, milestone payments and licensing fees from existing and potential future corporate collaborators. To date, we have financed our operations through public and private sales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our equity securities. As a development-stage company, we have never been profitable and do not anticipate having net income unless and until significant product sales commence. Through March 31, 2003, we have accumulated losses of approximately $100 million. We cannot provide any assurance that we will be able to achieve profitability on a sustained basis, if at all, obtain the required funding, or complete a corporate partnering or acquisition transaction.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executive offices are located at 24 Frank Lloyd Wright Drive, P. O. Box 376, Ann Arbor, MI 48106. Our telephone number is (734) 930-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5555.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by the selling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9,397,937 shares (includes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2,580,001 shares issuable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upon exercise of warrants)</w:t>
      </w:r>
    </w:p>
    <w:p>
      <w:pPr>
        <w:spacing w:after="0" w:line="200" w:lineRule="exact"/>
        <w:rPr>
          <w:sz w:val="20"/>
          <w:szCs w:val="20"/>
          <w:color w:val="auto"/>
        </w:rPr>
      </w:pPr>
    </w:p>
    <w:p>
      <w:pPr>
        <w:sectPr>
          <w:pgSz w:w="11900" w:h="16838" w:orient="portrait"/>
          <w:cols w:equalWidth="0" w:num="2">
            <w:col w:w="6020" w:space="720"/>
            <w:col w:w="4620"/>
          </w:cols>
          <w:pgMar w:left="240" w:top="419" w:right="29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ectPr>
          <w:pgSz w:w="11900" w:h="16838" w:orient="portrait"/>
          <w:cols w:equalWidth="0" w:num="1">
            <w:col w:w="11360"/>
          </w:cols>
          <w:pgMar w:left="240" w:top="419" w:right="299" w:bottom="1440" w:gutter="0" w:footer="0" w:header="0"/>
          <w:type w:val="continuous"/>
        </w:sectPr>
      </w:pPr>
    </w:p>
    <w:p>
      <w:pPr>
        <w:spacing w:after="0" w:line="266" w:lineRule="exact"/>
        <w:rPr>
          <w:sz w:val="20"/>
          <w:szCs w:val="20"/>
          <w:color w:val="auto"/>
        </w:rPr>
      </w:pPr>
    </w:p>
    <w:p>
      <w:pPr>
        <w:ind w:right="140" w:firstLine="213"/>
        <w:spacing w:after="0" w:line="268" w:lineRule="auto"/>
        <w:rPr>
          <w:sz w:val="20"/>
          <w:szCs w:val="20"/>
          <w:color w:val="auto"/>
        </w:rPr>
      </w:pPr>
      <w:r>
        <w:rPr>
          <w:rFonts w:ascii="Arial" w:cs="Arial" w:eastAsia="Arial" w:hAnsi="Arial"/>
          <w:sz w:val="18"/>
          <w:szCs w:val="18"/>
          <w:color w:val="auto"/>
        </w:rPr>
        <w:t>You should consider carefully all of the information contained and incorporated by reference in this prospectus, including the information set forth under the caption “Risk Factors,” before making an investment in the shares.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i w:val="1"/>
          <w:iCs w:val="1"/>
          <w:color w:val="auto"/>
        </w:rPr>
        <w:t>You should carefully consider the following risk factors before purchasing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 This prospectus contains forward-looking statements that involve risks and uncertainties. Our actual results may differ significantly from the results discussed in the forward-looking statements. This section discusses the risk factors that might cause those differences. You should also consider the additional information set forth in our SEC reports on Forms 10-K, 10-Q and 8-K and in other documents considered a part of this prospectus. See “Where You Can Find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past losses and expected future losses cast doubt on our ability to operate profitably.</w:t>
      </w:r>
    </w:p>
    <w:p>
      <w:pPr>
        <w:spacing w:after="0" w:line="231" w:lineRule="exact"/>
        <w:rPr>
          <w:sz w:val="20"/>
          <w:szCs w:val="20"/>
          <w:color w:val="auto"/>
        </w:rPr>
      </w:pPr>
    </w:p>
    <w:p>
      <w:pPr>
        <w:ind w:right="60" w:firstLine="216"/>
        <w:spacing w:after="0" w:line="289" w:lineRule="auto"/>
        <w:rPr>
          <w:sz w:val="20"/>
          <w:szCs w:val="20"/>
          <w:color w:val="auto"/>
        </w:rPr>
      </w:pPr>
      <w:r>
        <w:rPr>
          <w:rFonts w:ascii="Arial" w:cs="Arial" w:eastAsia="Arial" w:hAnsi="Arial"/>
          <w:sz w:val="16"/>
          <w:szCs w:val="16"/>
          <w:color w:val="auto"/>
        </w:rPr>
        <w:t>We were incorporated in 1989 and have experienced substantial operating losses since inception. As of March 31, 2003, we have incurred net losses totaling approximately $100 million. These losses have resulted principally from costs incurred in the research and development of our cell culture technologies and the AastromReplicell™ System, general and administrative expenses, and the prosecution of patent applications. We expect to incur significant operating losses until product sales increase, primarily owing to our research and development programs, including pre-clinical studies and clinical trials, and the establishment of marketing and distribution capabilities necessary to support commercialization efforts for our products. We cannot predict with any certainty the amount of future losses. Our ability to achieve profitability will depend, among other things, on successfully completing the development of our product candidates, obtaining regulatory approvals, establishing manufacturing, sales and marketing arrangements with third parties, and raising sufficient funds to finance our activities. We may not be able to achieve or sustain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inability to complete our product development activities successfully would severely limit our ability to operate or finance operations.</w:t>
      </w:r>
    </w:p>
    <w:p>
      <w:pPr>
        <w:spacing w:after="0" w:line="254" w:lineRule="exact"/>
        <w:rPr>
          <w:sz w:val="20"/>
          <w:szCs w:val="20"/>
          <w:color w:val="auto"/>
        </w:rPr>
      </w:pPr>
    </w:p>
    <w:p>
      <w:pPr>
        <w:ind w:right="100" w:firstLine="220"/>
        <w:spacing w:after="0" w:line="288" w:lineRule="auto"/>
        <w:rPr>
          <w:sz w:val="20"/>
          <w:szCs w:val="20"/>
          <w:color w:val="auto"/>
        </w:rPr>
      </w:pPr>
      <w:r>
        <w:rPr>
          <w:rFonts w:ascii="Arial" w:cs="Arial" w:eastAsia="Arial" w:hAnsi="Arial"/>
          <w:sz w:val="16"/>
          <w:szCs w:val="16"/>
          <w:color w:val="auto"/>
        </w:rPr>
        <w:t>Commercialization in the United States of our cell product candidates will require substantial clinical trials. While we have commenced initial marketing on a limited basis of the AastromReplicell™ System in Europe, we believe that the United States will be the largest market for our products. We may not be able to successfully complete development of our product candidates, or successfully market our technologies or product candidates. We, and any of our potential collaborators, may encounter problems and delays relating to research and development, regulatory approval and intellectual property rights of our technologies and product candidates. Our research and development programs may not be successful, and our cell culture technologies and product candidates may not facilitate the production of cells outside the human body with the expected result. Our technologies and product candidates may not prove to be safe and efficacious in clinical trials, and we may not obtain the requisite regulatory approvals for our technologies or product candidates and the cells produced in such products. If any of these events occur, we may not have adequate resources to continue operations for the period required to resolve the issue delaying commercialization and we may not be able to raise capital to finance our continued operation during the period required for resolution of that issue.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raise the required capital to conduct our operations and develop our products.</w:t>
      </w:r>
    </w:p>
    <w:p>
      <w:pPr>
        <w:spacing w:after="0" w:line="231" w:lineRule="exact"/>
        <w:rPr>
          <w:sz w:val="20"/>
          <w:szCs w:val="20"/>
          <w:color w:val="auto"/>
        </w:rPr>
      </w:pPr>
    </w:p>
    <w:p>
      <w:pPr>
        <w:ind w:firstLine="216"/>
        <w:spacing w:after="0" w:line="314" w:lineRule="auto"/>
        <w:rPr>
          <w:sz w:val="20"/>
          <w:szCs w:val="20"/>
          <w:color w:val="auto"/>
        </w:rPr>
      </w:pPr>
      <w:r>
        <w:rPr>
          <w:rFonts w:ascii="Arial" w:cs="Arial" w:eastAsia="Arial" w:hAnsi="Arial"/>
          <w:sz w:val="15"/>
          <w:szCs w:val="15"/>
          <w:color w:val="auto"/>
        </w:rPr>
        <w:t>We will require substantial capital resources in order to conduct our operations and develop our products. In October 1999, we were forced to reduce operations based on our declining level of capital resources and our limited financing alternatives available at that time. The previous reduction in our operating activities has delayed our product development programs. We expect that our available cash and financing will be sufficient to fund currently planned activities through our 2004 fiscal year (ending June 30, 2004). However, in order to grow and expand our business, and to introduce our new product candidates into the marketplace, we will need to raise additional funds. We will also need additional funds or a collaborative partner, or both, to finance the research and development activities of our product candidates for the expansion of additional cell types. Accordingly, we are continuing to pursue additional sources of financing.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25" w:lineRule="exact"/>
        <w:rPr>
          <w:sz w:val="20"/>
          <w:szCs w:val="20"/>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scientific progress in our research and development programs;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 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expansions if and as required.</w:t>
      </w:r>
    </w:p>
    <w:p>
      <w:pPr>
        <w:spacing w:after="0" w:line="225" w:lineRule="exact"/>
        <w:rPr>
          <w:sz w:val="20"/>
          <w:szCs w:val="20"/>
          <w:color w:val="auto"/>
        </w:rPr>
      </w:pPr>
    </w:p>
    <w:p>
      <w:pPr>
        <w:ind w:right="20" w:firstLine="220"/>
        <w:spacing w:after="0" w:line="323" w:lineRule="auto"/>
        <w:rPr>
          <w:sz w:val="20"/>
          <w:szCs w:val="20"/>
          <w:color w:val="auto"/>
        </w:rPr>
      </w:pPr>
      <w:r>
        <w:rPr>
          <w:rFonts w:ascii="Arial" w:cs="Arial" w:eastAsia="Arial" w:hAnsi="Arial"/>
          <w:sz w:val="15"/>
          <w:szCs w:val="15"/>
          <w:color w:val="auto"/>
        </w:rPr>
        <w:t>Because of our long-term funding requirements, we are likely to access the public or private equity markets if and whenever conditions are favorable, even if we do not have an immediate need for additional capital at that time. Further, we may enter into financing transactions at rates, which are at a substantial discount to market. This additional funding may not be available to us on reasonable terms, or at all. If adequate funds are not available in the future, we may be required to further delay or terminate research and development programs, curtail capital expenditures, and reduce business development and other operating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issuance of additional common stock for funding has the potential for substantial dilution.</w:t>
      </w:r>
    </w:p>
    <w:p>
      <w:pPr>
        <w:spacing w:after="0" w:line="231" w:lineRule="exact"/>
        <w:rPr>
          <w:sz w:val="20"/>
          <w:szCs w:val="20"/>
          <w:color w:val="auto"/>
        </w:rPr>
      </w:pPr>
    </w:p>
    <w:p>
      <w:pPr>
        <w:ind w:firstLine="210"/>
        <w:spacing w:after="0" w:line="306" w:lineRule="auto"/>
        <w:rPr>
          <w:sz w:val="20"/>
          <w:szCs w:val="20"/>
          <w:color w:val="auto"/>
        </w:rPr>
      </w:pPr>
      <w:r>
        <w:rPr>
          <w:rFonts w:ascii="Arial" w:cs="Arial" w:eastAsia="Arial" w:hAnsi="Arial"/>
          <w:sz w:val="16"/>
          <w:szCs w:val="16"/>
          <w:color w:val="auto"/>
        </w:rPr>
        <w:t>As noted above, we will need additional equity funding to provide us with the capital to reach our objectives. At current market prices, such an equity issuance would cause a substantially larger number of shares to be outstanding and would dilute the ownership interest of existing stockholders. Pursuant to previously approved shareholder resolutions, the Board of Directors has the authority to increase the maximum number of authorized shares from 100 million to 150 million.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stock price has been volatile and future sales of substantial numbers of our shares could have an adverse affect on the market price of our shares.</w:t>
      </w:r>
    </w:p>
    <w:p>
      <w:pPr>
        <w:spacing w:after="0" w:line="266" w:lineRule="exact"/>
        <w:rPr>
          <w:sz w:val="20"/>
          <w:szCs w:val="20"/>
          <w:color w:val="auto"/>
        </w:rPr>
      </w:pPr>
    </w:p>
    <w:p>
      <w:pPr>
        <w:ind w:right="360" w:firstLine="216"/>
        <w:spacing w:after="0" w:line="332" w:lineRule="auto"/>
        <w:rPr>
          <w:sz w:val="20"/>
          <w:szCs w:val="20"/>
          <w:color w:val="auto"/>
        </w:rPr>
      </w:pPr>
      <w:r>
        <w:rPr>
          <w:rFonts w:ascii="Arial" w:cs="Arial" w:eastAsia="Arial" w:hAnsi="Arial"/>
          <w:sz w:val="16"/>
          <w:szCs w:val="16"/>
          <w:color w:val="auto"/>
        </w:rPr>
        <w:t>The market price of shares of our common stock has been volatile, ranging in closing price between $0.23 and $1.45 during the fiscal year ended June 30, 2003. The price of our common stock may continue to fluctuate in response to a number of events and factors, such as:</w:t>
      </w:r>
    </w:p>
    <w:p>
      <w:pPr>
        <w:spacing w:after="0" w:line="139" w:lineRule="exact"/>
        <w:rPr>
          <w:sz w:val="20"/>
          <w:szCs w:val="20"/>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by us or our competitors;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entering into or terminating strategic relationships;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 regulation;</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disputes concerning patents or proprietary rights;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revenues or expense levels;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reports by securities analysts; 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status of the investment markets.</w:t>
      </w:r>
    </w:p>
    <w:p>
      <w:pPr>
        <w:spacing w:after="0" w:line="225" w:lineRule="exact"/>
        <w:rPr>
          <w:sz w:val="20"/>
          <w:szCs w:val="20"/>
          <w:color w:val="auto"/>
        </w:rPr>
      </w:pPr>
    </w:p>
    <w:p>
      <w:pPr>
        <w:jc w:val="both"/>
        <w:ind w:right="380" w:firstLine="210"/>
        <w:spacing w:after="0" w:line="256" w:lineRule="auto"/>
        <w:rPr>
          <w:sz w:val="20"/>
          <w:szCs w:val="20"/>
          <w:color w:val="auto"/>
        </w:rPr>
      </w:pPr>
      <w:r>
        <w:rPr>
          <w:rFonts w:ascii="Arial" w:cs="Arial" w:eastAsia="Arial" w:hAnsi="Arial"/>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that often has been unrelated to the operating performance or financial conditions of such companies. These broad market and industry fluctuations may adversely affect the trading price of our stock, regardless of our operating performance or prospects.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successfully complete our clinical trials to be able to market certain of our products.</w:t>
      </w:r>
    </w:p>
    <w:p>
      <w:pPr>
        <w:spacing w:after="0" w:line="231" w:lineRule="exact"/>
        <w:rPr>
          <w:sz w:val="20"/>
          <w:szCs w:val="20"/>
          <w:color w:val="auto"/>
        </w:rPr>
      </w:pPr>
    </w:p>
    <w:p>
      <w:pPr>
        <w:ind w:right="20" w:firstLine="216"/>
        <w:spacing w:after="0" w:line="332" w:lineRule="auto"/>
        <w:rPr>
          <w:sz w:val="20"/>
          <w:szCs w:val="20"/>
          <w:color w:val="auto"/>
        </w:rPr>
      </w:pPr>
      <w:r>
        <w:rPr>
          <w:rFonts w:ascii="Arial" w:cs="Arial" w:eastAsia="Arial" w:hAnsi="Arial"/>
          <w:sz w:val="16"/>
          <w:szCs w:val="16"/>
          <w:color w:val="auto"/>
        </w:rPr>
        <w:t>To be able to market cell products in the United States, we must demonstrate, through extensive preclinical studies and clinical trials, the safety and efficacy of our processes and product candidates, for application in the treatment of humans. If our clinical trials are not successful, our products may not be marketable.</w:t>
      </w:r>
    </w:p>
    <w:p>
      <w:pPr>
        <w:sectPr>
          <w:pgSz w:w="11900" w:h="16838" w:orient="portrait"/>
          <w:cols w:equalWidth="0" w:num="1">
            <w:col w:w="11400"/>
          </w:cols>
          <w:pgMar w:left="240" w:top="419" w:right="259" w:bottom="1440" w:gutter="0" w:footer="0" w:header="0"/>
        </w:sectPr>
      </w:pP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Our ability to complete our clinical trials in a timely manner depends on many factors, including the rate of patient enrollment. Patient enrollment can vary with the size of the patient population, the proximity of suitable patients to clinical sites, perceptions of the utility of cell therapy for the treatment of certain diseases and the eligibility criteria for the study. We have experienced delays in patient accrual in our previous and current clinical trials. If we experience future delays in patient accrual, we could experience increased costs and delays associated with clinical trials, which would impair our product development programs and our ability to market our products. Furthermore, the FDA monitors the progress of clinical trials and it may suspend or terminate clinical trials at any time due to patient safety or other considerations.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maintain required regulatory approvals would severely limit our ability to sell our products.</w:t>
      </w:r>
    </w:p>
    <w:p>
      <w:pPr>
        <w:spacing w:after="0" w:line="231" w:lineRule="exact"/>
        <w:rPr>
          <w:sz w:val="20"/>
          <w:szCs w:val="20"/>
          <w:color w:val="auto"/>
        </w:rPr>
      </w:pPr>
    </w:p>
    <w:p>
      <w:pPr>
        <w:ind w:right="40" w:firstLine="216"/>
        <w:spacing w:after="0" w:line="290" w:lineRule="auto"/>
        <w:rPr>
          <w:sz w:val="20"/>
          <w:szCs w:val="20"/>
          <w:color w:val="auto"/>
        </w:rPr>
      </w:pPr>
      <w:r>
        <w:rPr>
          <w:rFonts w:ascii="Arial" w:cs="Arial" w:eastAsia="Arial" w:hAnsi="Arial"/>
          <w:sz w:val="16"/>
          <w:szCs w:val="16"/>
          <w:color w:val="auto"/>
        </w:rPr>
        <w:t>We must obtain the approval of the FDA before commercial sales of our cell product candidates may commence in the United States, which we believe will be the largest market for our products. We may also be required to obtain additional approvals from foreign regulatory authorities to continue or increase our sales activities in those jurisdictions. If we cannot demonstrate the safety, reliability and efficacy of our product candidates, or of the cells produced in such products, we may not be able to obtain required regulatory approvals. Patients receiving cells produced with our technologies and product candidates may not demonstrate long-term engraftment in a manner comparable to cells obtained from current hematopoietic stem cell therapy procedures. If we cannot demonstrate the safety or efficacy of our technologies and product candidates, including long-term sustained engraftment, or if one or more patients die or suffer severe complications, the FDA or other regulatory authorities could delay or withhold regulatory approval of our product candidates.</w:t>
      </w:r>
    </w:p>
    <w:p>
      <w:pPr>
        <w:spacing w:after="0" w:line="172" w:lineRule="exact"/>
        <w:rPr>
          <w:sz w:val="20"/>
          <w:szCs w:val="20"/>
          <w:color w:val="auto"/>
        </w:rPr>
      </w:pPr>
    </w:p>
    <w:p>
      <w:pPr>
        <w:ind w:right="340" w:firstLine="220"/>
        <w:spacing w:after="0" w:line="294" w:lineRule="auto"/>
        <w:rPr>
          <w:sz w:val="20"/>
          <w:szCs w:val="20"/>
          <w:color w:val="auto"/>
        </w:rPr>
      </w:pPr>
      <w:r>
        <w:rPr>
          <w:rFonts w:ascii="Arial" w:cs="Arial" w:eastAsia="Arial" w:hAnsi="Arial"/>
          <w:sz w:val="16"/>
          <w:szCs w:val="16"/>
          <w:color w:val="auto"/>
        </w:rPr>
        <w:t>Finally, even if we obtain regulatory approval of a product, that approval may be subject to limitations on the indicated uses for which it may be marketed. Even after granting regulatory approval, the FDA, other regulatory agencies, and governments in other countries continue to review and inspect marketed products, manufacturers and manufacturing facilities. Later discovery of previously unknown problems with a product, manufacturer or facility may result in restrictions on the product or manufacturer, including a withdrawal of the product from the market. Further, governmental regulatory agencies may establish additional regulations which could prevent or delay regulatory approval of our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if we obtain regulatory approvals to sell our products, lack of commercial acceptance would impair our business.</w:t>
      </w:r>
    </w:p>
    <w:p>
      <w:pPr>
        <w:spacing w:after="0" w:line="231" w:lineRule="exact"/>
        <w:rPr>
          <w:sz w:val="20"/>
          <w:szCs w:val="20"/>
          <w:color w:val="auto"/>
        </w:rPr>
      </w:pPr>
    </w:p>
    <w:p>
      <w:pPr>
        <w:ind w:right="60" w:firstLine="216"/>
        <w:spacing w:after="0" w:line="291" w:lineRule="auto"/>
        <w:rPr>
          <w:sz w:val="20"/>
          <w:szCs w:val="20"/>
          <w:color w:val="auto"/>
        </w:rPr>
      </w:pPr>
      <w:r>
        <w:rPr>
          <w:rFonts w:ascii="Arial" w:cs="Arial" w:eastAsia="Arial" w:hAnsi="Arial"/>
          <w:sz w:val="16"/>
          <w:szCs w:val="16"/>
          <w:color w:val="auto"/>
        </w:rPr>
        <w:t>We are seeking to obtain regulatory approval to market stem cell tissue repair and regeneration treatments, and cancer and infectious disease treatments. Even if we obtain all required regulatory approvals, we cannot be certain that our products and processes will be adopted at a level that would allow us to operate profitably. Our tissue repair products will face competition from existing, and/or potential other new treatments in the future which could limit revenue potential. It may be necessary to increase the yield and/or cell type purity, for certain of our Aastrom Replicell™ System cell processes to gain commercial acceptance. Our technologies or product candidates may not be employed in all potential applications being investigated, and any reduction in applications would limit the market acceptance of our technologies and product candidates and our potential revenues.</w:t>
      </w:r>
    </w:p>
    <w:p>
      <w:pPr>
        <w:spacing w:after="0" w:line="16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Failure of third parties to manufacture component parts or provide limited source supplies would impair our new product development and our sales activities.</w:t>
      </w:r>
    </w:p>
    <w:p>
      <w:pPr>
        <w:spacing w:after="0" w:line="180" w:lineRule="exact"/>
        <w:rPr>
          <w:sz w:val="20"/>
          <w:szCs w:val="20"/>
          <w:color w:val="auto"/>
        </w:rPr>
      </w:pPr>
    </w:p>
    <w:p>
      <w:pPr>
        <w:ind w:right="20" w:firstLine="436"/>
        <w:spacing w:after="0" w:line="298" w:lineRule="auto"/>
        <w:rPr>
          <w:sz w:val="20"/>
          <w:szCs w:val="20"/>
          <w:color w:val="auto"/>
        </w:rPr>
      </w:pPr>
      <w:r>
        <w:rPr>
          <w:rFonts w:ascii="Arial" w:cs="Arial" w:eastAsia="Arial" w:hAnsi="Arial"/>
          <w:sz w:val="16"/>
          <w:szCs w:val="16"/>
          <w:color w:val="auto"/>
        </w:rPr>
        <w:t>We rely solely on third parties such as Astro, Moll, Cambrex and Amgen to manufacture our product candidates, component parts and growth factors and other materials used in the cell expansion process. We would not be able to obtain alternate sources of supply for many of these items on a short-term basis. If any of our key manufacturers or suppliers fail to perform their respective obligations or if our supply of growth factors, components or other materials is limited or interrupted, we would not be able to conduct clinical trials or market our product candidates on a timely and cost-competitive basis, if at all.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220"/>
        <w:spacing w:after="0" w:line="256" w:lineRule="auto"/>
        <w:rPr>
          <w:sz w:val="20"/>
          <w:szCs w:val="20"/>
          <w:color w:val="auto"/>
        </w:rPr>
      </w:pPr>
      <w:r>
        <w:rPr>
          <w:rFonts w:ascii="Arial" w:cs="Arial" w:eastAsia="Arial" w:hAnsi="Arial"/>
          <w:sz w:val="18"/>
          <w:szCs w:val="18"/>
          <w:color w:val="auto"/>
        </w:rPr>
        <w:t>Furthermore, some of the compounds used by us in our current bone marrow or cord blood cell expansion processes involve the use of animal-derived products. Suppliers or regulatory authorities may limit or restrict the availability of such compounds for clinical and commercial use. Any restrictions on these compounds would impose a potential competitive disadvantage for our products. Our inability to develop or obtain alternative compounds would harm our product development and commercialization efforts.</w:t>
      </w:r>
    </w:p>
    <w:p>
      <w:pPr>
        <w:spacing w:after="0" w:line="197" w:lineRule="exact"/>
        <w:rPr>
          <w:sz w:val="20"/>
          <w:szCs w:val="20"/>
          <w:color w:val="auto"/>
        </w:rPr>
      </w:pPr>
    </w:p>
    <w:p>
      <w:pPr>
        <w:jc w:val="both"/>
        <w:ind w:right="140" w:firstLine="220"/>
        <w:spacing w:after="0" w:line="335" w:lineRule="auto"/>
        <w:rPr>
          <w:sz w:val="20"/>
          <w:szCs w:val="20"/>
          <w:color w:val="auto"/>
        </w:rPr>
      </w:pPr>
      <w:r>
        <w:rPr>
          <w:rFonts w:ascii="Arial" w:cs="Arial" w:eastAsia="Arial" w:hAnsi="Arial"/>
          <w:sz w:val="15"/>
          <w:szCs w:val="15"/>
          <w:color w:val="auto"/>
        </w:rPr>
        <w:t>Finally, we may not be able to continue our present arrangements with our suppliers, supplement existing relationships, establish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commercially feasible products on a timely and competitive basis.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may be delisted from Nasdaq, which could affect its market price and liquidity.</w:t>
      </w:r>
    </w:p>
    <w:p>
      <w:pPr>
        <w:spacing w:after="0" w:line="231"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6"/>
          <w:szCs w:val="16"/>
          <w:color w:val="auto"/>
        </w:rPr>
        <w:t>We are required to meet certain financial tests (including a minimum bid price for our common stock of $1.00) to maintain the listing of our common stock on the Nasdaq Stock Market. Our common stock may be recommended for delisting (subject to any appeal we would file) if we do not maintain compliance with this requirement within specified periods and subject to permitted extensions. If our common stock were delisted, it could be more difficult to buy or sell our common stock and to obtain accurate quotations, and the price of our stock could suffer a material decline.</w:t>
      </w:r>
    </w:p>
    <w:p>
      <w:pPr>
        <w:spacing w:after="0" w:line="16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Given our limited internal sales and marketing capabilities, we need to develop increased internal capability or collaborative relationships to sell, market and distribute our products.</w:t>
      </w:r>
    </w:p>
    <w:p>
      <w:pPr>
        <w:spacing w:after="0" w:line="180" w:lineRule="exact"/>
        <w:rPr>
          <w:sz w:val="20"/>
          <w:szCs w:val="20"/>
          <w:color w:val="auto"/>
        </w:rPr>
      </w:pPr>
    </w:p>
    <w:p>
      <w:pPr>
        <w:ind w:right="80" w:firstLine="216"/>
        <w:spacing w:after="0" w:line="314" w:lineRule="auto"/>
        <w:rPr>
          <w:sz w:val="20"/>
          <w:szCs w:val="20"/>
          <w:color w:val="auto"/>
        </w:rPr>
      </w:pPr>
      <w:r>
        <w:rPr>
          <w:rFonts w:ascii="Arial" w:cs="Arial" w:eastAsia="Arial" w:hAnsi="Arial"/>
          <w:sz w:val="15"/>
          <w:szCs w:val="15"/>
          <w:color w:val="auto"/>
        </w:rPr>
        <w:t>While we have commenced initial marketing on a limited basis of the AastromReplicell™ System and SC-I, DC-I and DCV-I cell production kits in Europe and domestically for research use, we have only limited internal sales, marketing and distribution capabilities. We intend to get assistance to market our products through collaborative relationships with companies with established sales, marketing and distribution capabilities. While we have entered into such arrangements with respect to Switzerland, Turkey and Italy, we will need to establish additional relationships to be able to achieve the market coverage we desire. Our inability to develop and maintain those relationships would limit our ability to market, sell and distribute our products. Our inability to enter into successful, long-term relationships could require us to develop alternate arrangements at a time when we need sales, marketing or distribution capabilities to meet existing demand.</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Any changes in the governmental regulatory classifications of our products could prevent, limit or delay our ability to market or develop our products.</w:t>
      </w:r>
    </w:p>
    <w:p>
      <w:pPr>
        <w:spacing w:after="0" w:line="266"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The FDA establishes regulatory requirements based on the classification of a product. The AastromReplicell™ System may be regulated as a Class III medical device, or the FDA may ultimately choose to regulate the AastromReplicell™ System under another category. Because our product development programs are designed to satisfy the standards applicable to Class III medical devices and biological licensure for our cellular products, any change in the regulatory classification or designation would affect our ability to obtain FDA approval of our products. The AastromReplicell™ System is used to produce different cell mixtures, and each of these cell mixtures will, under current regulations be regulated as biologic products, which require a BLA. Other countries are adopting new strict policies and requirements for cell products. These new requirements may delay, restrict or prevent the sale or use of our products.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If we do not keep pace with our competitors and with technological and market changes, our products may become obsolete and our business may suffer.</w:t>
      </w:r>
    </w:p>
    <w:p>
      <w:pPr>
        <w:spacing w:after="0" w:line="180" w:lineRule="exact"/>
        <w:rPr>
          <w:sz w:val="20"/>
          <w:szCs w:val="20"/>
          <w:color w:val="auto"/>
        </w:rPr>
      </w:pPr>
    </w:p>
    <w:p>
      <w:pPr>
        <w:ind w:firstLine="216"/>
        <w:spacing w:after="0" w:line="259" w:lineRule="auto"/>
        <w:rPr>
          <w:sz w:val="20"/>
          <w:szCs w:val="20"/>
          <w:color w:val="auto"/>
        </w:rPr>
      </w:pPr>
      <w:r>
        <w:rPr>
          <w:rFonts w:ascii="Arial" w:cs="Arial" w:eastAsia="Arial" w:hAnsi="Arial"/>
          <w:sz w:val="18"/>
          <w:szCs w:val="18"/>
          <w:color w:val="auto"/>
        </w:rPr>
        <w:t>The market for our products is very competitive, is subject to rapid technological changes and varies for different individual products. For each of our potential products, we believe that there are potentially many competitive approaches being pursued, including some by private companies for which information is difficult to obtain.</w:t>
      </w:r>
    </w:p>
    <w:p>
      <w:pPr>
        <w:spacing w:after="0" w:line="194" w:lineRule="exact"/>
        <w:rPr>
          <w:sz w:val="20"/>
          <w:szCs w:val="20"/>
          <w:color w:val="auto"/>
        </w:rPr>
      </w:pPr>
    </w:p>
    <w:p>
      <w:pPr>
        <w:ind w:right="20" w:firstLine="220"/>
        <w:spacing w:after="0" w:line="294" w:lineRule="auto"/>
        <w:rPr>
          <w:sz w:val="20"/>
          <w:szCs w:val="20"/>
          <w:color w:val="auto"/>
        </w:rPr>
      </w:pPr>
      <w:r>
        <w:rPr>
          <w:rFonts w:ascii="Arial" w:cs="Arial" w:eastAsia="Arial" w:hAnsi="Arial"/>
          <w:sz w:val="16"/>
          <w:szCs w:val="16"/>
          <w:color w:val="auto"/>
        </w:rPr>
        <w:t>Many of our competitors have significantly greater resources, more product candidates and have developed product candidates and processes that directly compete with our products. Our competitors may have developed, or could in the future develop, new technologies that compete with our products or even render our products obsolete. As an example, in the past, published studies have suggested that hematopoietic stem cell therapy may have limited clinical benefit in the treatment of breast cancer, which was a significant portion of the overall hematopoietic stem cell transplant market. This resulted in a substantial decline in the market for the AastromReplicell™ System with our SC-I kit.</w:t>
      </w:r>
    </w:p>
    <w:p>
      <w:pPr>
        <w:spacing w:after="0" w:line="170" w:lineRule="exact"/>
        <w:rPr>
          <w:sz w:val="20"/>
          <w:szCs w:val="20"/>
          <w:color w:val="auto"/>
        </w:rPr>
      </w:pPr>
    </w:p>
    <w:p>
      <w:pPr>
        <w:ind w:right="380" w:firstLine="220"/>
        <w:spacing w:after="0" w:line="256" w:lineRule="auto"/>
        <w:rPr>
          <w:sz w:val="20"/>
          <w:szCs w:val="20"/>
          <w:color w:val="auto"/>
        </w:rPr>
      </w:pPr>
      <w:r>
        <w:rPr>
          <w:rFonts w:ascii="Arial" w:cs="Arial" w:eastAsia="Arial" w:hAnsi="Arial"/>
          <w:sz w:val="18"/>
          <w:szCs w:val="18"/>
          <w:color w:val="auto"/>
        </w:rPr>
        <w:t>Our products are designed to improve and automate the processes for producing cells used in therapeutic procedures. Even if we are able to demonstrate improved or equivalent results, researchers and practitioners may not use our products and we will suffer a competitive disadvantage. As a result, we may be unable to recover the net book value of our inventory. Finally, to the extent that others develop new technologies that address the targeted application for our products, our business will suffer.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attract and retain key personnel, then our business will suffer.</w:t>
      </w:r>
    </w:p>
    <w:p>
      <w:pPr>
        <w:spacing w:after="0" w:line="231" w:lineRule="exact"/>
        <w:rPr>
          <w:sz w:val="20"/>
          <w:szCs w:val="20"/>
          <w:color w:val="auto"/>
        </w:rPr>
      </w:pPr>
    </w:p>
    <w:p>
      <w:pPr>
        <w:ind w:right="60" w:firstLine="220"/>
        <w:spacing w:after="0" w:line="255" w:lineRule="auto"/>
        <w:rPr>
          <w:sz w:val="20"/>
          <w:szCs w:val="20"/>
          <w:color w:val="auto"/>
        </w:rPr>
      </w:pPr>
      <w:r>
        <w:rPr>
          <w:rFonts w:ascii="Arial" w:cs="Arial" w:eastAsia="Arial" w:hAnsi="Arial"/>
          <w:sz w:val="18"/>
          <w:szCs w:val="18"/>
          <w:color w:val="auto"/>
        </w:rPr>
        <w:t>Our success depends in large part upon our ability to attract and retain highly qualified scientific and management personnel. We face competition for such personnel from other companies, research and academic institutions and other entities. Further, in an effort to conserve financial resources, we have implemented reductions in our work force on two separate occasions. As a result of these and other factors, we may not be successful in hiring or retaining key personnel. The Company has a key man life insurance policy for R. Douglas Armstrong, the Chairman, Chief Executive Officer and President of Aastrom. Our inability to replace any other lost key employee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patents and proprietary rights do not provide substantial protection, then our business and competitive position will suffer.</w:t>
      </w:r>
    </w:p>
    <w:p>
      <w:pPr>
        <w:spacing w:after="0" w:line="231" w:lineRule="exact"/>
        <w:rPr>
          <w:sz w:val="20"/>
          <w:szCs w:val="20"/>
          <w:color w:val="auto"/>
        </w:rPr>
      </w:pPr>
    </w:p>
    <w:p>
      <w:pPr>
        <w:ind w:firstLine="220"/>
        <w:spacing w:after="0" w:line="309" w:lineRule="auto"/>
        <w:rPr>
          <w:sz w:val="20"/>
          <w:szCs w:val="20"/>
          <w:color w:val="auto"/>
        </w:rPr>
      </w:pPr>
      <w:r>
        <w:rPr>
          <w:rFonts w:ascii="Arial" w:cs="Arial" w:eastAsia="Arial" w:hAnsi="Arial"/>
          <w:sz w:val="15"/>
          <w:szCs w:val="15"/>
          <w:color w:val="auto"/>
        </w:rPr>
        <w:t>Our success depends in large part on our ability to develop or license and protect proprietary products and technologies. However, patents may not be granted on any of our pending or future patent applications. Also, the scope of any of our issued patents may not be sufficiently broad to offer meaningful protection. In addition, our issued patents or patents licensed to us could be successfully challenged, invalidated or circumvented so that our patent rights would not create an effective competitive barrier. Furthermore, we rely on three exclusive, world-wide licenses relating to the production of human cells granted to us by the University of Michigan for certain of our patent rights. If we materially breach such agreements or otherwise fail to materially comply with such agreements, or if such agreements expire or are otherwise terminated by us, we may lose our rights under the patents held by the University of Michigan. At the latest, these licenses will terminate when the patent underlying the license expires. The first of these underlying patents will expire on March 21, 2012. We also rely on trade secrets and unpatentable know-how that we seek to protect, in part, by confidentiality agreements with our employees, consultants, suppliers and licensees. These agreements may be breached, and we might not have adequate remedies for any breach. If this were to occur, our business and competitive position would suffer.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litigation could harm our business.</w:t>
      </w:r>
    </w:p>
    <w:p>
      <w:pPr>
        <w:spacing w:after="0" w:line="231" w:lineRule="exact"/>
        <w:rPr>
          <w:sz w:val="20"/>
          <w:szCs w:val="20"/>
          <w:color w:val="auto"/>
        </w:rPr>
      </w:pPr>
    </w:p>
    <w:p>
      <w:pPr>
        <w:ind w:right="40" w:firstLine="220"/>
        <w:spacing w:after="0" w:line="306" w:lineRule="auto"/>
        <w:rPr>
          <w:sz w:val="20"/>
          <w:szCs w:val="20"/>
          <w:color w:val="auto"/>
        </w:rPr>
      </w:pPr>
      <w:r>
        <w:rPr>
          <w:rFonts w:ascii="Arial" w:cs="Arial" w:eastAsia="Arial" w:hAnsi="Arial"/>
          <w:sz w:val="16"/>
          <w:szCs w:val="16"/>
          <w:color w:val="auto"/>
        </w:rPr>
        <w:t>Our success will also depend in part on our ability to develop commercially viable products without infringing the proprietary rights of others. Although we have not been subject to any filed infringement claims, other patents could exist or could be filed which would prohibit or limit our ability to market our products or maintain our competitive position. In the event of an intellectual property dispute, we may be forced to litigate. Intellectual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property litigation would divert management’s attention from developing our products and would force us to incur substantial costs regardless of whether we are successful. An adverse outcome could subject us to significant liabilities to third parties, and force us to curtail or cease the development and sale of our products and processes.</w:t>
      </w:r>
    </w:p>
    <w:p>
      <w:pPr>
        <w:spacing w:after="0" w:line="188" w:lineRule="exact"/>
        <w:rPr>
          <w:sz w:val="20"/>
          <w:szCs w:val="20"/>
          <w:color w:val="auto"/>
        </w:rPr>
      </w:pPr>
    </w:p>
    <w:p>
      <w:pPr>
        <w:ind w:right="640"/>
        <w:spacing w:after="0" w:line="339" w:lineRule="auto"/>
        <w:rPr>
          <w:sz w:val="20"/>
          <w:szCs w:val="20"/>
          <w:color w:val="auto"/>
        </w:rPr>
      </w:pPr>
      <w:r>
        <w:rPr>
          <w:rFonts w:ascii="Arial" w:cs="Arial" w:eastAsia="Arial" w:hAnsi="Arial"/>
          <w:sz w:val="16"/>
          <w:szCs w:val="16"/>
          <w:b w:val="1"/>
          <w:bCs w:val="1"/>
          <w:color w:val="auto"/>
        </w:rPr>
        <w:t>The government maintains certain rights in technology that we develop using government grant money and we may lose the revenues from such technology if we do not commercialize and utilize the technology pursuant to established government guidelines.</w:t>
      </w:r>
    </w:p>
    <w:p>
      <w:pPr>
        <w:spacing w:after="0" w:line="134" w:lineRule="exact"/>
        <w:rPr>
          <w:sz w:val="20"/>
          <w:szCs w:val="20"/>
          <w:color w:val="auto"/>
        </w:rPr>
      </w:pPr>
    </w:p>
    <w:p>
      <w:pPr>
        <w:ind w:right="120" w:firstLine="220"/>
        <w:spacing w:after="0" w:line="256" w:lineRule="auto"/>
        <w:rPr>
          <w:sz w:val="20"/>
          <w:szCs w:val="20"/>
          <w:color w:val="auto"/>
        </w:rPr>
      </w:pPr>
      <w:r>
        <w:rPr>
          <w:rFonts w:ascii="Arial" w:cs="Arial" w:eastAsia="Arial" w:hAnsi="Arial"/>
          <w:sz w:val="18"/>
          <w:szCs w:val="18"/>
          <w:color w:val="auto"/>
        </w:rPr>
        <w:t>Certain of our and our licensors’ research have been or are being funded in part by government grants. As a result of such funding, the U.S. Government has certain rights in the technology developed with the grant. These rights include a non-exclusive, paid-up, world-wide license to use the technology for any governmental purpose. In addition, the government has the right to require us to grant an exclusive license to use the developed technology to a third party if the government determines that:</w:t>
      </w:r>
    </w:p>
    <w:p>
      <w:pPr>
        <w:spacing w:after="0" w:line="197" w:lineRule="exact"/>
        <w:rPr>
          <w:sz w:val="20"/>
          <w:szCs w:val="20"/>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not taken adequate steps to commercialize such technology;</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action is necessary to meet public health or safety needs; or</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action is necessary to meet requirements for public use under federal regulations.</w:t>
      </w:r>
    </w:p>
    <w:p>
      <w:pPr>
        <w:spacing w:after="0" w:line="22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In these instances, we would not receive revenues on the products we developed. Additionally, technology that was partially funded by a federal research grant is subject to the following government rights:</w:t>
      </w:r>
    </w:p>
    <w:p>
      <w:pPr>
        <w:spacing w:after="0" w:line="186" w:lineRule="exact"/>
        <w:rPr>
          <w:sz w:val="20"/>
          <w:szCs w:val="20"/>
          <w:color w:val="auto"/>
        </w:rPr>
      </w:pPr>
    </w:p>
    <w:p>
      <w:pPr>
        <w:ind w:left="820" w:right="640" w:hanging="461"/>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products using the technology which are sold in the United States are to be manufactured substantially in the United States, unless a waiver is obtained;</w:t>
      </w:r>
    </w:p>
    <w:p>
      <w:pPr>
        <w:spacing w:after="0" w:line="185" w:lineRule="exact"/>
        <w:rPr>
          <w:rFonts w:ascii="Arial" w:cs="Arial" w:eastAsia="Arial" w:hAnsi="Arial"/>
          <w:sz w:val="18"/>
          <w:szCs w:val="18"/>
          <w:color w:val="auto"/>
        </w:rPr>
      </w:pPr>
    </w:p>
    <w:p>
      <w:pPr>
        <w:ind w:left="820" w:right="680" w:hanging="461"/>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government may force the granting of a license to a third party who will make and sell the needed product if we do not pursue reasonable commercialization of a needed product using the technology; and</w:t>
      </w:r>
    </w:p>
    <w:p>
      <w:pPr>
        <w:spacing w:after="0" w:line="185" w:lineRule="exact"/>
        <w:rPr>
          <w:rFonts w:ascii="Arial" w:cs="Arial" w:eastAsia="Arial" w:hAnsi="Arial"/>
          <w:sz w:val="18"/>
          <w:szCs w:val="18"/>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Government may use the technology for its own needs.</w:t>
      </w:r>
    </w:p>
    <w:p>
      <w:pPr>
        <w:spacing w:after="0" w:line="225" w:lineRule="exact"/>
        <w:rPr>
          <w:sz w:val="20"/>
          <w:szCs w:val="20"/>
          <w:color w:val="auto"/>
        </w:rPr>
      </w:pPr>
    </w:p>
    <w:p>
      <w:pPr>
        <w:ind w:right="280" w:firstLine="220"/>
        <w:spacing w:after="0" w:line="268" w:lineRule="auto"/>
        <w:rPr>
          <w:sz w:val="20"/>
          <w:szCs w:val="20"/>
          <w:color w:val="auto"/>
        </w:rPr>
      </w:pPr>
      <w:r>
        <w:rPr>
          <w:rFonts w:ascii="Arial" w:cs="Arial" w:eastAsia="Arial" w:hAnsi="Arial"/>
          <w:sz w:val="18"/>
          <w:szCs w:val="18"/>
          <w:color w:val="auto"/>
        </w:rPr>
        <w:t>If we fail to meet these guidelines, we would lose our exclusive rights to these products and we would lose potential revenue derived from the sale of these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for our products will be heavily dependent on third party reimbursement policies.</w:t>
      </w:r>
    </w:p>
    <w:p>
      <w:pPr>
        <w:spacing w:after="0" w:line="231"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Our ability to successfully commercialize our product candidates will depend on the extent to which government healthcare programs, such as Medicare and Medicaid, as well as private health insurers, health maintenance organizations and other third party payors will pay for our products and related treatments. Reimbursement by third party payors depends on a number of factors, including the payor’s determination that use of the product is safe and effective, not experimental or investigational, medically necessary, appropriate for the specific patient and cost-effective. Reimbursement in the United States or foreign countries may not be available or maintained for any of our product candidates. If we do not obtain approvals for adequate third party reimbursements, we may not be able to establish or maintain price levels sufficient to realize an appropriate return on our investment in product development. Any limits on reimbursement available from third party payors may reduce the demand for, or negatively affect the price of, our products. For example, in the past, published studies have suggested that stem cell transplantation for breast cancer, that constituted a significant portion of the overall stem cell therapy market, at the time, may have limited clinical benefit. The lack of reimbursement for these procedures by insurance payors would negatively affect the marketability of our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product liability claims could affect our earnings and financial condition.</w:t>
      </w:r>
    </w:p>
    <w:p>
      <w:pPr>
        <w:spacing w:after="0" w:line="231" w:lineRule="exact"/>
        <w:rPr>
          <w:sz w:val="20"/>
          <w:szCs w:val="20"/>
          <w:color w:val="auto"/>
        </w:rPr>
      </w:pPr>
    </w:p>
    <w:p>
      <w:pPr>
        <w:ind w:firstLine="216"/>
        <w:spacing w:after="0" w:line="298" w:lineRule="auto"/>
        <w:rPr>
          <w:sz w:val="20"/>
          <w:szCs w:val="20"/>
          <w:color w:val="auto"/>
        </w:rPr>
      </w:pPr>
      <w:r>
        <w:rPr>
          <w:rFonts w:ascii="Arial" w:cs="Arial" w:eastAsia="Arial" w:hAnsi="Arial"/>
          <w:sz w:val="16"/>
          <w:szCs w:val="16"/>
          <w:color w:val="auto"/>
        </w:rPr>
        <w:t>We face an inherent business risk of exposure to product liability claims in the event that the use of the AastromReplicell™ System during research and development efforts, including clinical trials, or after commercialization results in adverse affects. As a result, we may incur significant product liability exposure, which could exceed existing insurance coverage. We may not be able to maintain adequate levels of insurance at reasonable cost and/or reasonable terms. Excessive insurance costs or uninsured claims would increase our operating loss and affect our financial condition.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documents and Michigan law contain provisions that may make it more difficult for us to be acquired.</w:t>
      </w:r>
    </w:p>
    <w:p>
      <w:pPr>
        <w:spacing w:after="0" w:line="231" w:lineRule="exact"/>
        <w:rPr>
          <w:sz w:val="20"/>
          <w:szCs w:val="20"/>
          <w:color w:val="auto"/>
        </w:rPr>
      </w:pPr>
    </w:p>
    <w:p>
      <w:pPr>
        <w:ind w:right="140" w:firstLine="220"/>
        <w:spacing w:after="0" w:line="298" w:lineRule="auto"/>
        <w:rPr>
          <w:sz w:val="20"/>
          <w:szCs w:val="20"/>
          <w:color w:val="auto"/>
        </w:rPr>
      </w:pPr>
      <w:r>
        <w:rPr>
          <w:rFonts w:ascii="Arial" w:cs="Arial" w:eastAsia="Arial" w:hAnsi="Arial"/>
          <w:sz w:val="16"/>
          <w:szCs w:val="16"/>
          <w:color w:val="auto"/>
        </w:rPr>
        <w:t>Our Board of Directors has the authority, without shareholder approval, to issue additional shares of preferred stock and to fix the rights, preferences, privileges and restrictions of these shares without any further vote or action by our shareholders. This authority, together with certain provisions of our charter documents, may have the affect of making it more difficult for a third party to acquire, or of discouraging a third party from attempting to acquire control of our company. This affect could occur even if our shareholders consider the change in control to be in their best interest.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prospectus and the information incorporated by reference in it contains certain forward-looking statements within the meaning of Section 27A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Section 21E of the Securities Exchange Act. These forward-looking statements include statements regarding:</w:t>
      </w:r>
    </w:p>
    <w:p>
      <w:pPr>
        <w:spacing w:after="0" w:line="219" w:lineRule="exact"/>
        <w:rPr>
          <w:sz w:val="20"/>
          <w:szCs w:val="20"/>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capital needs;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development and marketing plan;</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trial plans and anticipated results;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commercialization plans; 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25" w:lineRule="exact"/>
        <w:rPr>
          <w:sz w:val="20"/>
          <w:szCs w:val="20"/>
          <w:color w:val="auto"/>
        </w:rPr>
      </w:pPr>
    </w:p>
    <w:p>
      <w:pPr>
        <w:ind w:firstLine="216"/>
        <w:spacing w:after="0" w:line="298" w:lineRule="auto"/>
        <w:rPr>
          <w:sz w:val="20"/>
          <w:szCs w:val="20"/>
          <w:color w:val="auto"/>
        </w:rPr>
      </w:pPr>
      <w:r>
        <w:rPr>
          <w:rFonts w:ascii="Arial" w:cs="Arial" w:eastAsia="Arial" w:hAnsi="Arial"/>
          <w:sz w:val="16"/>
          <w:szCs w:val="16"/>
          <w:color w:val="auto"/>
        </w:rPr>
        <w:t>These statements are subject to risks and uncertainties, including those set forth in this Risk Factors section, and actual results could differ materially from those expressed or implied in these statements. In some cases, you can identify these statements by our use of forward-looking words such as “may,” “will,” “should,” “anticipate,” “estimate,” “plan,” “believe,” “predict,” “potential,” or “intend.” All forward-looking statements included in this registration statement are made as of the date hereof. We assume no obligation to update any such forward-looking statement or reason why actual results might differ.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216"/>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You may read and copy any document we file at the SEC’s public reference rooms located at 450 Fifth Street, N.W., Washington, D.C. 20549. Please call the SEC at 1-800-SEC-0330 for further information on the public reference rooms. Our filings with the SEC are also available to the public on the SEC’s Internet web site at http://www.sec.gov.</w:t>
      </w:r>
    </w:p>
    <w:p>
      <w:pPr>
        <w:spacing w:after="0" w:line="161"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that we file with the SEC later will automatically update and supersede the information in this prospectus or incorporated by reference. The following documents filed by us (and any future filings made by us with the SEC under Section 13(a), 13(c), 14, or 15(d) of the Securities Exchange Act of 1934 until we sell all of the common stock offered hereby) are incorporated by reference in this prospectus:</w:t>
      </w:r>
    </w:p>
    <w:p>
      <w:pPr>
        <w:spacing w:after="0" w:line="19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June 30, 2002;</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September 30, 2002, December 31, 2002, and March 31, 2003;</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Reports on Form 8-K filed with SEC on November 27, 2002, May 30, 2003, June 10, 2003 and July 10, 2003; and</w:t>
      </w:r>
    </w:p>
    <w:p>
      <w:pPr>
        <w:spacing w:after="0" w:line="225"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with the SEC on April 11, 1997 (Commission File No.: 000-22025).</w:t>
      </w:r>
    </w:p>
    <w:p>
      <w:pPr>
        <w:spacing w:after="0" w:line="186" w:lineRule="exact"/>
        <w:rPr>
          <w:sz w:val="20"/>
          <w:szCs w:val="20"/>
          <w:color w:val="auto"/>
        </w:rPr>
      </w:pPr>
    </w:p>
    <w:p>
      <w:pPr>
        <w:ind w:right="120" w:firstLine="220"/>
        <w:spacing w:after="0" w:line="259" w:lineRule="auto"/>
        <w:rPr>
          <w:sz w:val="20"/>
          <w:szCs w:val="20"/>
          <w:color w:val="auto"/>
        </w:rPr>
      </w:pPr>
      <w:r>
        <w:rPr>
          <w:rFonts w:ascii="Arial" w:cs="Arial" w:eastAsia="Arial" w:hAnsi="Arial"/>
          <w:sz w:val="18"/>
          <w:szCs w:val="18"/>
          <w:color w:val="auto"/>
        </w:rPr>
        <w:t>In addition, we will deliver without charge a copy of any of the information incorporated by reference into this prospectus to each person (including a beneficial owner) receiving a copy of this prospectus. If you need a copy of these documents, you may request copies, at no cost, by writing or telephoning us at the following address: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Aastrom Biosciences,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 Frank Lloyd Wright Drive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 Arbor, MI 48105</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Number: (734) 930-5555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40" w:firstLine="655"/>
        <w:spacing w:after="0" w:line="306" w:lineRule="auto"/>
        <w:rPr>
          <w:sz w:val="20"/>
          <w:szCs w:val="20"/>
          <w:color w:val="auto"/>
        </w:rPr>
      </w:pPr>
      <w:r>
        <w:rPr>
          <w:rFonts w:ascii="Arial" w:cs="Arial" w:eastAsia="Arial" w:hAnsi="Arial"/>
          <w:sz w:val="16"/>
          <w:szCs w:val="16"/>
          <w:color w:val="auto"/>
        </w:rPr>
        <w:t>This prospectus relates to the offering by the selling shareholders named below of up to 9,397,937 shares of common stock. In addition to the 6,817,936 shares of common stock currently owned, the selling shareholders may acquire up to an additional 2,580,001 shares upon exercise, from time to time, of the warrants that they hold. The table below sets forth the following information with respect to the selling shareholders as of July 31, 2003:</w:t>
      </w:r>
    </w:p>
    <w:p>
      <w:pPr>
        <w:spacing w:after="0" w:line="161" w:lineRule="exact"/>
        <w:rPr>
          <w:sz w:val="20"/>
          <w:szCs w:val="20"/>
          <w:color w:val="auto"/>
        </w:rPr>
      </w:pPr>
    </w:p>
    <w:p>
      <w:pPr>
        <w:jc w:val="both"/>
        <w:ind w:left="1160" w:hanging="463"/>
        <w:spacing w:after="0" w:line="306"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Aastrom’s outstanding shares of common stock beneficially owned by each selling shareholder (including shares obtainable under options or warrants exercisable within sixty days of such date) prior to the offering hereby. (However, the selling shareholders may have acquired additional shares or sold or otherwise disposed of some portion of their shares since that date.);</w:t>
      </w:r>
    </w:p>
    <w:p>
      <w:pPr>
        <w:spacing w:after="0" w:line="160" w:lineRule="exact"/>
        <w:rPr>
          <w:rFonts w:ascii="Arial" w:cs="Arial" w:eastAsia="Arial" w:hAnsi="Arial"/>
          <w:sz w:val="16"/>
          <w:szCs w:val="16"/>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such shares being offered hereby; and</w:t>
      </w:r>
    </w:p>
    <w:p>
      <w:pPr>
        <w:spacing w:after="0" w:line="225" w:lineRule="exact"/>
        <w:rPr>
          <w:rFonts w:ascii="Arial" w:cs="Arial" w:eastAsia="Arial" w:hAnsi="Arial"/>
          <w:sz w:val="18"/>
          <w:szCs w:val="18"/>
          <w:color w:val="auto"/>
        </w:rPr>
      </w:pPr>
    </w:p>
    <w:p>
      <w:pPr>
        <w:ind w:left="1160" w:right="660" w:hanging="463"/>
        <w:spacing w:after="0" w:line="268"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percentage of Aastrom’s outstanding shares of common stock to be beneficially owned by each selling shareholder after completion of the sale of common stock being offered hereby.</w:t>
      </w:r>
    </w:p>
    <w:p>
      <w:pPr>
        <w:spacing w:after="0" w:line="186" w:lineRule="exact"/>
        <w:rPr>
          <w:sz w:val="20"/>
          <w:szCs w:val="20"/>
          <w:color w:val="auto"/>
        </w:rPr>
      </w:pPr>
    </w:p>
    <w:p>
      <w:pPr>
        <w:ind w:right="20" w:firstLine="658"/>
        <w:spacing w:after="0" w:line="259" w:lineRule="auto"/>
        <w:rPr>
          <w:sz w:val="20"/>
          <w:szCs w:val="20"/>
          <w:color w:val="auto"/>
        </w:rPr>
      </w:pPr>
      <w:r>
        <w:rPr>
          <w:rFonts w:ascii="Arial" w:cs="Arial" w:eastAsia="Arial" w:hAnsi="Arial"/>
          <w:sz w:val="18"/>
          <w:szCs w:val="18"/>
          <w:color w:val="auto"/>
        </w:rPr>
        <w:t>Except as set forth in the footnotes to the following table, no selling shareholder has held a position or office or had a material relationship with us within the past three years, other than as an owner of our securities. We cannot be sure that any selling shareholder will exercise any of the warrants or sell any or all of the shares offered hereby.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Shares</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Aastrom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Owned</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6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Such Shares</w:t>
            </w:r>
          </w:p>
        </w:tc>
        <w:tc>
          <w:tcPr>
            <w:tcW w:w="46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After the</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After 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ind w:left="1200"/>
              <w:spacing w:after="0"/>
              <w:rPr>
                <w:sz w:val="20"/>
                <w:szCs w:val="20"/>
                <w:color w:val="auto"/>
              </w:rPr>
            </w:pPr>
            <w:r>
              <w:rPr>
                <w:rFonts w:ascii="Arial" w:cs="Arial" w:eastAsia="Arial" w:hAnsi="Arial"/>
                <w:sz w:val="14"/>
                <w:szCs w:val="14"/>
                <w:b w:val="1"/>
                <w:bCs w:val="1"/>
                <w:color w:val="auto"/>
              </w:rPr>
              <w:t>Selling Shareholders</w:t>
            </w:r>
          </w:p>
        </w:tc>
        <w:tc>
          <w:tcPr>
            <w:tcW w:w="46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46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46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Offering</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Musculoskeletal Transplant</w:t>
            </w:r>
          </w:p>
        </w:tc>
        <w:tc>
          <w:tcPr>
            <w:tcW w:w="2740" w:type="dxa"/>
            <w:vAlign w:val="bottom"/>
            <w:gridSpan w:val="2"/>
            <w:shd w:val="clear" w:color="auto" w:fill="EEEEEE"/>
          </w:tcPr>
          <w:p>
            <w:pPr>
              <w:jc w:val="right"/>
              <w:ind w:right="792"/>
              <w:spacing w:after="0"/>
              <w:rPr>
                <w:sz w:val="20"/>
                <w:szCs w:val="20"/>
                <w:color w:val="auto"/>
              </w:rPr>
            </w:pPr>
            <w:r>
              <w:rPr>
                <w:rFonts w:ascii="Arial" w:cs="Arial" w:eastAsia="Arial" w:hAnsi="Arial"/>
                <w:sz w:val="18"/>
                <w:szCs w:val="18"/>
                <w:color w:val="auto"/>
              </w:rPr>
              <w:t>1,759,112</w:t>
            </w:r>
          </w:p>
        </w:tc>
        <w:tc>
          <w:tcPr>
            <w:tcW w:w="272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1,759,112</w:t>
            </w:r>
          </w:p>
        </w:tc>
        <w:tc>
          <w:tcPr>
            <w:tcW w:w="11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0</w:t>
            </w: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Foundation, Inc. (1)</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125 May Street</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Edison, NJ 08837</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Attn: Michael J. Kawas</w:t>
            </w:r>
          </w:p>
        </w:tc>
        <w:tc>
          <w:tcPr>
            <w:tcW w:w="460" w:type="dxa"/>
            <w:vAlign w:val="bottom"/>
            <w:shd w:val="clear" w:color="auto" w:fill="EEEEEE"/>
          </w:tcPr>
          <w:p>
            <w:pPr>
              <w:spacing w:after="0"/>
              <w:rPr>
                <w:sz w:val="19"/>
                <w:szCs w:val="19"/>
                <w:color w:val="auto"/>
              </w:rPr>
            </w:pPr>
          </w:p>
        </w:tc>
        <w:tc>
          <w:tcPr>
            <w:tcW w:w="22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Portside Growth &amp; Opportunity Fund (2)</w:t>
            </w:r>
          </w:p>
        </w:tc>
        <w:tc>
          <w:tcPr>
            <w:tcW w:w="2740" w:type="dxa"/>
            <w:vAlign w:val="bottom"/>
            <w:gridSpan w:val="2"/>
          </w:tcPr>
          <w:p>
            <w:pPr>
              <w:jc w:val="right"/>
              <w:ind w:right="592"/>
              <w:spacing w:after="0"/>
              <w:rPr>
                <w:sz w:val="20"/>
                <w:szCs w:val="20"/>
                <w:color w:val="auto"/>
              </w:rPr>
            </w:pPr>
            <w:r>
              <w:rPr>
                <w:rFonts w:ascii="Arial" w:cs="Arial" w:eastAsia="Arial" w:hAnsi="Arial"/>
                <w:sz w:val="18"/>
                <w:szCs w:val="18"/>
                <w:color w:val="auto"/>
              </w:rPr>
              <w:t>1,705,883(3)</w:t>
            </w:r>
          </w:p>
        </w:tc>
        <w:tc>
          <w:tcPr>
            <w:tcW w:w="2720" w:type="dxa"/>
            <w:vAlign w:val="bottom"/>
            <w:gridSpan w:val="2"/>
          </w:tcPr>
          <w:p>
            <w:pPr>
              <w:jc w:val="right"/>
              <w:ind w:right="572"/>
              <w:spacing w:after="0"/>
              <w:rPr>
                <w:sz w:val="20"/>
                <w:szCs w:val="20"/>
                <w:color w:val="auto"/>
              </w:rPr>
            </w:pPr>
            <w:r>
              <w:rPr>
                <w:rFonts w:ascii="Arial" w:cs="Arial" w:eastAsia="Arial" w:hAnsi="Arial"/>
                <w:sz w:val="18"/>
                <w:szCs w:val="18"/>
                <w:color w:val="auto"/>
              </w:rPr>
              <w:t>1,705,883(3)</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Ramius Capital Group, LLC</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666 3rd Avenue</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26th Floor</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Attn: Jeffrey Smith</w:t>
            </w: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Omicron Master Trust (4)</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c/o Omicron Capital L.P.</w:t>
            </w:r>
          </w:p>
        </w:tc>
        <w:tc>
          <w:tcPr>
            <w:tcW w:w="274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1,023,529(5)</w:t>
            </w:r>
          </w:p>
        </w:tc>
        <w:tc>
          <w:tcPr>
            <w:tcW w:w="272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1,023,529(5)</w:t>
            </w:r>
          </w:p>
        </w:tc>
        <w:tc>
          <w:tcPr>
            <w:tcW w:w="11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0</w:t>
            </w: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810 Seventh Avenue</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39th Floor</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New York, NY 10019</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Attn: Brian Daly</w:t>
            </w:r>
          </w:p>
        </w:tc>
        <w:tc>
          <w:tcPr>
            <w:tcW w:w="460" w:type="dxa"/>
            <w:vAlign w:val="bottom"/>
            <w:shd w:val="clear" w:color="auto" w:fill="EEEEEE"/>
          </w:tcPr>
          <w:p>
            <w:pPr>
              <w:spacing w:after="0"/>
              <w:rPr>
                <w:sz w:val="19"/>
                <w:szCs w:val="19"/>
                <w:color w:val="auto"/>
              </w:rPr>
            </w:pPr>
          </w:p>
        </w:tc>
        <w:tc>
          <w:tcPr>
            <w:tcW w:w="22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Smithfield Fiduciary, LLC (6)</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Highbridge Capital Management</w:t>
            </w:r>
          </w:p>
        </w:tc>
        <w:tc>
          <w:tcPr>
            <w:tcW w:w="2740" w:type="dxa"/>
            <w:vAlign w:val="bottom"/>
            <w:gridSpan w:val="2"/>
          </w:tcPr>
          <w:p>
            <w:pPr>
              <w:jc w:val="right"/>
              <w:ind w:right="592"/>
              <w:spacing w:after="0"/>
              <w:rPr>
                <w:sz w:val="20"/>
                <w:szCs w:val="20"/>
                <w:color w:val="auto"/>
              </w:rPr>
            </w:pPr>
            <w:r>
              <w:rPr>
                <w:rFonts w:ascii="Arial" w:cs="Arial" w:eastAsia="Arial" w:hAnsi="Arial"/>
                <w:sz w:val="18"/>
                <w:szCs w:val="18"/>
                <w:color w:val="auto"/>
              </w:rPr>
              <w:t>852,941(7)</w:t>
            </w:r>
          </w:p>
        </w:tc>
        <w:tc>
          <w:tcPr>
            <w:tcW w:w="2720" w:type="dxa"/>
            <w:vAlign w:val="bottom"/>
            <w:gridSpan w:val="2"/>
          </w:tcPr>
          <w:p>
            <w:pPr>
              <w:jc w:val="right"/>
              <w:ind w:right="572"/>
              <w:spacing w:after="0"/>
              <w:rPr>
                <w:sz w:val="20"/>
                <w:szCs w:val="20"/>
                <w:color w:val="auto"/>
              </w:rPr>
            </w:pPr>
            <w:r>
              <w:rPr>
                <w:rFonts w:ascii="Arial" w:cs="Arial" w:eastAsia="Arial" w:hAnsi="Arial"/>
                <w:sz w:val="18"/>
                <w:szCs w:val="18"/>
                <w:color w:val="auto"/>
              </w:rPr>
              <w:t>852,941(7)</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9 West 57th Street</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27th Floor</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Cranshire Capital, L.P. (8)</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Downsview Capital</w:t>
            </w:r>
          </w:p>
        </w:tc>
        <w:tc>
          <w:tcPr>
            <w:tcW w:w="2740" w:type="dxa"/>
            <w:vAlign w:val="bottom"/>
            <w:gridSpan w:val="2"/>
            <w:shd w:val="clear" w:color="auto" w:fill="EEEEEE"/>
          </w:tcPr>
          <w:p>
            <w:pPr>
              <w:jc w:val="right"/>
              <w:ind w:right="592"/>
              <w:spacing w:after="0"/>
              <w:rPr>
                <w:sz w:val="20"/>
                <w:szCs w:val="20"/>
                <w:color w:val="auto"/>
              </w:rPr>
            </w:pPr>
            <w:r>
              <w:rPr>
                <w:rFonts w:ascii="Arial" w:cs="Arial" w:eastAsia="Arial" w:hAnsi="Arial"/>
                <w:sz w:val="18"/>
                <w:szCs w:val="18"/>
                <w:color w:val="auto"/>
              </w:rPr>
              <w:t>852,941(7)</w:t>
            </w:r>
          </w:p>
        </w:tc>
        <w:tc>
          <w:tcPr>
            <w:tcW w:w="2720" w:type="dxa"/>
            <w:vAlign w:val="bottom"/>
            <w:gridSpan w:val="2"/>
            <w:shd w:val="clear" w:color="auto" w:fill="EEEEEE"/>
          </w:tcPr>
          <w:p>
            <w:pPr>
              <w:jc w:val="right"/>
              <w:ind w:right="572"/>
              <w:spacing w:after="0"/>
              <w:rPr>
                <w:sz w:val="20"/>
                <w:szCs w:val="20"/>
                <w:color w:val="auto"/>
              </w:rPr>
            </w:pPr>
            <w:r>
              <w:rPr>
                <w:rFonts w:ascii="Arial" w:cs="Arial" w:eastAsia="Arial" w:hAnsi="Arial"/>
                <w:sz w:val="18"/>
                <w:szCs w:val="18"/>
                <w:color w:val="auto"/>
              </w:rPr>
              <w:t>852,941(7)</w:t>
            </w:r>
          </w:p>
        </w:tc>
        <w:tc>
          <w:tcPr>
            <w:tcW w:w="11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0</w:t>
            </w: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666 Dundee Road</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Suite 1901</w:t>
            </w:r>
          </w:p>
        </w:tc>
        <w:tc>
          <w:tcPr>
            <w:tcW w:w="46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Northbrook, IL 60062</w:t>
            </w:r>
          </w:p>
        </w:tc>
        <w:tc>
          <w:tcPr>
            <w:tcW w:w="460" w:type="dxa"/>
            <w:vAlign w:val="bottom"/>
            <w:shd w:val="clear" w:color="auto" w:fill="EEEEEE"/>
          </w:tcPr>
          <w:p>
            <w:pPr>
              <w:spacing w:after="0"/>
              <w:rPr>
                <w:sz w:val="19"/>
                <w:szCs w:val="19"/>
                <w:color w:val="auto"/>
              </w:rPr>
            </w:pPr>
          </w:p>
        </w:tc>
        <w:tc>
          <w:tcPr>
            <w:tcW w:w="22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22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Gryphon Master Fund, L.P. (9)</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Gryphon Partners, L.P.</w:t>
            </w:r>
          </w:p>
        </w:tc>
        <w:tc>
          <w:tcPr>
            <w:tcW w:w="2740" w:type="dxa"/>
            <w:vAlign w:val="bottom"/>
            <w:gridSpan w:val="2"/>
          </w:tcPr>
          <w:p>
            <w:pPr>
              <w:jc w:val="right"/>
              <w:ind w:right="592"/>
              <w:spacing w:after="0"/>
              <w:rPr>
                <w:sz w:val="20"/>
                <w:szCs w:val="20"/>
                <w:color w:val="auto"/>
              </w:rPr>
            </w:pPr>
            <w:r>
              <w:rPr>
                <w:rFonts w:ascii="Arial" w:cs="Arial" w:eastAsia="Arial" w:hAnsi="Arial"/>
                <w:sz w:val="18"/>
                <w:szCs w:val="18"/>
                <w:color w:val="auto"/>
              </w:rPr>
              <w:t>852,941(7)</w:t>
            </w:r>
          </w:p>
        </w:tc>
        <w:tc>
          <w:tcPr>
            <w:tcW w:w="2720" w:type="dxa"/>
            <w:vAlign w:val="bottom"/>
            <w:gridSpan w:val="2"/>
          </w:tcPr>
          <w:p>
            <w:pPr>
              <w:jc w:val="right"/>
              <w:ind w:right="572"/>
              <w:spacing w:after="0"/>
              <w:rPr>
                <w:sz w:val="20"/>
                <w:szCs w:val="20"/>
                <w:color w:val="auto"/>
              </w:rPr>
            </w:pPr>
            <w:r>
              <w:rPr>
                <w:rFonts w:ascii="Arial" w:cs="Arial" w:eastAsia="Arial" w:hAnsi="Arial"/>
                <w:sz w:val="18"/>
                <w:szCs w:val="18"/>
                <w:color w:val="auto"/>
              </w:rPr>
              <w:t>852,941(7)</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500 Crescent Court</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Suite 270</w:t>
            </w: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Dallas, TX 75201</w:t>
            </w:r>
          </w:p>
        </w:tc>
        <w:tc>
          <w:tcPr>
            <w:tcW w:w="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40" w:type="dxa"/>
            <w:vAlign w:val="bottom"/>
            <w:gridSpan w:val="2"/>
          </w:tcPr>
          <w:p>
            <w:pPr>
              <w:jc w:val="right"/>
              <w:ind w:right="492"/>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Shares</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Aastrom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Owned</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Stock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Beneficially</w:t>
            </w:r>
          </w:p>
        </w:tc>
        <w:tc>
          <w:tcPr>
            <w:tcW w:w="480" w:type="dxa"/>
            <w:vAlign w:val="bottom"/>
          </w:tcPr>
          <w:p>
            <w:pPr>
              <w:spacing w:after="0"/>
              <w:rPr>
                <w:sz w:val="12"/>
                <w:szCs w:val="12"/>
                <w:color w:val="auto"/>
              </w:rPr>
            </w:pPr>
          </w:p>
        </w:tc>
        <w:tc>
          <w:tcPr>
            <w:tcW w:w="222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Such Shares</w:t>
            </w:r>
          </w:p>
        </w:tc>
        <w:tc>
          <w:tcPr>
            <w:tcW w:w="46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After the</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After 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ind w:left="1240"/>
              <w:spacing w:after="0"/>
              <w:rPr>
                <w:sz w:val="20"/>
                <w:szCs w:val="20"/>
                <w:color w:val="auto"/>
              </w:rPr>
            </w:pPr>
            <w:r>
              <w:rPr>
                <w:rFonts w:ascii="Arial" w:cs="Arial" w:eastAsia="Arial" w:hAnsi="Arial"/>
                <w:sz w:val="14"/>
                <w:szCs w:val="14"/>
                <w:b w:val="1"/>
                <w:bCs w:val="1"/>
                <w:color w:val="auto"/>
              </w:rPr>
              <w:t>Selling Shareholders</w:t>
            </w:r>
          </w:p>
        </w:tc>
        <w:tc>
          <w:tcPr>
            <w:tcW w:w="4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48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460" w:type="dxa"/>
            <w:vAlign w:val="bottom"/>
          </w:tcPr>
          <w:p>
            <w:pPr>
              <w:spacing w:after="0"/>
              <w:rPr>
                <w:sz w:val="15"/>
                <w:szCs w:val="15"/>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Offering</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Deutsche Bank AG, London Branch (10)</w:t>
            </w:r>
          </w:p>
        </w:tc>
        <w:tc>
          <w:tcPr>
            <w:tcW w:w="2680" w:type="dxa"/>
            <w:vAlign w:val="bottom"/>
            <w:gridSpan w:val="2"/>
            <w:shd w:val="clear" w:color="auto" w:fill="EEEEEE"/>
          </w:tcPr>
          <w:p>
            <w:pPr>
              <w:ind w:left="1220"/>
              <w:spacing w:after="0"/>
              <w:rPr>
                <w:sz w:val="20"/>
                <w:szCs w:val="20"/>
                <w:color w:val="auto"/>
              </w:rPr>
            </w:pPr>
            <w:r>
              <w:rPr>
                <w:rFonts w:ascii="Arial" w:cs="Arial" w:eastAsia="Arial" w:hAnsi="Arial"/>
                <w:sz w:val="18"/>
                <w:szCs w:val="18"/>
                <w:color w:val="auto"/>
              </w:rPr>
              <w:t>852,941(7)</w:t>
            </w:r>
          </w:p>
        </w:tc>
        <w:tc>
          <w:tcPr>
            <w:tcW w:w="2700" w:type="dxa"/>
            <w:vAlign w:val="bottom"/>
            <w:gridSpan w:val="2"/>
            <w:shd w:val="clear" w:color="auto" w:fill="EEEEEE"/>
          </w:tcPr>
          <w:p>
            <w:pPr>
              <w:ind w:left="1240"/>
              <w:spacing w:after="0"/>
              <w:rPr>
                <w:sz w:val="20"/>
                <w:szCs w:val="20"/>
                <w:color w:val="auto"/>
              </w:rPr>
            </w:pPr>
            <w:r>
              <w:rPr>
                <w:rFonts w:ascii="Arial" w:cs="Arial" w:eastAsia="Arial" w:hAnsi="Arial"/>
                <w:sz w:val="18"/>
                <w:szCs w:val="18"/>
                <w:color w:val="auto"/>
              </w:rPr>
              <w:t>852,941(7)</w:t>
            </w:r>
          </w:p>
        </w:tc>
        <w:tc>
          <w:tcPr>
            <w:tcW w:w="11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0</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8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DB Advisors, LLC</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31 West 52nd Street</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16th Floor</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New York, NY 10019</w:t>
            </w:r>
          </w:p>
        </w:tc>
        <w:tc>
          <w:tcPr>
            <w:tcW w:w="480" w:type="dxa"/>
            <w:vAlign w:val="bottom"/>
            <w:shd w:val="clear" w:color="auto" w:fill="EEEEEE"/>
          </w:tcPr>
          <w:p>
            <w:pPr>
              <w:spacing w:after="0"/>
              <w:rPr>
                <w:sz w:val="19"/>
                <w:szCs w:val="19"/>
                <w:color w:val="auto"/>
              </w:rPr>
            </w:pPr>
          </w:p>
        </w:tc>
        <w:tc>
          <w:tcPr>
            <w:tcW w:w="220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2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 Tail Wind Fund Ltd. (11)</w:t>
            </w: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c/o Craig Muir Chambers</w:t>
            </w:r>
          </w:p>
        </w:tc>
        <w:tc>
          <w:tcPr>
            <w:tcW w:w="2680" w:type="dxa"/>
            <w:vAlign w:val="bottom"/>
            <w:gridSpan w:val="2"/>
          </w:tcPr>
          <w:p>
            <w:pPr>
              <w:ind w:left="1220"/>
              <w:spacing w:after="0"/>
              <w:rPr>
                <w:sz w:val="20"/>
                <w:szCs w:val="20"/>
                <w:color w:val="auto"/>
              </w:rPr>
            </w:pPr>
            <w:r>
              <w:rPr>
                <w:rFonts w:ascii="Arial" w:cs="Arial" w:eastAsia="Arial" w:hAnsi="Arial"/>
                <w:sz w:val="18"/>
                <w:szCs w:val="18"/>
                <w:color w:val="auto"/>
              </w:rPr>
              <w:t>597,059(12)</w:t>
            </w:r>
          </w:p>
        </w:tc>
        <w:tc>
          <w:tcPr>
            <w:tcW w:w="2700" w:type="dxa"/>
            <w:vAlign w:val="bottom"/>
            <w:gridSpan w:val="2"/>
          </w:tcPr>
          <w:p>
            <w:pPr>
              <w:ind w:left="1240"/>
              <w:spacing w:after="0"/>
              <w:rPr>
                <w:sz w:val="20"/>
                <w:szCs w:val="20"/>
                <w:color w:val="auto"/>
              </w:rPr>
            </w:pPr>
            <w:r>
              <w:rPr>
                <w:rFonts w:ascii="Arial" w:cs="Arial" w:eastAsia="Arial" w:hAnsi="Arial"/>
                <w:sz w:val="18"/>
                <w:szCs w:val="18"/>
                <w:color w:val="auto"/>
              </w:rPr>
              <w:t>597,059(12)</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760" w:type="dxa"/>
            <w:vAlign w:val="bottom"/>
          </w:tcPr>
          <w:p>
            <w:pPr>
              <w:jc w:val="right"/>
              <w:ind w:right="18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P.O. Box 71</w:t>
            </w: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Road Town, Tortola</w:t>
            </w: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British Virgin Islands</w:t>
            </w: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OTAPE Investments LLC (13)</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OTATO L.P.</w:t>
            </w:r>
          </w:p>
        </w:tc>
        <w:tc>
          <w:tcPr>
            <w:tcW w:w="2680" w:type="dxa"/>
            <w:vAlign w:val="bottom"/>
            <w:gridSpan w:val="2"/>
            <w:shd w:val="clear" w:color="auto" w:fill="EEEEEE"/>
          </w:tcPr>
          <w:p>
            <w:pPr>
              <w:ind w:left="1220"/>
              <w:spacing w:after="0"/>
              <w:rPr>
                <w:sz w:val="20"/>
                <w:szCs w:val="20"/>
                <w:color w:val="auto"/>
              </w:rPr>
            </w:pPr>
            <w:r>
              <w:rPr>
                <w:rFonts w:ascii="Arial" w:cs="Arial" w:eastAsia="Arial" w:hAnsi="Arial"/>
                <w:sz w:val="18"/>
                <w:szCs w:val="18"/>
                <w:color w:val="auto"/>
              </w:rPr>
              <w:t>426,471(14)</w:t>
            </w:r>
          </w:p>
        </w:tc>
        <w:tc>
          <w:tcPr>
            <w:tcW w:w="2700" w:type="dxa"/>
            <w:vAlign w:val="bottom"/>
            <w:gridSpan w:val="2"/>
            <w:shd w:val="clear" w:color="auto" w:fill="EEEEEE"/>
          </w:tcPr>
          <w:p>
            <w:pPr>
              <w:ind w:left="1240"/>
              <w:spacing w:after="0"/>
              <w:rPr>
                <w:sz w:val="20"/>
                <w:szCs w:val="20"/>
                <w:color w:val="auto"/>
              </w:rPr>
            </w:pPr>
            <w:r>
              <w:rPr>
                <w:rFonts w:ascii="Arial" w:cs="Arial" w:eastAsia="Arial" w:hAnsi="Arial"/>
                <w:sz w:val="18"/>
                <w:szCs w:val="18"/>
                <w:color w:val="auto"/>
              </w:rPr>
              <w:t>426,471(14)</w:t>
            </w:r>
          </w:p>
        </w:tc>
        <w:tc>
          <w:tcPr>
            <w:tcW w:w="11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0</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8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1 Manhattanville Road</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Suite 102</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Purchase, NY 10577</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Attn: Vinny Digeso</w:t>
            </w:r>
          </w:p>
        </w:tc>
        <w:tc>
          <w:tcPr>
            <w:tcW w:w="480" w:type="dxa"/>
            <w:vAlign w:val="bottom"/>
            <w:shd w:val="clear" w:color="auto" w:fill="EEEEEE"/>
          </w:tcPr>
          <w:p>
            <w:pPr>
              <w:spacing w:after="0"/>
              <w:rPr>
                <w:sz w:val="19"/>
                <w:szCs w:val="19"/>
                <w:color w:val="auto"/>
              </w:rPr>
            </w:pPr>
          </w:p>
        </w:tc>
        <w:tc>
          <w:tcPr>
            <w:tcW w:w="220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2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Truk Opportunity Fund, LLC (15)</w:t>
            </w: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45 Rockefeller Plaza</w:t>
            </w:r>
          </w:p>
        </w:tc>
        <w:tc>
          <w:tcPr>
            <w:tcW w:w="2680" w:type="dxa"/>
            <w:vAlign w:val="bottom"/>
            <w:gridSpan w:val="2"/>
          </w:tcPr>
          <w:p>
            <w:pPr>
              <w:ind w:left="1220"/>
              <w:spacing w:after="0"/>
              <w:rPr>
                <w:sz w:val="20"/>
                <w:szCs w:val="20"/>
                <w:color w:val="auto"/>
              </w:rPr>
            </w:pPr>
            <w:r>
              <w:rPr>
                <w:rFonts w:ascii="Arial" w:cs="Arial" w:eastAsia="Arial" w:hAnsi="Arial"/>
                <w:sz w:val="18"/>
                <w:szCs w:val="18"/>
                <w:color w:val="auto"/>
              </w:rPr>
              <w:t>170,588(16)</w:t>
            </w:r>
          </w:p>
        </w:tc>
        <w:tc>
          <w:tcPr>
            <w:tcW w:w="2700" w:type="dxa"/>
            <w:vAlign w:val="bottom"/>
            <w:gridSpan w:val="2"/>
          </w:tcPr>
          <w:p>
            <w:pPr>
              <w:ind w:left="1240"/>
              <w:spacing w:after="0"/>
              <w:rPr>
                <w:sz w:val="20"/>
                <w:szCs w:val="20"/>
                <w:color w:val="auto"/>
              </w:rPr>
            </w:pPr>
            <w:r>
              <w:rPr>
                <w:rFonts w:ascii="Arial" w:cs="Arial" w:eastAsia="Arial" w:hAnsi="Arial"/>
                <w:sz w:val="18"/>
                <w:szCs w:val="18"/>
                <w:color w:val="auto"/>
              </w:rPr>
              <w:t>170,588(16)</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760" w:type="dxa"/>
            <w:vAlign w:val="bottom"/>
          </w:tcPr>
          <w:p>
            <w:pPr>
              <w:jc w:val="right"/>
              <w:ind w:right="18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Suite 2000</w:t>
            </w: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New York, NY 10111</w:t>
            </w: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Attn: Michael E. Fein</w:t>
            </w:r>
          </w:p>
        </w:tc>
        <w:tc>
          <w:tcPr>
            <w:tcW w:w="4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Rodman &amp; Renshaw, Inc. (17)</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330 Madison Ave, 27th Floor</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New York, NY 10017</w:t>
            </w:r>
          </w:p>
        </w:tc>
        <w:tc>
          <w:tcPr>
            <w:tcW w:w="48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Attn: Thomas J. Pinou</w:t>
            </w:r>
          </w:p>
        </w:tc>
        <w:tc>
          <w:tcPr>
            <w:tcW w:w="2680" w:type="dxa"/>
            <w:vAlign w:val="bottom"/>
            <w:gridSpan w:val="2"/>
            <w:shd w:val="clear" w:color="auto" w:fill="EEEEEE"/>
          </w:tcPr>
          <w:p>
            <w:pPr>
              <w:ind w:left="1220"/>
              <w:spacing w:after="0"/>
              <w:rPr>
                <w:sz w:val="20"/>
                <w:szCs w:val="20"/>
                <w:color w:val="auto"/>
              </w:rPr>
            </w:pPr>
            <w:r>
              <w:rPr>
                <w:rFonts w:ascii="Arial" w:cs="Arial" w:eastAsia="Arial" w:hAnsi="Arial"/>
                <w:sz w:val="18"/>
                <w:szCs w:val="18"/>
                <w:color w:val="auto"/>
              </w:rPr>
              <w:t>303,530(18)</w:t>
            </w:r>
          </w:p>
        </w:tc>
        <w:tc>
          <w:tcPr>
            <w:tcW w:w="2700" w:type="dxa"/>
            <w:vAlign w:val="bottom"/>
            <w:gridSpan w:val="2"/>
            <w:shd w:val="clear" w:color="auto" w:fill="EEEEEE"/>
          </w:tcPr>
          <w:p>
            <w:pPr>
              <w:ind w:left="1240"/>
              <w:spacing w:after="0"/>
              <w:rPr>
                <w:sz w:val="20"/>
                <w:szCs w:val="20"/>
                <w:color w:val="auto"/>
              </w:rPr>
            </w:pPr>
            <w:r>
              <w:rPr>
                <w:rFonts w:ascii="Arial" w:cs="Arial" w:eastAsia="Arial" w:hAnsi="Arial"/>
                <w:sz w:val="18"/>
                <w:szCs w:val="18"/>
                <w:color w:val="auto"/>
              </w:rPr>
              <w:t>303,530(18)</w:t>
            </w:r>
          </w:p>
        </w:tc>
        <w:tc>
          <w:tcPr>
            <w:tcW w:w="112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0</w:t>
            </w:r>
          </w:p>
        </w:tc>
        <w:tc>
          <w:tcPr>
            <w:tcW w:w="480" w:type="dxa"/>
            <w:vAlign w:val="bottom"/>
            <w:shd w:val="clear" w:color="auto" w:fill="EEEEEE"/>
          </w:tcPr>
          <w:p>
            <w:pPr>
              <w:spacing w:after="0"/>
              <w:rPr>
                <w:sz w:val="19"/>
                <w:szCs w:val="19"/>
                <w:color w:val="auto"/>
              </w:rPr>
            </w:pPr>
          </w:p>
        </w:tc>
        <w:tc>
          <w:tcPr>
            <w:tcW w:w="760" w:type="dxa"/>
            <w:vAlign w:val="bottom"/>
            <w:shd w:val="clear" w:color="auto" w:fill="EEEEEE"/>
          </w:tcPr>
          <w:p>
            <w:pPr>
              <w:jc w:val="right"/>
              <w:ind w:right="18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225" w:lineRule="exact"/>
        <w:rPr>
          <w:sz w:val="20"/>
          <w:szCs w:val="20"/>
          <w:color w:val="auto"/>
        </w:rPr>
      </w:pPr>
    </w:p>
    <w:p>
      <w:pPr>
        <w:ind w:right="260" w:firstLine="8"/>
        <w:spacing w:after="0" w:line="306" w:lineRule="auto"/>
        <w:tabs>
          <w:tab w:leader="none" w:pos="293" w:val="left"/>
        </w:tabs>
        <w:numPr>
          <w:ilvl w:val="0"/>
          <w:numId w:val="8"/>
        </w:numPr>
        <w:rPr>
          <w:rFonts w:ascii="Arial" w:cs="Arial" w:eastAsia="Arial" w:hAnsi="Arial"/>
          <w:sz w:val="16"/>
          <w:szCs w:val="16"/>
          <w:color w:val="auto"/>
        </w:rPr>
      </w:pPr>
      <w:r>
        <w:rPr>
          <w:rFonts w:ascii="Arial" w:cs="Arial" w:eastAsia="Arial" w:hAnsi="Arial"/>
          <w:sz w:val="16"/>
          <w:szCs w:val="16"/>
          <w:color w:val="auto"/>
        </w:rPr>
        <w:t>Musculoskeletal Transplant Foundation, Inc. is a party to a series of agreements with us to jointly develop and commercialize innovative treatments for the regeneration of tissues such as bone and cartilage. Michael J. Kawas, as Vice President and Chief Financial Officer of this selling shareholder, exercises investment and voting control over the shares. Mr. Kawas disclaims beneficial ownership of the common stock owned by this selling shareholder.</w:t>
      </w:r>
    </w:p>
    <w:p>
      <w:pPr>
        <w:spacing w:after="0" w:line="160" w:lineRule="exact"/>
        <w:rPr>
          <w:rFonts w:ascii="Arial" w:cs="Arial" w:eastAsia="Arial" w:hAnsi="Arial"/>
          <w:sz w:val="16"/>
          <w:szCs w:val="16"/>
          <w:color w:val="auto"/>
        </w:rPr>
      </w:pPr>
    </w:p>
    <w:p>
      <w:pPr>
        <w:ind w:right="100" w:firstLine="8"/>
        <w:spacing w:after="0" w:line="259" w:lineRule="auto"/>
        <w:tabs>
          <w:tab w:leader="none" w:pos="293"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Portside’s investment advisor is Ramius Capital Group, LLC. The managing member of Ramius Capital Group, LLC is C4S &amp; Co. LLC. The managing members of C4S &amp; Co. LLC are Peter Cohen, Thomas Strauss and Morgan Stark. Each of Messrs. Cohen, Strauss and Stark disclaim beneficial ownership of the common stock owned by the selling shareholder.</w:t>
      </w:r>
    </w:p>
    <w:p>
      <w:pPr>
        <w:spacing w:after="0" w:line="194"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529,412 shares of common stock issuable upon exercise of warrants.</w:t>
      </w:r>
    </w:p>
    <w:p>
      <w:pPr>
        <w:spacing w:after="0" w:line="225" w:lineRule="exact"/>
        <w:rPr>
          <w:rFonts w:ascii="Arial" w:cs="Arial" w:eastAsia="Arial" w:hAnsi="Arial"/>
          <w:sz w:val="18"/>
          <w:szCs w:val="18"/>
          <w:color w:val="auto"/>
        </w:rPr>
      </w:pPr>
    </w:p>
    <w:p>
      <w:pPr>
        <w:ind w:right="60" w:firstLine="8"/>
        <w:spacing w:after="0" w:line="285" w:lineRule="auto"/>
        <w:tabs>
          <w:tab w:leader="none" w:pos="293" w:val="left"/>
        </w:tabs>
        <w:numPr>
          <w:ilvl w:val="0"/>
          <w:numId w:val="8"/>
        </w:numPr>
        <w:rPr>
          <w:rFonts w:ascii="Arial" w:cs="Arial" w:eastAsia="Arial" w:hAnsi="Arial"/>
          <w:sz w:val="16"/>
          <w:szCs w:val="16"/>
          <w:color w:val="auto"/>
        </w:rPr>
      </w:pPr>
      <w:r>
        <w:rPr>
          <w:rFonts w:ascii="Arial" w:cs="Arial" w:eastAsia="Arial" w:hAnsi="Arial"/>
          <w:sz w:val="16"/>
          <w:szCs w:val="16"/>
          <w:color w:val="auto"/>
        </w:rPr>
        <w:t>Omicron Capital, L.P., a Delaware limited partnership (“Omicron Capital”), serves as investment manager to Omicron Master Trust, a trust formed under the laws of Bermuda (“Omicron”), Omicron Capital, Inc., a Delaware corporation (“OCI”), serves as general partner of Omicron Capital, and Winchester Global Trust Company Limited (“Winchester”) serves as the trustee of Omicron. By reason of such relationships, Omicron Capital and OCI may be deemed to share dispositive power over the shares of our common stock owned by Omicron, and Winchester may be deemed to share voting and dispositive power over the shares of our common stock owned by Omicron. Omicron Capital, OCI and Winchester disclaim beneficial ownership of such shares of our common stock. Omicron Capital has delegated authority from the board of directors of Winchester regarding the portfolio management decisions with respect to the shares of common stock owned by Omicron and, as of April 21, 2003, Mr. Oliver H. Morali and Mr. Bruce T. Bernstein, officers of OCI, have delegated authority from the board of directors of OCI regarding the portfolio management decisions of Omicron Capital with respect to the shares of common stock owned by Omicron. By reason of such delegated authority, Messrs. Morali and Bernstein may be deemed to share dispositive power over the shares of our common stock owned by Omicron. Messrs. Morali and Bernstein disclaim beneficial ownership of such shares of our common stock and neither of such persons has any legal right to maintain such delegated authority. No other person has sole or shared voting or dispositive power with respect to the shares of our common stock being offered by Omicron, as those terms are used for purposes under Regulation 13D-G of the Securities Exchange Act of 1934, as amended. Omicron and Winchester are not “affiliates” of one another, as that term is used for purposes of the Securities Exchange Act of 1934, as amended, or of any other person named in this prospectus as a selling stockholder. No person or “group” (as that term is used in Section 13(d) of the Securities Exchange Act of 1934, as amended, or the SEC’s Regulation 13D-G) controls Omicron and Winchester.</w:t>
      </w:r>
    </w:p>
    <w:p>
      <w:pPr>
        <w:spacing w:after="0" w:line="180" w:lineRule="exact"/>
        <w:rPr>
          <w:rFonts w:ascii="Arial" w:cs="Arial" w:eastAsia="Arial" w:hAnsi="Arial"/>
          <w:sz w:val="16"/>
          <w:szCs w:val="16"/>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317,647 shares of common stock issuable upon exercise of warrants.</w:t>
      </w:r>
    </w:p>
    <w:p>
      <w:pPr>
        <w:sectPr>
          <w:pgSz w:w="11900" w:h="16838" w:orient="portrait"/>
          <w:cols w:equalWidth="0" w:num="1">
            <w:col w:w="11440"/>
          </w:cols>
          <w:pgMar w:left="240" w:top="419" w:right="21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8"/>
        <w:spacing w:after="0" w:line="259" w:lineRule="auto"/>
        <w:tabs>
          <w:tab w:leader="none" w:pos="293"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Highbridge Capital Management, LLC (“Highbridge”) is the trading manager of Smithfield Fiduciary LLC (“Smithfield”) and consequently has voting control and investment discretion over securities held by Smithfield. Glenn Dubin and Henry Swieca control Highbridge. Each of Highbridge, Glenn Dubin and Henry Swieca disclaims beneficial ownership of the securities held by Smithfield.</w:t>
      </w:r>
    </w:p>
    <w:p>
      <w:pPr>
        <w:spacing w:after="0" w:line="194" w:lineRule="exact"/>
        <w:rPr>
          <w:rFonts w:ascii="Arial" w:cs="Arial" w:eastAsia="Arial" w:hAnsi="Arial"/>
          <w:sz w:val="18"/>
          <w:szCs w:val="18"/>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264,706 shares of common stock issuable upon exercise of warrants.</w:t>
      </w:r>
    </w:p>
    <w:p>
      <w:pPr>
        <w:spacing w:after="0" w:line="225" w:lineRule="exact"/>
        <w:rPr>
          <w:rFonts w:ascii="Arial" w:cs="Arial" w:eastAsia="Arial" w:hAnsi="Arial"/>
          <w:sz w:val="18"/>
          <w:szCs w:val="18"/>
          <w:color w:val="auto"/>
        </w:rPr>
      </w:pPr>
    </w:p>
    <w:p>
      <w:pPr>
        <w:ind w:right="220" w:firstLine="8"/>
        <w:spacing w:after="0" w:line="268" w:lineRule="auto"/>
        <w:tabs>
          <w:tab w:leader="none" w:pos="293" w:val="left"/>
        </w:tabs>
        <w:numPr>
          <w:ilvl w:val="0"/>
          <w:numId w:val="9"/>
        </w:numPr>
        <w:rPr>
          <w:rFonts w:ascii="Arial" w:cs="Arial" w:eastAsia="Arial" w:hAnsi="Arial"/>
          <w:sz w:val="18"/>
          <w:szCs w:val="18"/>
          <w:color w:val="auto"/>
        </w:rPr>
      </w:pPr>
      <w:r>
        <w:rPr>
          <w:rFonts w:ascii="Arial" w:cs="Arial" w:eastAsia="Arial" w:hAnsi="Arial"/>
          <w:sz w:val="18"/>
          <w:szCs w:val="18"/>
          <w:color w:val="auto"/>
        </w:rPr>
        <w:t>Mitchell P. Kopin, as President of Downsview Capital, the general partner of Cranshire Capital, L.P., exercises investment and voting control of the shares. Mr. Kopin disclaims beneficial ownership of the common stock owned by this selling shareholder.</w:t>
      </w:r>
    </w:p>
    <w:p>
      <w:pPr>
        <w:spacing w:after="0" w:line="185" w:lineRule="exact"/>
        <w:rPr>
          <w:rFonts w:ascii="Arial" w:cs="Arial" w:eastAsia="Arial" w:hAnsi="Arial"/>
          <w:sz w:val="18"/>
          <w:szCs w:val="18"/>
          <w:color w:val="auto"/>
        </w:rPr>
      </w:pPr>
    </w:p>
    <w:p>
      <w:pPr>
        <w:ind w:right="360" w:firstLine="8"/>
        <w:spacing w:after="0" w:line="268" w:lineRule="auto"/>
        <w:tabs>
          <w:tab w:leader="none" w:pos="293"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E.B. Lyon IV, as authorized agent for this selling shareholder, exercises investment and voting control over the shares. Mr. Lyon disclaims beneficial ownership of the common stock owned by this selling shareholder.</w:t>
      </w:r>
    </w:p>
    <w:p>
      <w:pPr>
        <w:spacing w:after="0" w:line="185" w:lineRule="exact"/>
        <w:rPr>
          <w:rFonts w:ascii="Arial" w:cs="Arial" w:eastAsia="Arial" w:hAnsi="Arial"/>
          <w:sz w:val="18"/>
          <w:szCs w:val="18"/>
          <w:color w:val="auto"/>
        </w:rPr>
      </w:pPr>
    </w:p>
    <w:p>
      <w:pPr>
        <w:ind w:right="100" w:firstLine="8"/>
        <w:spacing w:after="0" w:line="268" w:lineRule="auto"/>
        <w:tabs>
          <w:tab w:leader="none" w:pos="336" w:val="left"/>
        </w:tabs>
        <w:numPr>
          <w:ilvl w:val="0"/>
          <w:numId w:val="9"/>
        </w:numPr>
        <w:rPr>
          <w:rFonts w:ascii="Arial" w:cs="Arial" w:eastAsia="Arial" w:hAnsi="Arial"/>
          <w:sz w:val="18"/>
          <w:szCs w:val="18"/>
          <w:color w:val="auto"/>
        </w:rPr>
      </w:pPr>
      <w:r>
        <w:rPr>
          <w:rFonts w:ascii="Arial" w:cs="Arial" w:eastAsia="Arial" w:hAnsi="Arial"/>
          <w:sz w:val="18"/>
          <w:szCs w:val="18"/>
          <w:color w:val="auto"/>
        </w:rPr>
        <w:t>DB Advisors, LLC exercises investment and voting control over the shares. DB Advisors, LLC disclaims beneficial ownership of the common stock owned by this selling shareholder.</w:t>
      </w:r>
    </w:p>
    <w:p>
      <w:pPr>
        <w:spacing w:after="0" w:line="185" w:lineRule="exact"/>
        <w:rPr>
          <w:rFonts w:ascii="Arial" w:cs="Arial" w:eastAsia="Arial" w:hAnsi="Arial"/>
          <w:sz w:val="18"/>
          <w:szCs w:val="18"/>
          <w:color w:val="auto"/>
        </w:rPr>
      </w:pPr>
    </w:p>
    <w:p>
      <w:pPr>
        <w:ind w:right="440" w:firstLine="8"/>
        <w:spacing w:after="0" w:line="268" w:lineRule="auto"/>
        <w:tabs>
          <w:tab w:leader="none" w:pos="3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Tail Wind Advisory and Management Ltd. is the investment manager for The Tail Wind Fund Ltd. and expressly disclaims equitable ownership of and pecuniary interest in any shares of common stock arising from its status as the investment manager.</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185,294 shares of common stock issuable upon exercise of warrants.</w:t>
      </w:r>
    </w:p>
    <w:p>
      <w:pPr>
        <w:spacing w:after="0" w:line="225" w:lineRule="exact"/>
        <w:rPr>
          <w:rFonts w:ascii="Arial" w:cs="Arial" w:eastAsia="Arial" w:hAnsi="Arial"/>
          <w:sz w:val="18"/>
          <w:szCs w:val="18"/>
          <w:color w:val="auto"/>
        </w:rPr>
      </w:pPr>
    </w:p>
    <w:p>
      <w:pPr>
        <w:ind w:right="580" w:firstLine="8"/>
        <w:spacing w:after="0" w:line="26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Ira Leventhal, as managing member of this selling shareholder, exercises investment and voting control over the shares. Mr. Leventhal disclaims beneficial ownership of the common stock owned by this selling shareholder.</w:t>
      </w:r>
    </w:p>
    <w:p>
      <w:pPr>
        <w:spacing w:after="0" w:line="185"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132,353 shares of common stock issuable upon exercise of warrants.</w:t>
      </w:r>
    </w:p>
    <w:p>
      <w:pPr>
        <w:spacing w:after="0" w:line="225" w:lineRule="exact"/>
        <w:rPr>
          <w:rFonts w:ascii="Arial" w:cs="Arial" w:eastAsia="Arial" w:hAnsi="Arial"/>
          <w:sz w:val="18"/>
          <w:szCs w:val="18"/>
          <w:color w:val="auto"/>
        </w:rPr>
      </w:pPr>
    </w:p>
    <w:p>
      <w:pPr>
        <w:ind w:right="60" w:firstLine="8"/>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Michael E. Fein and Stephen E. Saltzstein, as principals of Atoll Asset Management, LLC, the managing member of Truk Opportunity Fund, LLC, exercise investment and voting control over the shares. Both Mr. Fein and Mr. Saltzstein disclaim beneficial ownership of the common stock owned by this selling shareholder.</w:t>
      </w:r>
    </w:p>
    <w:p>
      <w:pPr>
        <w:spacing w:after="0" w:line="194"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52,941 shares of common stock issuable upon exercise of warrants.</w:t>
      </w:r>
    </w:p>
    <w:p>
      <w:pPr>
        <w:spacing w:after="0" w:line="225" w:lineRule="exact"/>
        <w:rPr>
          <w:rFonts w:ascii="Arial" w:cs="Arial" w:eastAsia="Arial" w:hAnsi="Arial"/>
          <w:sz w:val="18"/>
          <w:szCs w:val="18"/>
          <w:color w:val="auto"/>
        </w:rPr>
      </w:pPr>
    </w:p>
    <w:p>
      <w:pPr>
        <w:ind w:right="140" w:firstLine="8"/>
        <w:spacing w:after="0" w:line="306"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Rodman &amp; Renshaw acted as placement agent for a private sale of shares of common stock and warrants in July 2003 and received warrants as partial compensation for their services. Thomas J. Pinou, as Chief Financial Officer of this selling shareholder, exercises investment and voting control over the shares. Mr. Pinou disclaims beneficial ownership of the common stock owned by this selling shareholder.</w:t>
      </w:r>
    </w:p>
    <w:p>
      <w:pPr>
        <w:spacing w:after="0" w:line="160" w:lineRule="exact"/>
        <w:rPr>
          <w:rFonts w:ascii="Arial" w:cs="Arial" w:eastAsia="Arial" w:hAnsi="Arial"/>
          <w:sz w:val="16"/>
          <w:szCs w:val="16"/>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303,530 shares of common stock issuable upon exercise of warrants.</w:t>
      </w:r>
    </w:p>
    <w:p>
      <w:pPr>
        <w:spacing w:after="0" w:line="225" w:lineRule="exact"/>
        <w:rPr>
          <w:sz w:val="20"/>
          <w:szCs w:val="20"/>
          <w:color w:val="auto"/>
        </w:rPr>
      </w:pPr>
    </w:p>
    <w:p>
      <w:pPr>
        <w:ind w:firstLine="655"/>
        <w:spacing w:after="0" w:line="290" w:lineRule="auto"/>
        <w:rPr>
          <w:sz w:val="20"/>
          <w:szCs w:val="20"/>
          <w:color w:val="auto"/>
        </w:rPr>
      </w:pPr>
      <w:r>
        <w:rPr>
          <w:rFonts w:ascii="Arial" w:cs="Arial" w:eastAsia="Arial" w:hAnsi="Arial"/>
          <w:sz w:val="16"/>
          <w:szCs w:val="16"/>
          <w:color w:val="auto"/>
        </w:rPr>
        <w:t>The number of shares set forth in the table represents the maximum number of shares of common stock to be offered by the selling shareholders. The number of shares set forth in the table includes 2,580,001 shares the selling shareholders would receive as the maximum number of shares issuable under the warrants. The actual number of shares of common stock that will be issued upon exercise of the warrants is indeterminate. Therefore, the actual number of shares offered and sold hereunder could be materially less than this maximum amount. The actual number of shares of common stock offered hereby, and included in the Registration Statement of which this prospectus is a part, also includes an additional number of shares of common stock that may be issued or issuable upon exercise of the warrants by reason of any stock split, stock dividend or similar transaction involving the common stock, in order to prevent dilution, in accordance with Rule 416 under the Securities Act.</w:t>
      </w:r>
    </w:p>
    <w:p>
      <w:pPr>
        <w:spacing w:after="0" w:line="172" w:lineRule="exact"/>
        <w:rPr>
          <w:sz w:val="20"/>
          <w:szCs w:val="20"/>
          <w:color w:val="auto"/>
        </w:rPr>
      </w:pPr>
    </w:p>
    <w:p>
      <w:pPr>
        <w:ind w:right="340" w:firstLine="649"/>
        <w:spacing w:after="0" w:line="268" w:lineRule="auto"/>
        <w:rPr>
          <w:sz w:val="20"/>
          <w:szCs w:val="20"/>
          <w:color w:val="auto"/>
        </w:rPr>
      </w:pPr>
      <w:r>
        <w:rPr>
          <w:rFonts w:ascii="Arial" w:cs="Arial" w:eastAsia="Arial" w:hAnsi="Arial"/>
          <w:sz w:val="18"/>
          <w:szCs w:val="18"/>
          <w:color w:val="auto"/>
        </w:rPr>
        <w:t>All the warrants held by the various selling shareholders are exercisable by any holder only to the extent that the number of shares of common stock owned by such holder and its affiliates after such exercise would not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exceed 4.9% of the then outstanding shares of common stock, as determined in accordance with Section 13(d) of the Securities Exchange Act.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firstLine="655"/>
        <w:spacing w:after="0" w:line="259" w:lineRule="auto"/>
        <w:rPr>
          <w:sz w:val="20"/>
          <w:szCs w:val="20"/>
          <w:color w:val="auto"/>
        </w:rPr>
      </w:pPr>
      <w:r>
        <w:rPr>
          <w:rFonts w:ascii="Arial" w:cs="Arial" w:eastAsia="Arial" w:hAnsi="Arial"/>
          <w:sz w:val="18"/>
          <w:szCs w:val="18"/>
          <w:color w:val="auto"/>
        </w:rPr>
        <w:t>The selling shareholders and any of their pledgees, assignees and successors-in-interest may, from time to time, sell any or all of their shares of common stock on any stock exchange, market or trading facility on which the shares are traded or in private transactions. These sales may be at fixed or negotiated prices. The selling shareholders may use any one or more of the following methods when selling shares:</w:t>
      </w:r>
    </w:p>
    <w:p>
      <w:pPr>
        <w:spacing w:after="0" w:line="194" w:lineRule="exact"/>
        <w:rPr>
          <w:sz w:val="20"/>
          <w:szCs w:val="20"/>
          <w:color w:val="auto"/>
        </w:rPr>
      </w:pPr>
    </w:p>
    <w:p>
      <w:pPr>
        <w:ind w:left="1160" w:hanging="463"/>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dealer solicits purchasers;</w:t>
      </w:r>
    </w:p>
    <w:p>
      <w:pPr>
        <w:spacing w:after="0" w:line="225" w:lineRule="exact"/>
        <w:rPr>
          <w:rFonts w:ascii="Arial" w:cs="Arial" w:eastAsia="Arial" w:hAnsi="Arial"/>
          <w:sz w:val="18"/>
          <w:szCs w:val="18"/>
          <w:color w:val="auto"/>
        </w:rPr>
      </w:pPr>
    </w:p>
    <w:p>
      <w:pPr>
        <w:ind w:left="1160" w:right="240" w:hanging="463"/>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block trades in which the broker dealer will attempt to sell the shares as agent but may position and resell a portion of the block as principal to facilitate the transaction;</w:t>
      </w:r>
    </w:p>
    <w:p>
      <w:pPr>
        <w:spacing w:after="0" w:line="185" w:lineRule="exact"/>
        <w:rPr>
          <w:rFonts w:ascii="Arial" w:cs="Arial" w:eastAsia="Arial" w:hAnsi="Arial"/>
          <w:sz w:val="18"/>
          <w:szCs w:val="18"/>
          <w:color w:val="auto"/>
        </w:rPr>
      </w:pPr>
    </w:p>
    <w:p>
      <w:pPr>
        <w:ind w:left="1160" w:hanging="463"/>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 dealer as principal and resale by the broker dealer for its account;</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 dealers may agree with the selling shareholders to sell a specified number of such shares at a stipulated price per share;</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shareholders may also sell shares under Rule 144 under the Securities Act, if available, rather than under this prospectus.</w:t>
      </w:r>
    </w:p>
    <w:p>
      <w:pPr>
        <w:spacing w:after="0" w:line="225" w:lineRule="exact"/>
        <w:rPr>
          <w:sz w:val="20"/>
          <w:szCs w:val="20"/>
          <w:color w:val="auto"/>
        </w:rPr>
      </w:pPr>
    </w:p>
    <w:p>
      <w:pPr>
        <w:ind w:right="240" w:firstLine="658"/>
        <w:spacing w:after="0" w:line="306" w:lineRule="auto"/>
        <w:rPr>
          <w:sz w:val="20"/>
          <w:szCs w:val="20"/>
          <w:color w:val="auto"/>
        </w:rPr>
      </w:pPr>
      <w:r>
        <w:rPr>
          <w:rFonts w:ascii="Arial" w:cs="Arial" w:eastAsia="Arial" w:hAnsi="Arial"/>
          <w:sz w:val="16"/>
          <w:szCs w:val="16"/>
          <w:color w:val="auto"/>
        </w:rPr>
        <w:t>Broker dealers engaged by the selling shareholders may arrange for other brokers dealers to participate in sales. Broker dealers may receive commissions or discounts from the selling shareholders (or, if any broker dealer acts as agent for the purchaser of shares, from the purchaser) in amounts to be negotiated. The selling shareholders do not expect these commissions and discounts to exceed what is customary in the types of transactions involved.</w:t>
      </w:r>
    </w:p>
    <w:p>
      <w:pPr>
        <w:spacing w:after="0" w:line="161" w:lineRule="exact"/>
        <w:rPr>
          <w:sz w:val="20"/>
          <w:szCs w:val="20"/>
          <w:color w:val="auto"/>
        </w:rPr>
      </w:pPr>
    </w:p>
    <w:p>
      <w:pPr>
        <w:ind w:right="80" w:firstLine="655"/>
        <w:spacing w:after="0" w:line="298" w:lineRule="auto"/>
        <w:rPr>
          <w:sz w:val="20"/>
          <w:szCs w:val="20"/>
          <w:color w:val="auto"/>
        </w:rPr>
      </w:pPr>
      <w:r>
        <w:rPr>
          <w:rFonts w:ascii="Arial" w:cs="Arial" w:eastAsia="Arial" w:hAnsi="Arial"/>
          <w:sz w:val="16"/>
          <w:szCs w:val="16"/>
          <w:color w:val="auto"/>
        </w:rPr>
        <w:t>The selling shareholders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filed under Rule 424(b)(3) or other applicable provision of the Securities Act of 1933 amending the list of selling shareholders to include the pledgee, transferee or other successors in interest as selling shareholders under this prospectus.</w:t>
      </w:r>
    </w:p>
    <w:p>
      <w:pPr>
        <w:spacing w:after="0" w:line="167" w:lineRule="exact"/>
        <w:rPr>
          <w:sz w:val="20"/>
          <w:szCs w:val="20"/>
          <w:color w:val="auto"/>
        </w:rPr>
      </w:pPr>
    </w:p>
    <w:p>
      <w:pPr>
        <w:ind w:firstLine="655"/>
        <w:spacing w:after="0" w:line="298" w:lineRule="auto"/>
        <w:rPr>
          <w:sz w:val="20"/>
          <w:szCs w:val="20"/>
          <w:color w:val="auto"/>
        </w:rPr>
      </w:pPr>
      <w:r>
        <w:rPr>
          <w:rFonts w:ascii="Arial" w:cs="Arial" w:eastAsia="Arial" w:hAnsi="Arial"/>
          <w:sz w:val="16"/>
          <w:szCs w:val="16"/>
          <w:color w:val="auto"/>
        </w:rPr>
        <w:t>The selling shareholders and any broker dealers or agents that are involved in selling the shares may be deemed to be “underwriters” within the meaning of the Securities Act in connection with such sales. In such event, any commissions received by such broker dealers or agents and any profit on the resale of the shares purchased by them may be deemed to be underwriting commissions or discounts under the Securities Act. The selling shareholders have informed us that they do not have any agreement or understanding, directly or indirectly, with any person to distribute the common stock.</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655"/>
        <w:spacing w:after="0" w:line="254" w:lineRule="auto"/>
        <w:rPr>
          <w:sz w:val="20"/>
          <w:szCs w:val="20"/>
          <w:color w:val="auto"/>
        </w:rPr>
      </w:pPr>
      <w:r>
        <w:rPr>
          <w:rFonts w:ascii="Arial" w:cs="Arial" w:eastAsia="Arial" w:hAnsi="Arial"/>
          <w:sz w:val="18"/>
          <w:szCs w:val="18"/>
          <w:color w:val="auto"/>
        </w:rPr>
        <w:t>The selling shareholders and any other persons participating in a distribution of the shares will be subject to applicable provisions of the Securities Exchange Act and the rules and regulations thereunder, including Regulation M, which may restrict certain activities of, and limit the timing of purchases and sales of the shares by the selling shareholders and other persons participating in a distribution of the shares. Furthermore, under Regulation M, persons engaged in a distribution of the shares are prohibited from simultaneously engaging in market making and certain other activities with respect to the shares for a specified period of time prior to the commencement of such distributions subject to specified exceptions or exemptions. All of the foregoing may affect the marketability of the shares offered hereby.</w:t>
      </w:r>
    </w:p>
    <w:p>
      <w:pPr>
        <w:spacing w:after="0" w:line="198" w:lineRule="exact"/>
        <w:rPr>
          <w:sz w:val="20"/>
          <w:szCs w:val="20"/>
          <w:color w:val="auto"/>
        </w:rPr>
      </w:pPr>
    </w:p>
    <w:p>
      <w:pPr>
        <w:ind w:right="20" w:firstLine="655"/>
        <w:spacing w:after="0" w:line="256" w:lineRule="auto"/>
        <w:rPr>
          <w:sz w:val="20"/>
          <w:szCs w:val="20"/>
          <w:color w:val="auto"/>
        </w:rPr>
      </w:pPr>
      <w:r>
        <w:rPr>
          <w:rFonts w:ascii="Arial" w:cs="Arial" w:eastAsia="Arial" w:hAnsi="Arial"/>
          <w:sz w:val="18"/>
          <w:szCs w:val="18"/>
          <w:color w:val="auto"/>
        </w:rPr>
        <w:t>We have agreed to indemnify the selling shareholders, or certain transferees or assignees, against certain liabilities, including liabilities under the Securities Act, or to contribute to payments the selling shareholders, or certain transferees or assignees, may be required to make in respect thereof. The selling shareholders have agreed to indemnify us against certain liabilities, including liabilities under the Securities Act, or to contribute to payments we may be required to make in respect thereof.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655"/>
        <w:spacing w:after="0" w:line="259" w:lineRule="auto"/>
        <w:rPr>
          <w:sz w:val="20"/>
          <w:szCs w:val="20"/>
          <w:color w:val="auto"/>
        </w:rPr>
      </w:pPr>
      <w:r>
        <w:rPr>
          <w:rFonts w:ascii="Arial" w:cs="Arial" w:eastAsia="Arial" w:hAnsi="Arial"/>
          <w:sz w:val="18"/>
          <w:szCs w:val="18"/>
          <w:color w:val="auto"/>
        </w:rPr>
        <w:t>We will not receive any proceeds from sales of the shares. We may receive up to approximately $3.4 million upon exercise of the warrants. This is based on a potential full exercise of the warrants to purchase 2,580,001 shares of common stock. We intend to apply any net proceeds received from exercise of the warrants to general working capital purposes.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 w:firstLine="655"/>
        <w:spacing w:after="0" w:line="268" w:lineRule="auto"/>
        <w:rPr>
          <w:sz w:val="20"/>
          <w:szCs w:val="20"/>
          <w:color w:val="auto"/>
        </w:rPr>
      </w:pPr>
      <w:r>
        <w:rPr>
          <w:rFonts w:ascii="Arial" w:cs="Arial" w:eastAsia="Arial" w:hAnsi="Arial"/>
          <w:sz w:val="18"/>
          <w:szCs w:val="18"/>
          <w:color w:val="auto"/>
        </w:rPr>
        <w:t>The validity of the common stock offered hereby will be passed upon for Aastrom by its special counsel, Pepper Hamilton LLP, Detroit, Michigan. Gray Cary Ware &amp; Freidenrich LLP, San Diego, California, has acted as counsel to Aastrom in connection with this offering.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655"/>
        <w:spacing w:after="0" w:line="259"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June 30, 2002, have been so incorporated in reliance on the report of PricewaterhouseCoopers LLP, independent accountants, given on the authority of said firm as experts in auditing and accounting.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sectPr>
      <w:pgSz w:w="11900" w:h="16838" w:orient="portrait"/>
      <w:cols w:equalWidth="0" w:num="1">
        <w:col w:w="11400"/>
      </w:cols>
      <w:pgMar w:left="240" w:top="41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2019-12-13T22:56:02Z</dcterms:created>
  <dcterms:modified xsi:type="dcterms:W3CDTF">2019-12-13T22:56:02Z</dcterms:modified>
</cp:coreProperties>
</file>