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207645</wp:posOffset>
            </wp:positionH>
            <wp:positionV relativeFrom="page">
              <wp:posOffset>605790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537845</wp:posOffset>
            </wp:positionV>
            <wp:extent cx="71342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42545"/>
                    </a:xfrm>
                    <a:prstGeom prst="rect">
                      <a:avLst/>
                    </a:prstGeom>
                    <a:noFill/>
                  </pic:spPr>
                </pic:pic>
              </a:graphicData>
            </a:graphic>
          </wp:anchor>
        </w:drawing>
        <w:t>UNITED STATES SECURITIES AND EXCHANGE COMMISSION</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8"/>
          <w:szCs w:val="28"/>
          <w:b w:val="1"/>
          <w:bCs w:val="1"/>
          <w:color w:val="auto"/>
        </w:rPr>
        <w:t>Form 10-K</w:t>
      </w:r>
    </w:p>
    <w:p>
      <w:pPr>
        <w:ind w:left="320" w:hanging="313"/>
        <w:spacing w:after="0"/>
        <w:tabs>
          <w:tab w:leader="none" w:pos="3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jc w:val="center"/>
        <w:ind w:right="-19"/>
        <w:spacing w:after="0" w:line="186" w:lineRule="auto"/>
        <w:rPr>
          <w:sz w:val="20"/>
          <w:szCs w:val="20"/>
          <w:color w:val="auto"/>
        </w:rPr>
      </w:pPr>
      <w:r>
        <w:rPr>
          <w:rFonts w:ascii="Times New Roman" w:cs="Times New Roman" w:eastAsia="Times New Roman" w:hAnsi="Times New Roman"/>
          <w:sz w:val="18"/>
          <w:szCs w:val="18"/>
          <w:b w:val="1"/>
          <w:bCs w:val="1"/>
          <w:color w:val="auto"/>
        </w:rPr>
        <w:t>or</w:t>
      </w:r>
    </w:p>
    <w:p>
      <w:pPr>
        <w:ind w:left="360" w:hanging="342"/>
        <w:spacing w:after="0" w:line="238" w:lineRule="auto"/>
        <w:tabs>
          <w:tab w:leader="none" w:pos="3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001-35280</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2935605</wp:posOffset>
            </wp:positionH>
            <wp:positionV relativeFrom="paragraph">
              <wp:posOffset>97155</wp:posOffset>
            </wp:positionV>
            <wp:extent cx="12706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635"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p>
      <w:pPr>
        <w:spacing w:after="0" w:line="288"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Michigan</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94-3096597</w:t>
      </w:r>
    </w:p>
    <w:p>
      <w:pPr>
        <w:spacing w:after="0" w:line="41" w:lineRule="exact"/>
        <w:rPr>
          <w:sz w:val="24"/>
          <w:szCs w:val="24"/>
          <w:color w:val="auto"/>
        </w:rPr>
      </w:pPr>
    </w:p>
    <w:p>
      <w:pPr>
        <w:sectPr>
          <w:pgSz w:w="11900" w:h="16838" w:orient="portrait"/>
          <w:cols w:equalWidth="0" w:num="2">
            <w:col w:w="7140" w:space="720"/>
            <w:col w:w="3380"/>
          </w:cols>
          <w:pgMar w:left="320" w:top="1022" w:right="3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60"/>
          </w:cols>
          <w:pgMar w:left="320" w:top="102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 Sidney Street</w:t>
      </w:r>
    </w:p>
    <w:p>
      <w:pPr>
        <w:jc w:val="center"/>
        <w:spacing w:after="0" w:line="191" w:lineRule="auto"/>
        <w:rPr>
          <w:sz w:val="20"/>
          <w:szCs w:val="20"/>
          <w:color w:val="auto"/>
        </w:rPr>
      </w:pPr>
      <w:r>
        <w:rPr>
          <w:rFonts w:ascii="Times New Roman" w:cs="Times New Roman" w:eastAsia="Times New Roman" w:hAnsi="Times New Roman"/>
          <w:sz w:val="18"/>
          <w:szCs w:val="18"/>
          <w:b w:val="1"/>
          <w:bCs w:val="1"/>
          <w:color w:val="auto"/>
        </w:rPr>
        <w:t>Cambridge, MA 02139</w:t>
      </w:r>
    </w:p>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2935605</wp:posOffset>
            </wp:positionH>
            <wp:positionV relativeFrom="paragraph">
              <wp:posOffset>108585</wp:posOffset>
            </wp:positionV>
            <wp:extent cx="12706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171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4120" w:type="dxa"/>
            <w:vAlign w:val="bottom"/>
          </w:tcPr>
          <w:p>
            <w:pPr>
              <w:jc w:val="center"/>
              <w:ind w:left="203"/>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r>
      <w:tr>
        <w:trPr>
          <w:trHeight w:val="316"/>
        </w:trPr>
        <w:tc>
          <w:tcPr>
            <w:tcW w:w="34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120" w:type="dxa"/>
            <w:vAlign w:val="bottom"/>
            <w:tcBorders>
              <w:bottom w:val="single" w:sz="8" w:color="auto"/>
            </w:tcBorders>
          </w:tcPr>
          <w:p>
            <w:pPr>
              <w:jc w:val="center"/>
              <w:ind w:left="203"/>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5"/>
        </w:trPr>
        <w:tc>
          <w:tcPr>
            <w:tcW w:w="3420" w:type="dxa"/>
            <w:vAlign w:val="bottom"/>
          </w:tcPr>
          <w:p>
            <w:pPr>
              <w:jc w:val="center"/>
              <w:ind w:left="24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120" w:type="dxa"/>
            <w:vAlign w:val="bottom"/>
          </w:tcPr>
          <w:p>
            <w:pPr>
              <w:jc w:val="center"/>
              <w:ind w:left="183"/>
              <w:spacing w:after="0"/>
              <w:rPr>
                <w:sz w:val="20"/>
                <w:szCs w:val="20"/>
                <w:color w:val="auto"/>
              </w:rPr>
            </w:pPr>
            <w:r>
              <w:rPr>
                <w:rFonts w:ascii="Times New Roman" w:cs="Times New Roman" w:eastAsia="Times New Roman" w:hAnsi="Times New Roman"/>
                <w:sz w:val="16"/>
                <w:szCs w:val="16"/>
                <w:color w:val="auto"/>
              </w:rPr>
              <w:t>VCEL</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w:t>
            </w:r>
          </w:p>
        </w:tc>
      </w:tr>
    </w:tbl>
    <w:p>
      <w:pPr>
        <w:spacing w:after="0" w:line="8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31" w:lineRule="exact"/>
        <w:rPr>
          <w:sz w:val="24"/>
          <w:szCs w:val="24"/>
          <w:color w:val="auto"/>
        </w:rPr>
      </w:pPr>
    </w:p>
    <w:p>
      <w:pPr>
        <w:ind w:right="2640"/>
        <w:spacing w:after="0" w:line="275"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2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ind w:right="280"/>
        <w:spacing w:after="0" w:line="220" w:lineRule="auto"/>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26" w:lineRule="exact"/>
        <w:rPr>
          <w:sz w:val="24"/>
          <w:szCs w:val="24"/>
          <w:color w:val="auto"/>
        </w:rPr>
      </w:pPr>
    </w:p>
    <w:p>
      <w:pPr>
        <w:ind w:right="360"/>
        <w:spacing w:after="0" w:line="29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8" w:lineRule="exact"/>
        <w:rPr>
          <w:sz w:val="24"/>
          <w:szCs w:val="24"/>
          <w:color w:val="auto"/>
        </w:rPr>
      </w:pPr>
    </w:p>
    <w:p>
      <w:pPr>
        <w:ind w:right="320"/>
        <w:spacing w:after="0" w:line="28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600" w:type="dxa"/>
            <w:vAlign w:val="bottom"/>
          </w:tcPr>
          <w:p>
            <w:pPr>
              <w:jc w:val="center"/>
              <w:ind w:left="1166"/>
              <w:spacing w:after="0"/>
              <w:rPr>
                <w:sz w:val="20"/>
                <w:szCs w:val="20"/>
                <w:color w:val="auto"/>
              </w:rPr>
            </w:pPr>
            <w:r>
              <w:rPr>
                <w:rFonts w:ascii="Times New Roman" w:cs="Times New Roman" w:eastAsia="Times New Roman" w:hAnsi="Times New Roman"/>
                <w:sz w:val="14"/>
                <w:szCs w:val="14"/>
                <w:color w:val="auto"/>
              </w:rPr>
              <w:t>Large accelerated filer</w:t>
            </w:r>
          </w:p>
        </w:tc>
        <w:tc>
          <w:tcPr>
            <w:tcW w:w="190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 filer</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0"/>
        </w:trPr>
        <w:tc>
          <w:tcPr>
            <w:tcW w:w="4600" w:type="dxa"/>
            <w:vAlign w:val="bottom"/>
          </w:tcPr>
          <w:p>
            <w:pPr>
              <w:jc w:val="center"/>
              <w:ind w:left="1166"/>
              <w:spacing w:after="0"/>
              <w:rPr>
                <w:sz w:val="20"/>
                <w:szCs w:val="20"/>
                <w:color w:val="auto"/>
              </w:rPr>
            </w:pPr>
            <w:r>
              <w:rPr>
                <w:rFonts w:ascii="Times New Roman" w:cs="Times New Roman" w:eastAsia="Times New Roman" w:hAnsi="Times New Roman"/>
                <w:sz w:val="14"/>
                <w:szCs w:val="14"/>
                <w:color w:val="auto"/>
              </w:rPr>
              <w:t>Non-accelerated filer</w:t>
            </w:r>
          </w:p>
        </w:tc>
        <w:tc>
          <w:tcPr>
            <w:tcW w:w="190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38"/>
        </w:trPr>
        <w:tc>
          <w:tcPr>
            <w:tcW w:w="4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Act.</w:t>
            </w:r>
          </w:p>
        </w:tc>
        <w:tc>
          <w:tcPr>
            <w:tcW w:w="190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Emerging growth company</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87"/>
        </w:trPr>
        <w:tc>
          <w:tcPr>
            <w:tcW w:w="460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right="100"/>
        <w:spacing w:after="0" w:line="25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18" w:lineRule="exact"/>
        <w:rPr>
          <w:sz w:val="24"/>
          <w:szCs w:val="24"/>
          <w:color w:val="auto"/>
        </w:rPr>
      </w:pPr>
    </w:p>
    <w:p>
      <w:pPr>
        <w:ind w:right="320"/>
        <w:spacing w:after="0" w:line="237" w:lineRule="exact"/>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w:t>
      </w:r>
      <w:r>
        <w:rPr>
          <w:rFonts w:ascii="Times New Roman" w:cs="Times New Roman" w:eastAsia="Times New Roman" w:hAnsi="Times New Roman"/>
          <w:sz w:val="17"/>
          <w:szCs w:val="17"/>
          <w:color w:val="008080"/>
        </w:rPr>
        <w:t>’</w:t>
      </w:r>
      <w:r>
        <w:rPr>
          <w:rFonts w:ascii="Times New Roman" w:cs="Times New Roman" w:eastAsia="Times New Roman" w:hAnsi="Times New Roman"/>
          <w:sz w:val="16"/>
          <w:szCs w:val="16"/>
          <w:color w:val="auto"/>
        </w:rPr>
        <w:t xml:space="preserve">s assessment of the effectiveness of its internal control over financial reporting under Section 404(b) of the Sarbanes-Oxley Act (15 U.S. 7262(b)) by the registered public accounting firm that prepared or issued its audit report </w:t>
      </w:r>
      <w:r>
        <w:rPr>
          <w:rFonts w:ascii="MS PGothic" w:cs="MS PGothic" w:eastAsia="MS PGothic" w:hAnsi="MS PGothic"/>
          <w:sz w:val="17"/>
          <w:szCs w:val="17"/>
          <w:color w:val="auto"/>
        </w:rPr>
        <w:t>☒</w:t>
      </w:r>
    </w:p>
    <w:p>
      <w:pPr>
        <w:spacing w:after="0" w:line="186" w:lineRule="exact"/>
        <w:rPr>
          <w:sz w:val="24"/>
          <w:szCs w:val="24"/>
          <w:color w:val="auto"/>
        </w:rPr>
      </w:pPr>
    </w:p>
    <w:p>
      <w:pPr>
        <w:ind w:right="440"/>
        <w:spacing w:after="0" w:line="228"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98" w:lineRule="exact"/>
        <w:rPr>
          <w:sz w:val="24"/>
          <w:szCs w:val="24"/>
          <w:color w:val="auto"/>
        </w:rPr>
      </w:pPr>
    </w:p>
    <w:p>
      <w:pPr>
        <w:ind w:right="440"/>
        <w:spacing w:after="0" w:line="222"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6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99" w:lineRule="exact"/>
        <w:rPr>
          <w:sz w:val="24"/>
          <w:szCs w:val="24"/>
          <w:color w:val="auto"/>
        </w:rPr>
      </w:pPr>
    </w:p>
    <w:p>
      <w:pPr>
        <w:ind w:right="220"/>
        <w:spacing w:after="0" w:line="224"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no par value per share (“Common Stock”), held by non-affiliates of the registrant (based on the closing sales price of the Common Stock as reported on the NASDAQ Capital Market) on June 30, 2024 was approximately $2.2 billion. This computation excludes shares of Common Stock held by each executive officer and director who may be deemed to be affiliates of the registrant. This determination of affiliate status is not necessarily a conclusive determination for other purposes.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449580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21, 2025, 49,969,568 shares of Common Stock, no par value per share, were outstanding.</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7100" w:type="dxa"/>
            <w:vAlign w:val="bottom"/>
            <w:gridSpan w:val="2"/>
          </w:tcPr>
          <w:p>
            <w:pPr>
              <w:ind w:left="3060"/>
              <w:spacing w:after="0"/>
              <w:rPr>
                <w:sz w:val="20"/>
                <w:szCs w:val="20"/>
                <w:color w:val="auto"/>
              </w:rPr>
            </w:pPr>
            <w:r>
              <w:rPr>
                <w:rFonts w:ascii="Times New Roman" w:cs="Times New Roman" w:eastAsia="Times New Roman" w:hAnsi="Times New Roman"/>
                <w:sz w:val="12"/>
                <w:szCs w:val="12"/>
                <w:b w:val="1"/>
                <w:bCs w:val="1"/>
                <w:color w:val="auto"/>
              </w:rPr>
              <w:t>Document</w:t>
            </w:r>
          </w:p>
        </w:tc>
        <w:tc>
          <w:tcPr>
            <w:tcW w:w="4100" w:type="dxa"/>
            <w:vAlign w:val="bottom"/>
            <w:gridSpan w:val="2"/>
          </w:tcPr>
          <w:p>
            <w:pPr>
              <w:ind w:left="1020"/>
              <w:spacing w:after="0"/>
              <w:rPr>
                <w:sz w:val="20"/>
                <w:szCs w:val="20"/>
                <w:color w:val="auto"/>
              </w:rPr>
            </w:pPr>
            <w:r>
              <w:rPr>
                <w:rFonts w:ascii="Times New Roman" w:cs="Times New Roman" w:eastAsia="Times New Roman" w:hAnsi="Times New Roman"/>
                <w:sz w:val="12"/>
                <w:szCs w:val="12"/>
                <w:b w:val="1"/>
                <w:bCs w:val="1"/>
                <w:color w:val="auto"/>
              </w:rPr>
              <w:t>Form 10-K Reference</w:t>
            </w:r>
          </w:p>
        </w:tc>
      </w:tr>
      <w:tr>
        <w:trPr>
          <w:trHeight w:val="133"/>
        </w:trPr>
        <w:tc>
          <w:tcPr>
            <w:tcW w:w="40" w:type="dxa"/>
            <w:vAlign w:val="bottom"/>
          </w:tcPr>
          <w:p>
            <w:pPr>
              <w:spacing w:after="0"/>
              <w:rPr>
                <w:sz w:val="11"/>
                <w:szCs w:val="11"/>
                <w:color w:val="auto"/>
              </w:rPr>
            </w:pPr>
          </w:p>
        </w:tc>
        <w:tc>
          <w:tcPr>
            <w:tcW w:w="6680" w:type="dxa"/>
            <w:vAlign w:val="bottom"/>
            <w:tcBorders>
              <w:top w:val="single" w:sz="8" w:color="auto"/>
            </w:tcBorders>
          </w:tcPr>
          <w:p>
            <w:pPr>
              <w:ind w:left="20"/>
              <w:spacing w:after="0" w:line="133" w:lineRule="exact"/>
              <w:rPr>
                <w:sz w:val="20"/>
                <w:szCs w:val="20"/>
                <w:color w:val="auto"/>
              </w:rPr>
            </w:pPr>
            <w:r>
              <w:rPr>
                <w:rFonts w:ascii="Times New Roman" w:cs="Times New Roman" w:eastAsia="Times New Roman" w:hAnsi="Times New Roman"/>
                <w:sz w:val="14"/>
                <w:szCs w:val="14"/>
                <w:color w:val="auto"/>
              </w:rPr>
              <w:t>Proxy Statement for the Annual Meeting of Shareholders for the fiscal year ended December 31, 2024, scheduled</w:t>
            </w:r>
          </w:p>
        </w:tc>
        <w:tc>
          <w:tcPr>
            <w:tcW w:w="420" w:type="dxa"/>
            <w:vAlign w:val="bottom"/>
          </w:tcPr>
          <w:p>
            <w:pPr>
              <w:spacing w:after="0"/>
              <w:rPr>
                <w:sz w:val="11"/>
                <w:szCs w:val="11"/>
                <w:color w:val="auto"/>
              </w:rPr>
            </w:pPr>
          </w:p>
        </w:tc>
        <w:tc>
          <w:tcPr>
            <w:tcW w:w="320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Items 10, 11, 12, 13 and 14 of Part III</w:t>
            </w:r>
          </w:p>
        </w:tc>
        <w:tc>
          <w:tcPr>
            <w:tcW w:w="900" w:type="dxa"/>
            <w:vAlign w:val="bottom"/>
          </w:tcPr>
          <w:p>
            <w:pPr>
              <w:spacing w:after="0"/>
              <w:rPr>
                <w:sz w:val="11"/>
                <w:szCs w:val="11"/>
                <w:color w:val="auto"/>
              </w:rPr>
            </w:pPr>
          </w:p>
        </w:tc>
      </w:tr>
      <w:tr>
        <w:trPr>
          <w:trHeight w:val="185"/>
        </w:trPr>
        <w:tc>
          <w:tcPr>
            <w:tcW w:w="40" w:type="dxa"/>
            <w:vAlign w:val="bottom"/>
          </w:tcPr>
          <w:p>
            <w:pPr>
              <w:spacing w:after="0"/>
              <w:rPr>
                <w:sz w:val="16"/>
                <w:szCs w:val="16"/>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 April 30, 2025</w:t>
            </w:r>
          </w:p>
        </w:tc>
        <w:tc>
          <w:tcPr>
            <w:tcW w:w="3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2"/>
        </w:trPr>
        <w:tc>
          <w:tcPr>
            <w:tcW w:w="40" w:type="dxa"/>
            <w:vAlign w:val="bottom"/>
            <w:tcBorders>
              <w:bottom w:val="single" w:sz="8" w:color="auto"/>
            </w:tcBorders>
          </w:tcPr>
          <w:p>
            <w:pPr>
              <w:spacing w:after="0"/>
              <w:rPr>
                <w:sz w:val="19"/>
                <w:szCs w:val="19"/>
                <w:color w:val="auto"/>
              </w:rPr>
            </w:pPr>
          </w:p>
        </w:tc>
        <w:tc>
          <w:tcPr>
            <w:tcW w:w="6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53"/>
        </w:trPr>
        <w:tc>
          <w:tcPr>
            <w:tcW w:w="40" w:type="dxa"/>
            <w:vAlign w:val="bottom"/>
          </w:tcPr>
          <w:p>
            <w:pPr>
              <w:spacing w:after="0"/>
              <w:rPr>
                <w:sz w:val="4"/>
                <w:szCs w:val="4"/>
                <w:color w:val="auto"/>
              </w:rPr>
            </w:pPr>
          </w:p>
        </w:tc>
        <w:tc>
          <w:tcPr>
            <w:tcW w:w="6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67"/>
        </w:trPr>
        <w:tc>
          <w:tcPr>
            <w:tcW w:w="40" w:type="dxa"/>
            <w:vAlign w:val="bottom"/>
            <w:shd w:val="clear" w:color="auto" w:fill="000000"/>
          </w:tcPr>
          <w:p>
            <w:pPr>
              <w:spacing w:after="0"/>
              <w:rPr>
                <w:sz w:val="5"/>
                <w:szCs w:val="5"/>
                <w:color w:val="auto"/>
              </w:rPr>
            </w:pPr>
          </w:p>
        </w:tc>
        <w:tc>
          <w:tcPr>
            <w:tcW w:w="668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320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r>
      <w:tr>
        <w:trPr>
          <w:trHeight w:val="687"/>
        </w:trPr>
        <w:tc>
          <w:tcPr>
            <w:tcW w:w="4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VERICEL CORPORATION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ANNUAL REPORT ON FORM 10-K</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9"/>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0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960" w:type="dxa"/>
            <w:vAlign w:val="bottom"/>
            <w:gridSpan w:val="7"/>
            <w:vMerge w:val="restart"/>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w w:val="92"/>
              </w:rPr>
              <w:t>PART I</w:t>
            </w: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4960" w:type="dxa"/>
            <w:vAlign w:val="bottom"/>
            <w:gridSpan w:val="7"/>
            <w:vMerge w:val="continue"/>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2" w:lineRule="exact"/>
              <w:rPr>
                <w:sz w:val="20"/>
                <w:szCs w:val="20"/>
                <w:color w:val="auto"/>
              </w:rPr>
            </w:pPr>
            <w:r>
              <w:rPr>
                <w:rFonts w:ascii="Times New Roman" w:cs="Times New Roman" w:eastAsia="Times New Roman" w:hAnsi="Times New Roman"/>
                <w:sz w:val="18"/>
                <w:szCs w:val="18"/>
                <w:color w:val="0000FF"/>
                <w:w w:val="96"/>
              </w:rPr>
              <w:t>Business</w:t>
            </w:r>
          </w:p>
        </w:tc>
        <w:tc>
          <w:tcPr>
            <w:tcW w:w="8600" w:type="dxa"/>
            <w:vAlign w:val="bottom"/>
            <w:gridSpan w:val="19"/>
          </w:tcPr>
          <w:p>
            <w:pPr>
              <w:spacing w:after="0"/>
              <w:rPr>
                <w:sz w:val="16"/>
                <w:szCs w:val="16"/>
                <w:color w:val="auto"/>
              </w:rPr>
            </w:pPr>
          </w:p>
        </w:tc>
        <w:tc>
          <w:tcPr>
            <w:tcW w:w="600" w:type="dxa"/>
            <w:vAlign w:val="bottom"/>
            <w:gridSpan w:val="3"/>
          </w:tcPr>
          <w:p>
            <w:pPr>
              <w:spacing w:after="0"/>
              <w:rPr>
                <w:sz w:val="16"/>
                <w:szCs w:val="16"/>
                <w:color w:val="auto"/>
              </w:rPr>
            </w:pPr>
          </w:p>
        </w:tc>
        <w:tc>
          <w:tcPr>
            <w:tcW w:w="100" w:type="dxa"/>
            <w:vAlign w:val="bottom"/>
            <w:tcBorders>
              <w:bottom w:val="single" w:sz="8" w:color="0000FF"/>
            </w:tcBorders>
          </w:tcPr>
          <w:p>
            <w:pPr>
              <w:jc w:val="right"/>
              <w:spacing w:after="0" w:line="192"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340" w:type="dxa"/>
            <w:vAlign w:val="bottom"/>
            <w:gridSpan w:val="17"/>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1B.</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1C.</w:t>
            </w:r>
          </w:p>
        </w:tc>
        <w:tc>
          <w:tcPr>
            <w:tcW w:w="2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220" w:type="dxa"/>
            <w:vAlign w:val="bottom"/>
            <w:gridSpan w:val="11"/>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240" w:type="dxa"/>
            <w:vAlign w:val="bottom"/>
            <w:gridSpan w:val="16"/>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960" w:type="dxa"/>
            <w:vAlign w:val="bottom"/>
            <w:gridSpan w:val="7"/>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5.</w:t>
            </w:r>
          </w:p>
        </w:tc>
        <w:tc>
          <w:tcPr>
            <w:tcW w:w="92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Market for Registrant’s Common Equity, Related Shareholder Matters and Issuer Purchases of Equity Securities</w:t>
            </w:r>
          </w:p>
        </w:tc>
        <w:tc>
          <w:tcPr>
            <w:tcW w:w="700" w:type="dxa"/>
            <w:vAlign w:val="bottom"/>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7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Reserved</w:t>
            </w:r>
          </w:p>
        </w:tc>
        <w:tc>
          <w:tcPr>
            <w:tcW w:w="126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7A.</w:t>
            </w: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100" w:type="dxa"/>
            <w:vAlign w:val="bottom"/>
            <w:gridSpan w:val="3"/>
          </w:tcPr>
          <w:p>
            <w:pPr>
              <w:spacing w:after="0"/>
              <w:rPr>
                <w:sz w:val="17"/>
                <w:szCs w:val="17"/>
                <w:color w:val="auto"/>
              </w:rPr>
            </w:pPr>
          </w:p>
        </w:tc>
        <w:tc>
          <w:tcPr>
            <w:tcW w:w="2860" w:type="dxa"/>
            <w:vAlign w:val="bottom"/>
            <w:gridSpan w:val="4"/>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8.</w:t>
            </w: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Consolidated Financial Statements and Supplementary Data</w:t>
            </w:r>
          </w:p>
        </w:tc>
        <w:tc>
          <w:tcPr>
            <w:tcW w:w="4960" w:type="dxa"/>
            <w:vAlign w:val="bottom"/>
            <w:gridSpan w:val="7"/>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640" w:type="dxa"/>
            <w:vAlign w:val="bottom"/>
            <w:gridSpan w:val="10"/>
          </w:tcPr>
          <w:p>
            <w:pPr>
              <w:spacing w:after="0"/>
              <w:rPr>
                <w:sz w:val="17"/>
                <w:szCs w:val="17"/>
                <w:color w:val="auto"/>
              </w:rPr>
            </w:pPr>
          </w:p>
        </w:tc>
        <w:tc>
          <w:tcPr>
            <w:tcW w:w="2840" w:type="dxa"/>
            <w:vAlign w:val="bottom"/>
            <w:gridSpan w:val="3"/>
          </w:tcPr>
          <w:p>
            <w:pPr>
              <w:spacing w:after="0"/>
              <w:rPr>
                <w:sz w:val="17"/>
                <w:szCs w:val="17"/>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80" w:type="dxa"/>
            <w:vAlign w:val="bottom"/>
            <w:gridSpan w:val="13"/>
          </w:tcPr>
          <w:p>
            <w:pPr>
              <w:spacing w:after="0"/>
              <w:rPr>
                <w:sz w:val="17"/>
                <w:szCs w:val="17"/>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9C.</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180" w:type="dxa"/>
            <w:vAlign w:val="bottom"/>
            <w:gridSpan w:val="8"/>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10.</w:t>
            </w:r>
          </w:p>
        </w:tc>
        <w:tc>
          <w:tcPr>
            <w:tcW w:w="4060" w:type="dxa"/>
            <w:vAlign w:val="bottom"/>
            <w:gridSpan w:val="12"/>
          </w:tcPr>
          <w:p>
            <w:pPr>
              <w:spacing w:after="0" w:line="192" w:lineRule="exact"/>
              <w:rPr>
                <w:sz w:val="20"/>
                <w:szCs w:val="20"/>
                <w:color w:val="auto"/>
              </w:rPr>
            </w:pPr>
            <w:r>
              <w:rPr>
                <w:rFonts w:ascii="Times New Roman" w:cs="Times New Roman" w:eastAsia="Times New Roman" w:hAnsi="Times New Roman"/>
                <w:sz w:val="18"/>
                <w:szCs w:val="18"/>
                <w:color w:val="0000FF"/>
                <w:w w:val="98"/>
              </w:rPr>
              <w:t>Directors, Executive Officers and Corporate Governance</w:t>
            </w:r>
          </w:p>
        </w:tc>
        <w:tc>
          <w:tcPr>
            <w:tcW w:w="5180" w:type="dxa"/>
            <w:vAlign w:val="bottom"/>
            <w:gridSpan w:val="8"/>
          </w:tcPr>
          <w:p>
            <w:pPr>
              <w:spacing w:after="0"/>
              <w:rPr>
                <w:sz w:val="16"/>
                <w:szCs w:val="16"/>
                <w:color w:val="auto"/>
              </w:rPr>
            </w:pPr>
          </w:p>
        </w:tc>
        <w:tc>
          <w:tcPr>
            <w:tcW w:w="720" w:type="dxa"/>
            <w:vAlign w:val="bottom"/>
            <w:gridSpan w:val="5"/>
          </w:tcPr>
          <w:p>
            <w:pPr>
              <w:jc w:val="right"/>
              <w:ind w:right="20"/>
              <w:spacing w:after="0" w:line="192" w:lineRule="exact"/>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11.</w:t>
            </w:r>
          </w:p>
        </w:tc>
        <w:tc>
          <w:tcPr>
            <w:tcW w:w="4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180" w:type="dxa"/>
            <w:vAlign w:val="bottom"/>
            <w:gridSpan w:val="8"/>
          </w:tcPr>
          <w:p>
            <w:pPr>
              <w:spacing w:after="0"/>
              <w:rPr>
                <w:sz w:val="17"/>
                <w:szCs w:val="17"/>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12.</w:t>
            </w:r>
          </w:p>
        </w:tc>
        <w:tc>
          <w:tcPr>
            <w:tcW w:w="7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Security Ownership of Certain Beneficial Owners and Management and Related Shareholder Matters</w:t>
            </w:r>
          </w:p>
        </w:tc>
        <w:tc>
          <w:tcPr>
            <w:tcW w:w="2020" w:type="dxa"/>
            <w:vAlign w:val="bottom"/>
            <w:gridSpan w:val="2"/>
          </w:tcPr>
          <w:p>
            <w:pPr>
              <w:spacing w:after="0"/>
              <w:rPr>
                <w:sz w:val="17"/>
                <w:szCs w:val="17"/>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13.</w:t>
            </w:r>
          </w:p>
        </w:tc>
        <w:tc>
          <w:tcPr>
            <w:tcW w:w="7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20" w:type="dxa"/>
            <w:vAlign w:val="bottom"/>
            <w:gridSpan w:val="2"/>
          </w:tcPr>
          <w:p>
            <w:pPr>
              <w:spacing w:after="0"/>
              <w:rPr>
                <w:sz w:val="17"/>
                <w:szCs w:val="17"/>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180" w:type="dxa"/>
            <w:vAlign w:val="bottom"/>
            <w:gridSpan w:val="9"/>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14.</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42"/>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180" w:type="dxa"/>
            <w:vAlign w:val="bottom"/>
            <w:gridSpan w:val="8"/>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4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15.</w:t>
            </w:r>
          </w:p>
        </w:tc>
        <w:tc>
          <w:tcPr>
            <w:tcW w:w="3060" w:type="dxa"/>
            <w:vAlign w:val="bottom"/>
            <w:gridSpan w:val="11"/>
          </w:tcPr>
          <w:p>
            <w:pPr>
              <w:spacing w:after="0" w:line="192" w:lineRule="exact"/>
              <w:rPr>
                <w:sz w:val="20"/>
                <w:szCs w:val="20"/>
                <w:color w:val="auto"/>
              </w:rPr>
            </w:pPr>
            <w:r>
              <w:rPr>
                <w:rFonts w:ascii="Times New Roman" w:cs="Times New Roman" w:eastAsia="Times New Roman" w:hAnsi="Times New Roman"/>
                <w:sz w:val="18"/>
                <w:szCs w:val="18"/>
                <w:color w:val="0000FF"/>
                <w:w w:val="98"/>
              </w:rPr>
              <w:t>Exhibit and Financial Statement Schedules</w:t>
            </w:r>
          </w:p>
        </w:tc>
        <w:tc>
          <w:tcPr>
            <w:tcW w:w="6180" w:type="dxa"/>
            <w:vAlign w:val="bottom"/>
            <w:gridSpan w:val="9"/>
          </w:tcPr>
          <w:p>
            <w:pPr>
              <w:spacing w:after="0"/>
              <w:rPr>
                <w:sz w:val="16"/>
                <w:szCs w:val="16"/>
                <w:color w:val="auto"/>
              </w:rPr>
            </w:pPr>
          </w:p>
        </w:tc>
        <w:tc>
          <w:tcPr>
            <w:tcW w:w="720" w:type="dxa"/>
            <w:vAlign w:val="bottom"/>
            <w:gridSpan w:val="5"/>
          </w:tcPr>
          <w:p>
            <w:pPr>
              <w:jc w:val="right"/>
              <w:ind w:right="20"/>
              <w:spacing w:after="0" w:line="192" w:lineRule="exact"/>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618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1520" w:type="dxa"/>
            <w:vAlign w:val="bottom"/>
            <w:gridSpan w:val="5"/>
          </w:tcPr>
          <w:p>
            <w:pPr>
              <w:spacing w:after="0"/>
              <w:rPr>
                <w:sz w:val="17"/>
                <w:szCs w:val="17"/>
                <w:color w:val="auto"/>
              </w:rPr>
            </w:pPr>
          </w:p>
        </w:tc>
        <w:tc>
          <w:tcPr>
            <w:tcW w:w="6180" w:type="dxa"/>
            <w:vAlign w:val="bottom"/>
            <w:gridSpan w:val="9"/>
          </w:tcPr>
          <w:p>
            <w:pPr>
              <w:spacing w:after="0"/>
              <w:rPr>
                <w:sz w:val="17"/>
                <w:szCs w:val="17"/>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77" w:right="35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1" w:lineRule="exact"/>
        <w:rPr>
          <w:sz w:val="20"/>
          <w:szCs w:val="20"/>
          <w:color w:val="auto"/>
        </w:rPr>
      </w:pPr>
    </w:p>
    <w:p>
      <w:pPr>
        <w:jc w:val="both"/>
        <w:ind w:firstLine="240"/>
        <w:spacing w:after="0" w:line="246" w:lineRule="auto"/>
        <w:rPr>
          <w:sz w:val="20"/>
          <w:szCs w:val="20"/>
          <w:color w:val="auto"/>
        </w:rPr>
      </w:pPr>
      <w:r>
        <w:rPr>
          <w:rFonts w:ascii="Times New Roman" w:cs="Times New Roman" w:eastAsia="Times New Roman" w:hAnsi="Times New Roman"/>
          <w:sz w:val="18"/>
          <w:szCs w:val="18"/>
          <w:color w:val="auto"/>
        </w:rPr>
        <w:t>This Annual Report on Form 10-K,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Among the factors that could cause actual results to differ materially from those set forth in the forward-looking statements include, but are not limited to, uncertainties associated with our expectations regarding future revenue, growth in revenue, market penetration for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MACI Arthro™,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growth in profit, gross margins and operating margins, the ability to continue to scale our manufacturing operations to meet the demand for our cell therapy products, including the timely completion and qualification of a new manufacturing facility in Burlington, Massachusetts, the ability to sustain profitability, contributions to adjusted EBITDA, the expected target surgeon audience, potential fluctuations in sales and volumes and our results of operations over the course of the year, timing and conduct of clinical trial and product development activities, timing and likelihood of the FDA’s potential approval of the use of MACI to treat cartilage defects in the ankle, the estimate of the commercial growth potential of our products and product candidates, competitive developments, changes in third-party coverage and reimbursement, surgeon adoption of MACI Arthro, physician and burn center adoption of NexoBrid, labor strikes, changes in surgeon and hospital treatment prioritizations caused by the temporary shortage of essential medical supplies, supply chain disruptions or other events or factors that might affect our ability to manufacture MACI or Epicel or affect MediWound’s ability to manufacture and supply sufficient quantities of NexoBrid to meet customer demand, including but not limited to the ongoing conflicts in the Middle East region involving Israel, negative impacts on the global economy and capital markets resulting from the conflict in Ukraine and the Middle East conflicts, changes in trade policies and regulations, including the potential for increases or changes in duties, current and potentially new tariffs or quotas, lingering effects of adverse developments affecting financial institutions, companies in the financial services industry or the financial services industry generally, possible changes in governmental monetary and fiscal policies, including, but not limited to, Federal Reserve policies in connection with continued inflationary pressures and the impact of the recent elections in the United States, global geopolitical tensions and potential future impacts on our business or the economy generally stemming from a public health emergency.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on Form 10-K under “Part I, Item 1A Risk Factors.”</w:t>
      </w:r>
    </w:p>
    <w:p>
      <w:pPr>
        <w:spacing w:after="0" w:line="217"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on Form 10-K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1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i w:val="1"/>
          <w:iCs w:val="1"/>
          <w:color w:val="auto"/>
        </w:rPr>
        <w:t>Except for the historical information presented, the matters discussed in this Annual Report, including our product development and commercialization goals and expectations, our plans and anticipated timing and results of clinical and regulatory development activities, potential market opportunities, revenue expectations and the potential advantages and applications of our products and product candidates under development, include forward-looking statements that involve risks and uncertainties. Our actual results may differ significantly from the results discussed in the forward-looking statements. Factors that could cause or contribute to such differences include, but are not limited to, those discussed under the caption “Risk Factors.” Unless the context requires otherwise, references to “Vericel,” “the Company,” “our company,” “we,” “us,” and “our” refer to Vericel Corporation.</w:t>
      </w:r>
    </w:p>
    <w:p>
      <w:pPr>
        <w:spacing w:after="0" w:line="212"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We own various trademark registrations and applications, and unregistered trademarks, including Vericel Corporation, Epicel, MACI, MACI Arthro and our corporate logo. All other trade names, trademarks and service marks of other companies appearing in this Form 10-K are the property of their respective holders, including NexoBrid, which is a registered trademark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of MediWound Ltd. Solely for convenience, the trademarks and trade names in this document may be referred to without the </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Data and Industry Forecasts and Projections</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We use market data and industry forecasts and projections throughout this Annual Report on Form 10-K, and in particular in “Part I - Item 1. - Business.” We have obtained the market data from certain publicly available sources of information, including publicly available independent industry publications and other third-party sources. Unless otherwise indicated, statements in this Annual Report on Form 10-K concerning our industry and the markets in which we operate, including our general expectations and competitive position, business opportunity and market size, growth and share, are based on information from independent industry organizations and other third-party sources (including industry publications, surveys and forecasts), data from our internal research and management estimates. We believe the data that third parties have compiled is reliable, but we have not independently verified the accuracy of this information and there is no assurance that any of the forecasted amounts will be achieved. Any forecasts are based on data (including third-party data), models and experience of various professionals and are based on various assumptions, all of which are subject to change without notice. While we are not aware of any misstatements regarding the industry data presented herein, forecasts, assumptions, expectations, beliefs, estimates and projections involve risks and uncertainties and are subject to change based on various factors, including those described under the heading “Forward-Looking Statements - Cautionary Language” and in “Part I - Item 1A. Risk Factors.”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51"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8"/>
          <w:szCs w:val="18"/>
          <w:color w:val="auto"/>
        </w:rPr>
        <w:t>Vericel Corporation is a fully-integrated, commercial-stage biopharmaceutical company and a leading provider of advanced therapies for the sports medicine and severe burn care markets. Whether we are treating damaged cartilage or severe burns, we provide advanced therapies to repair serious injuries and restore lives. Our highly differentiated portfolio of cell therapy and specialty biologic products combines innovations in biology with medical technologies. We were among the first companies to achieve commercial success in the complex field of cell therapies with treatments that use tissue engineering to regenerate skin and healthy knee cartilage. We currently market two U.S. Food and Drug Administration (“FDA”) approved autologous cell therapy products and one FDA-approved specialty biologic product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autologous cellularized scaffold product that is indicated for the repair of symptomatic, single or multiple full-thickness cartilage defects of the knee with or without bone involvement in adults. Since MACI’s commercial launch, the product’s FDA-approved labeling has provided for a treating surgeon to use MACI to treat a patient through an open surgical procedure. In August 2024, the FDA approved a supplemental Biologics License Application (“sBLA”) expanding the MACI indication to add instructions for the arthroscopic delivery of MACI to the product’s approved labeling. MACI Arthro™ allows surgeons to evaluate and prepare the cartilage defect site as well as deliver the MACI implant through small incisions using custom-designed arthroscopic instruments developed by the Company (“MACI Arthro instruments”). MACI Arthro became commercially available in the United States during the third quarter of 2024 and the Company began selling the MACI Arthro instruments at that time.</w:t>
      </w:r>
    </w:p>
    <w:p>
      <w:pPr>
        <w:spacing w:after="0" w:line="218" w:lineRule="exact"/>
        <w:rPr>
          <w:sz w:val="20"/>
          <w:szCs w:val="20"/>
          <w:color w:val="auto"/>
        </w:rPr>
      </w:pPr>
    </w:p>
    <w:p>
      <w:pPr>
        <w:jc w:val="both"/>
        <w:ind w:firstLine="240"/>
        <w:spacing w:after="0" w:line="227" w:lineRule="auto"/>
        <w:rPr>
          <w:sz w:val="20"/>
          <w:szCs w:val="20"/>
          <w:color w:val="auto"/>
        </w:rPr>
      </w:pPr>
      <w:r>
        <w:rPr>
          <w:rFonts w:ascii="Times New Roman" w:cs="Times New Roman" w:eastAsia="Times New Roman" w:hAnsi="Times New Roman"/>
          <w:sz w:val="18"/>
          <w:szCs w:val="18"/>
          <w:color w:val="auto"/>
        </w:rPr>
        <w:t>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permanent skin replacement Humanitarian Use Device (“HUD”) indicated for the treatment of adult and pediatric patients with deep-dermal or full-thickness burns comprising greater than or equal to 30 percent of a patient’s total body surface area (“TBSA”). We also hold an exclusive license from MediWound Ltd. (“MediWound”) for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(anacaulase-bcdb), a topically-administered biological orphan product containing proteolytic enzymes, which is indicated for the removal of eschar in adult and pediatric patients with deep partial thickness and/or full thickness thermal burns.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Our objective is to become the leading developer in advanced therapies for the sports medicine and severe burn care markets. To achieve this objective, we intend to:</w:t>
      </w:r>
    </w:p>
    <w:p>
      <w:pPr>
        <w:spacing w:after="0" w:line="189" w:lineRule="exact"/>
        <w:rPr>
          <w:sz w:val="20"/>
          <w:szCs w:val="20"/>
          <w:color w:val="auto"/>
        </w:rPr>
      </w:pPr>
    </w:p>
    <w:p>
      <w:pPr>
        <w:jc w:val="both"/>
        <w:ind w:left="640" w:hanging="313"/>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MACI revenue by increasing the number of surgeons implanting MACI and the average number of implants per surgeon, seeking to expand the clinical indications for which the MACI and MACI Arthro procedures are approved, and optimizing the ease of use of the MACI procedure for surgeons through continued innovation;</w:t>
      </w:r>
    </w:p>
    <w:p>
      <w:pPr>
        <w:spacing w:after="0" w:line="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Epicel revenue by expanding the number of burn centers and surgeons consistently using Epicel;</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NexoBrid revenue by expanding the number of burn centers, hospitals and physicians consistently using NexoBrid for the removal of eschar; and</w:t>
      </w: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positive operating income and cash flow.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Conflicts in the Middle East</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under which MediWound manufactures and supplies NexoBrid to the U.S. market on a unit price basis. MediWound develops and manufactures NexoBrid in part, at its facilities in Yavne, Israel.</w:t>
      </w:r>
    </w:p>
    <w:p>
      <w:pPr>
        <w:spacing w:after="0" w:line="18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We continue to monitor the ongoing conflicts in the Middle East region involving Israel, and we are in close communication with MediWound leadership. MediWound’s NexoBrid manufacturing operations are continuing and, as of the date of this disclosure, MediWound does not anticipate a material disruption to its ongoing supply of commercial NexoBrid to the U.S. To the extent the conflicts in the Middle East region intensify or expand and MediWound’s facilities in Israel are damaged or destroyed, travel to and from Israel is halted or inhibited, or significant key MediWound operational personnel are called to military service, MediWound’s ability to continue to supply NexoBrid to the U.S. market could be disrupted. As of the date of this report, we maintain an ample supply of NexoBrid at our U.S.-based third-party logistics provider.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a discussion of additional risks associated with the ongoing conflicts in the Middle East region, please see Part I, Item 1A. “Risk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used for U.S. manufacturing and distribution of MACI and Epicel. In January 2022, we entered into a lease agreement (as amended, the “Burlington Lease”) to lease approximately 126,000 square feet of manufacturing, laboratory and office space in Burlington, Massachusetts, which has been under construction. The Burlington facility is substantially complete, and we are currently utilizing the facility’s office space. Once validated, the facility’s manufacturing component will eventually become the primary manufacturing facility for MACI and Epicel.</w:t>
      </w:r>
    </w:p>
    <w:p>
      <w:pPr>
        <w:spacing w:after="0" w:line="21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8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On July 1, 2023, we renewed our long-term supply agreement with Matricel GmbH (“Matricel”) for the supply of ACI-Maix collagen membranes used in the manufacture of MACI (the “Matricel Supply Agreement”). In the event Matricel is unable to supply the membranes, we may license the technology and procure the membranes from another source. The Matricel Supply Agreement provides that Matricel shall supply the ACI-Maix membranes exclusively to us during the term of the agreement. The Matricel Supply Agreement is effective until December 31, 2030, with an option to extend its term for three additional years to December 31, 2033. Thereafter, the Matricel Supply Agreement may be renewed for additional three-year periods.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Our current marketed products include two FDA-approved autologous cell therapies and one FDA-approved specialty biologic product. MACI is a third-generation autologous cellularized scaffold product indicated for the repair of symptomatic, single or multiple full-thickness cartilage defects of the knee with or without bone involvement in adults. In connection with our MACI product, we sell MACI biopsy kits, which are used by treating surgeons to obtain a sample of cartilage tissue, which is later sent to us. If a patient decides to move forward with MACI treatment, we subsequently use the cartilage sample to manufacture a MACI implant. When an orthopedic surgeon decides to treat a patient by implanting MACI through an arthroscopic approach the surgeon may choose to use our custom MACI Arthro instruments during the procedure, which we sell by way of a separate transaction.</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Epicel is a permanent skin replacement indicated for the treatment of adult and pediatric patients with deep-dermal or full-thickness burns comprising greater than or equal to 30 percent of a patient’s TBSA. Both autologous cell therapy products are currently manufactured and marketed in the U.S. NexoBrid is a topically-administered biological orphan product containing proteolytic enzymes that is indicated for eschar removal in adult and pediatric patients with deep partial-thickness and/or full-thickness burns. We hold exclusive license and supply agreements with MediWound to commercialize NexoBrid in North America.</w:t>
      </w:r>
    </w:p>
    <w:p>
      <w:pPr>
        <w:spacing w:after="0" w:line="2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Background of Cartilage Defects</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Damage to cartilage in the knee can occur from acute or repetitive trauma from playing sports, exercising, work-related physical demands, or performing everyday activities. When damaged, cartilage in the knee does not usually heal on its own. If left untreated, cartilage defects can progress and lead to degenerative joint disease, osteoarthritis and potentially require total knee replacement, which is a poor option for younger and more active patients.</w:t>
      </w:r>
    </w:p>
    <w:p>
      <w:pPr>
        <w:spacing w:after="0" w:line="17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Carticel was the first FDA-approved autologous cartilage repair product for the repair of symptomatic cartilage defects and was indicated for the repair of symptomatic cartilage defects of the femoral condyle (medial, lateral or trochlea), caused by acute or repetitive trauma, in patients who have had an inadequate response to a prior arthroscopic or other surgical repair procedure such as debridement (the removal of damaged or defective cartilage), microfracture (the creation of tiny fractures in the bone to encourage new cartilage), drilling/abrasion arthroplasty, or osteochondral allograft/autograft. Carticel received a BLA approval in 1997, and was marketed in the U.S. by Vericel through the second quarter of 2017. The FDA approved MACI on December 13, 2016.</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70" w:lineRule="auto"/>
        <w:rPr>
          <w:sz w:val="20"/>
          <w:szCs w:val="20"/>
          <w:color w:val="auto"/>
        </w:rPr>
      </w:pPr>
      <w:r>
        <w:rPr>
          <w:rFonts w:ascii="Times New Roman" w:cs="Times New Roman" w:eastAsia="Times New Roman" w:hAnsi="Times New Roman"/>
          <w:sz w:val="18"/>
          <w:szCs w:val="18"/>
          <w:color w:val="auto"/>
        </w:rPr>
        <w:t>MACI is an autologous cellular scaffold product consisting of autologous cultured chondrocytes seeded onto a resorbable Type I/III porcine-derived collagen membrane. Autologous cultured chondrocytes are human-derived cells which are obtained from a sample of the patient’s own cartilage for the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manufacture of MACI. An orthopedic surgeon obtains the sample by taking a cartilage biopsy during an initial arthroscopic procedure. We isolate the patient’s chondrocytes (the cells that produce cartilage) from the biopsy and expand those cells in a manufacturing process compliant with current Good Manufacturing Practices (“cGMP”). The expanded cells are then uniformly seeded onto a resorbable collagen membrane using a proprietary process prior to shipment. After receipt by the surgeon, MACI is implanted into the cartilage defect(s). A key driver of ACI’s therapeutic advantage relative to other approaches, such as microfracture, is that autologous chondrocytes have the potential to produce the hyaline-like cartilage that is naturally present in the knee, rather than fibrous cartilage, which lacks the durability and wear characteristics of hyaline cartilage. Unlike Carticel, which was a cell suspension and required a membrane to be sutured in place to confine the cell suspension to the defect area, MACI is comprised of cells uniformly seeded on a collagen membrane resulting in a surgery that is simpler than that involved with Carticel. MACI may be implanted through a smaller incision or mini arthrotomy for focal defects. Additionally, since the FDA approval of MACI Arthro in August 2024, a surgeon is now able to evaluate and prepare the cartilage defect site, as well as deliver the MACI implant, through small incisions using the MACI Arthro instruments. MACI is simply trimmed by the surgeon to the size of the defect, allowing for a precise fit, and fixed to the bone with an off-the-shelf surgical fibrin sealant. MACI has expanded the ACI market since MACI shares the efficacy advantages of Carticel, while being less invasive, having a shorter procedure time, and eliminating the need for a periosteal harvest and suture fixation of the periosteal patch. In addition, MACI is indicated for a broader range of cartilage defects of the knee, ensures more uniform distribution of the cells in the cartilage defect, and is supported by Phase 3 clinical data demonstrating a statistically significant improvement in pain and function scores compared to microfracture.</w:t>
      </w:r>
    </w:p>
    <w:p>
      <w:pPr>
        <w:spacing w:after="0" w:line="22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pivotal clinical trial supporting MACI registration in Europe and approval in the U.S., the Superiority of MACI Implant versus Microfracture Treatment in patients with symptomatic articular cartilage defects in the knee (“SUMMIT”) trial, was completed in 2012. Analysis of this 144-patient study demonstrated at Week 104 a statistically significant greater improvement in the co-primary endpoint of pain and function for those patients treated with MACI compared to microfracture.</w:t>
      </w:r>
    </w:p>
    <w:p>
      <w:pPr>
        <w:spacing w:after="0" w:line="208"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MACI became commercially available in the European Union (the “EU”) in 2001 and in Australia in 2002, prior to promulgation of regulations requiring marketing authorizations for cell therapies in those markets. MACI received marketing authorization in Europe in June 2013, by meeting the requirements of the Advanced Therapy and Medicinal Product (“ATMP”) guidelines based on the results of the SUMMIT trial in which MACI was manufactured at, and supplied from, our Cambridge, Massachusetts site. We suspended the marketing of MACI in Europe in September 2014 and the European manufacturing authorization for MACI expired by its terms at the end of June 2018. Australian operations and the commercialization of MACI in that country was discontinued prior to our acquisition of the product in 2014.</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MACI</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target audiences are orthopedic surgeons who self-identify and/or have formal specialty training in sports medicine, and a subpopulation of general orthopedic surgeons who perform a high volume of cartilage repair procedures involving the knee. Most private payers have a medical policy that covers treatment with MACI, with the top 30 largest commercial payers having a formal medical policy for MACI or ACI in general. With respect to private commercial payers that have not yet approved a medical policy for MACI, we often obtain approval on a case-by-case basis.</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estimate that approximately 750,000 patients undergo cartilage repair procedures of the knee annually in the U.S. Of these, approximately 315,000 patients are consistent with the current MACI label. Based on defect characteristics, doctors that have implanted MACI consider approximately 125,000 of these patients clinically appropriate for MACI. Approximately 60,000 of these eligible patients have larger lesions and are likely to secure insurance authorization for MACI.</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have traditionally experienced a level of seasonality with respect to the timing of MACI revenues. In the last five years through 2024, MACI sales volumes from the first through the fourth quarter on average represented 21% (20%-22% range), 22% (16%-24% range), 23% (21%-26% range) and 34% (33%-38% range) respectively, of total annual volumes. Historically, MACI orders are normally stronger in the fourth quarter due to several factors including the satisfaction by patients of insurance deductible limits and the time of year patients prefer to start rehabilitation.</w:t>
      </w:r>
    </w:p>
    <w:p>
      <w:pPr>
        <w:spacing w:after="0" w:line="208"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Seasonal sales patterns and other variations related to our revenue recognition may cause significant fluctuations in our results of operations and cash flows. We expect to continue to experience this seasonality effect in subsequent years.</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Since MACI’s commercial launch, the product’s FDA-approved labeling has provided for a treating surgeon to use MACI to treat a patient through an open surgical procedure. In August 2024, the FDA approved a sBLA expanding the MACI indication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to add instructions for the arthroscopic delivery of MACI to the product’s approved labeling, permitting the repair of single or multiple full-thickness cartilage defects of the knee up to 4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 size via an arthroscopic approach. MACI Arthro™ provides a less invasive technique compared to the open arthrotomy approach and allows surgeons to evaluate, prepare and treat the cartilage defect, and deliver the MACI implant, under direct arthroscopic visualization and, should the surgeon so choose, to use specialized and custom-designed instruments (the “MACI Arthro instruments”) through small incisions or portals. The arthroscopic delivery of MACI could increase the ease of MACI’s use for physicians and may reduce both the length of the procedure as well as procedure-induced trauma, which may result in a reduction of a patient’s post-operative pain and accelerate a patient’s recovery. MACI Arthro became commercially available in the United States during the third quarter of 2024, and we began selling the MACI Arthro instruments at that time. To date, we have experienced strong surgeon interest in the MACI Arthro technique and Company-sponsored education and training programs concerning the arthroscopic approach are underway. We believe that the availability of MACI Arthro provides a significant growth opportunity for the overall MACI business. In conjunction with the launch of MACI Arthro, we have expanded our target surgeon base from 5,000 to 7,000 to include orthopedic surgeons that perform high volumes of knee cartilage repair surgeries, predominantly through arthroscopic procedures.</w:t>
      </w:r>
    </w:p>
    <w:p>
      <w:pPr>
        <w:spacing w:after="0" w:line="225"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also are evaluating the feasibility and potential market opportunity involved in delivering MACI treatment to patients suffering from cartilage damage in the ankle. We believe that this potential lifecycle enhancement and indication expansion for MACI will require conducting an additional randomized clinical trial concerning the product’s use in the ankle and we are on track to initiate a MACI Ankle clinical trial beginning in 2025. If approved, we believe MACI’s label expansion allowing its use to repair cartilage defects in the ankle will be a significant long-term growth driver for the product in the coming years.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comprising greater than or equal to 30 percent of TBSA. The extent of the skin surface that the burn affects is usually referred to as a percent of TBSA. Epicel is currently the only FDA-approved cultured epidermal autograft product available for large total surface area burns in both adult and pediatric patients.</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Epicel is produced by isolating and expanding keratinocytes, which are the predominant cell type in the epidermis or outer layer of the skin, and which are originally obtained by taking a small biopsy of a patient’s healthy skin. Epicel is an important treatment option for patients with severe burns because these patients are generally understood to need a keratinocyte-based epithelium, and, because of the severity and extent of their burns, these patients generally have very little healthy skin remaining on their bodies from which to obtain keratinocyte-based epithelium for autografting.</w:t>
      </w:r>
    </w:p>
    <w:p>
      <w:pPr>
        <w:spacing w:after="0" w:line="208"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Epicel is a cell-based product that is regulated by the Center for Biologics Evaluation and Research (“CBER”) of the FDA under medical device authorities. Epicel was designated as a HUD in 1998 and a Humanitarian Device Exemption (“HDE”) application for the product was submitted in 1999. HUDs are devices that are intended for diseases or conditions that affect fewer than 8,000 individuals annually in the U.S., and certain HUDs are restricted by the amount which a manufacturer may charge for its use. Epicel is not price-restricted in this manner because on February 18, 2016, the FDA approved our HDE supplement to revise the labeled indications of use for Epicel to specifically include pediatric patients, thus allowing Epicel to be sold for profit. The revised product label also now specifies that the probable benefit of Epicel, mainly related to survival, was demonstrated in two Epicel clinical experience databases and a physician-sponsored study comparing outcomes in patients with large burns treated with Epicel relative to standard care.</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Epicel</w:t>
      </w:r>
    </w:p>
    <w:p>
      <w:pPr>
        <w:spacing w:after="0" w:line="224"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Each year in the U.S., more than 40,000 people are hospitalized for burns. Approximately 1,500 of these patients are treated for burns covering more than 30% TBSA, the labeled indication for Epicel. Currently, the mortality rate for this group is approximately 34%, partially due to the inability to quickly close wounds because of the lack of remaining healthy tissue from which to harvest autografts. The typical Epicel patient has suffered full-thickness burns due to a wide variety of occupational, household or vehicular accidents. Many of the most severely burned patients are medivac transported to one of the approximately 140 specialized burn centers across the U.S. While the average acute care hospital has less than three admissions for burns annually, these specialized burn centers average over 200 admissions per year.</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Relative to clinical need, we believe Epicel has been underutilized by burn centers due to the lack of a consistent promotional and educational effort prior to our acquisition of the product. We expect Epicel’s utility to continue to grow as commercial and medical efforts are appropriately dedicated to the product and the burn centers that use it to treat patients.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Due to the low incidence and sporadic nature of severe burns, Epicel revenue has inherent variability from quarter to quarter and does not exhibit significant seasonality. Over the past five years, a single quarter has ranged from as high as 34% to as low as 17% of annual volumes. Seasonal sales patterns and other variations related to our revenue recognition may cause significant fluctuations in our results of operations and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portfolio of commercial-stage products also includes NexoBrid (anacaulase-bcdb), a topically-administered biological orphan product containing proteolytic enzymes, for which the FDA approved a BLA in December 2022 permitting the product’s use for the removal of eschar in adults with deep partial-thickness and/or full thickness thermal burns. Subsequently, in August 2024, the FDA approved an sBLA expanding NexoBrid’s indication to include pediatric patients.</w:t>
      </w:r>
    </w:p>
    <w:p>
      <w:pPr>
        <w:spacing w:after="0" w:line="208"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7"/>
          <w:szCs w:val="17"/>
          <w:color w:val="auto"/>
        </w:rPr>
        <w:t>The treatment pathway for burn patients is generally determined by the ultimate size and depth of a patient’s burn injury. Patients with full-thickness burn injuries of any size and partial-thickness burn injuries greater than 10% TBSA are most often transferred to specialized burn centers. These types of burn injuries, which damage the epidermal and dermal layers of the skin, require removal of the damaged tissue, or eschar, followed by grafting of the wound area to achieve closure of the wound. Early eschar removal and burn assessment are critical first steps in the treatment of burn patients. The early removal of eschar can help reduce inflammation, slow or stop burn progression and reduce the potential for infection and sepsis. Surgical excision of eschar, which involves slicing away the burn tissue until healthy tissue is reached, currently is the standard of care for the removal of eschar. There are limitations to this procedure, however, in that surgical excision is non-selective and can cause pain, blood loss and loss of healthy tissue. Currently, there also exist certain non-surgical approaches for the removal of eschar, which have limited efficacy and which have not been shown to reduce the need for surgical eschar removal.</w:t>
      </w:r>
    </w:p>
    <w:p>
      <w:pPr>
        <w:spacing w:after="0" w:line="20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treating patients with deep partial-thickness and/or full thickness burns, NexoBrid works to selectively degrade eschar over the course of approximately four hours while preserving viable tissue. NexoBrid can be administered to an area of up to 20% body surface area, in two separate applications, at the patient’s bedside through a series of steps. First, pain management as practiced for extensive dressing changes of burn wounds is administered, the wound is cleaned, a dressing soaked with antibacterial solution is applied to the treatment area and a petrolatum ointment barrier is created. The NexoBrid lyophilized powder is then mixed with a gel vehicle and applied to the wound. After a film dressing is applied, NexoBrid is left in place for four hours, after which the dissolved eschar is removed by scraping it away with a sterile blunt-edged instrument.</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NexoBrid</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NexoBrid is approved in the European Union (“EU”) and other international markets and has been designated as an orphan biologic in the U.S., EU and other international markets. NexoBrid has the potential to change the standard of care for eschar removal with respect to hospitalized burn patients and treat a significant addressable market in the U.S. With respect to NexoBrid, of the approximately 40,000 people that are hospitalized in the U.S. each year for burn-related injuries, the majority, over 30,000, have thermal burns and will likely require some level of eschar removal. NexoBrid’s FDA approval expands our burn care franchise’s total addressable market, which will permit us to treat a significantly larger segment of hospitalized burn patients than with Epicel alone. The expansion of our target addressable market supports a broader commercial footprint, and we believe that this will help drive both increased NexoBrid use as well as increased Epicel awareness throughout the burn care space.</w:t>
      </w:r>
    </w:p>
    <w:p>
      <w:pPr>
        <w:spacing w:after="0" w:line="21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Pursuant to the terms of our existing license agreement, following the FDA approval of NexoBrid, MediWound transferred the BLA to Vericel.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in August 2024, the FDA approved a supplemental BLA expanding NexoBrid’s indication to include pediatric patients.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Cell Manufacturing and Cell Production Components</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cell-manufacturing facility is located in Cambridge, Massachusetts, and is used for the U.S. manufacturing and distribution of MACI and Epicel. The Cambridge facility also houses our research and development function, which is responsible for process development, release assay development, and technology transfers between sites and departments.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22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bulk of our ongoing research and development activities are focused on exploring methods that improve our ability to efficiently manufacture high quality cell therapy products for patients. We have performed an in-depth analysis of the cell culture processes used in the manufacturing of Epicel and MACI and have identified several areas for potential improvement. Therefore, our research and development program is focused on the many facets of process development for all of our products including, but not limited to, tissue procurement and processing, cell culture surface and media modification, and other process efficiencies.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success depends in part on our ability, and the ability of our future licensors, to obtain patent protection for our products and processes.</w:t>
      </w:r>
    </w:p>
    <w:p>
      <w:pPr>
        <w:spacing w:after="0" w:line="247"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As part of the acquisition of the Cell Therapy and Regenerative Medicine (“CTRM”) business from Sanofi, we acquired a multinational intellectual property estate, which includes patents and patent applications directed to chondrocyte implants and technologies related to the determination of the presence of chondrocytes in the cell cultures used to produce the chondrocyte implants. Although we do not own any patents or patent applications relating to Epicel, many of the processes and techniques are trade secrets, and would be difficult to replicate without significant investment and time. We own issued patents directed to methods of determining the presence of chondrocytes in cell cultures used to produce both MACI and Carticel, which are scheduled to expire October 2029 in the U.S. and in April 2028 abroad. We own one issued patent directed to compositions and methods for repairing cartilage defects, scheduled to expire in the U.S. in February 2039. We have one issued patent in the U.S. directed to a device related to MACI that is set to expire in November 2033, and one issued patent in the EU set to expire in November 2034. We own one issued patent directed to methods and devices for repairing cartilage defects via arthroscopic MACI, scheduled to expire in the U.S. in March 2043.</w:t>
      </w:r>
    </w:p>
    <w:p>
      <w:pPr>
        <w:spacing w:after="0" w:line="21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As a biologic, MACI is entitled to twelve years of data exclusivity until December 13, 2028, calculated from its date of approval. When these patents and data exclusivity expire, our opportunity to establish or maintain product revenue could be substantially reduced.</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Since 2019, we have held exclusive license and supply agreements with MediWound to commercialize NexoBrid in North America. We will need to continue to comply with the terms of such agreements in order to maintain our rights to such patents as we further commercialize NexoBrid in 2025.</w:t>
      </w:r>
    </w:p>
    <w:p>
      <w:pPr>
        <w:spacing w:after="0" w:line="18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Our efforts to secure our proprietary rights also include our reliance on trade secrets and know-how, which we seek to protect, in part, by confidentiality agreements. It is our policy to require our employees, consultants, contractors, manufacturers, outside scientific collaborators, sponsored researchers and other advisors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limited circumstances. We also require signed confidentiality or material transfer agreements from any company that is to receive our confidential information. In the case of employees, consultants and contractors, the agreements generally provide that all inventions conceived by the individual while rendering services to us shall be assigned to us as the exclusive property of Vericel.</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See “Government Regulation - Product Approval” and “Risk Factors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Risks Related to Intellectual Property,” below, for additional information.</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also own a broadly filed trademark portfolio with registrations for MACI and Epicel, and additional registrations and applications for various marks related to those two products. MediWound has additionally registered trademarks with respect to NexoBrid, which we have licensed as part of our License Agreement with MediWound.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MACI, Epicel and NexoBrid are specialty products with focused physician and institutional call points. We have two sales teams, one dedicated to MACI and a Burn Care team focused on both Epicel and NexoBrid. Our MACI commercial team is divided into geographic regions and consists of sales representatives that regularly engage with our target audience and who are managed by a senior sales leadership team. In conjunction with the launch of MACI Arthro, we have expanded our target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surgeon base from 5,000 to 7,000 to include orthopedic surgeons that perform high volumes of knee cartilage repair surgeries, predominantly through arthroscopic procedures.</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Most private payers have a medical policy that covers treatment with MACI with the top 30 largest commercial payers having a formal medical policy for MACI or ACI in general. Even for private payers that have not yet approved a medical policy for MACI, for medically appropriate cases, we often obtain approval on a case-by-case basis.</w:t>
      </w:r>
    </w:p>
    <w:p>
      <w:pPr>
        <w:spacing w:after="0" w:line="20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We contract with two specialty pharmacies, Orsini Pharmaceutical Services, Inc. (“Orsini”) and AllCare Plus Pharmacy, Inc. (“AllCare”) to distribute MACI in a manner in which we retain the credit and collection risk from the end customer. We pay each specialty pharmacy a fee in each instance when it dispenses MACI for use in treating a patient. Both Orsini and AllCare perform collection activities to collect payment from customers. In addition, we sell MACI directly to hospitals pursuant to an agreed upon purchase order and to a distributor, DMS Pharmaceutical Group, Inc. (“DMS”) at a contracted rate for the treatment of patients at military facilities throughout the U.S. We engage a third-party contractor to provide services in connection with a patient support program to manage patient cases and to ensure that complete and accurate billing information is provided to insurers and hospitals.</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Following the approval and commercial launch of NexoBrid, we have expanded the burn care commercial team to include both account management and clinical specialist professionals. The burn care commercial team is divided into geographic regions and consists of sales representatives that regularly engage with our target audience and who are managed by a senior sales leadership team. There are approximately 140 burn centers in the U.S., and a subset of these institutions regularly treat patients suffering from large TBSA burns. We sell Epicel directly to hospitals and burn centers based on contracted rates stated in an approved contract or an applicable purchase order with the hospital. We sell NexoBrid to specialty distributors. These customers subsequently resell NexoBrid to hospitals and burn centers.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and the manufacturing and marketing of our products are subject to the laws and regulations of governmental authorities in the U.S. and other countries in which our products may be marketed. Specifically, in the U.S., the FDA regulates drugs, biologics and medical devices and requires new product approvals or clearances to assure the safety and effectiveness of these products. Governments in other countries have similar requirements for testing and marketing. In the U.S., in addition to meeting FDA regulations, we are also subject to other federal laws, such as the Occupational Safety and Health Act and the Environmental Protection Act, as well as certain state laws.</w:t>
      </w:r>
    </w:p>
    <w:p>
      <w:pPr>
        <w:spacing w:after="0" w:line="212"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7"/>
          <w:szCs w:val="17"/>
          <w:color w:val="auto"/>
        </w:rPr>
        <w:t>Some human cell or tissue products that are intended for implantation, transplantation, infusion, or transfer into a human recipient are regulated solely as human cell, tissue, and cellular and tissue-based products (“HCT/Ps”) and do not require the FDA’s premarket review. If these cell or tissue products do not meet the FDA’s requirements for regulation solely as an HCT/P, they require FDA premarket review and marketing authorization. The types of marketing authorizations required for non HCT/P cell therapy products have evolved since cell therapy products were initially introduced. Epicel was approved by FDA’s Center for Devices and Radiological Health (“CDRH”), as an HDE medical device in 2007, but now is regulated by CBER under the same medical device regulations. MACI, approved in 2016, is regulated by CBER as a combination cell therapy/device product and required an approved BLA to be marketed in the U.S. Significant changes to already approved products additionally require a supplemental BLA to be approved before such changes to products may be marketed in the U.S. In August 2024, the FDA approved a supplemental BLA expanding the MACI indication to add instructions for the arthroscopic delivery of MACI to the product’s approved labeling. NexoBrid is regulated by FDA’s Center for Drug Evaluation and Research (“CDER”) as a botanical protein biologic and the BLA associated with it was approved by the FDA on December 28, 2022, paving the way for marketing and commercialization. Subsequently, in August 2024, the FDA approved a supplemental BLA expanding NexoBrid’s indication to include pediatric patients. Commercial production of these products needs to occur in FDA-registered facilities in compliance with cGMP requirements for biologics.</w:t>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Regulatory Process</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FDA regulates biologics under the Federal Food, Drug, and Cosmetic Act (“FFDCA”) and the Public Health Service Act (“PHSA”), and their implementing regulations. Obtaining approval of a BLA for a new biological product is a lengthy process, leading from the development of a new product through preclinical and clinical testing. This process takes several years and requires expenditure of significant resources. There can be no assurance that our current or future product candidates will ultimately receive approval.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FFDCA, PHSA, and other federal and state statutes and regulations govern the research, testing, manufacture, safety, labeling, storage, record-keeping, approval, distribution, use, adverse event reporting, and advertising and promotion of our products. Noncompliance with applicable requirements can result in inspectional observations, FDA warning letters, civil penalties, recalls, injunctions or seizures of products, refusal of the government to approve our product approval applications or to allow us to enter into government supply contracts, withdrawal of previously approved applications and criminal prosecution.</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Product Approval</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order to obtain an FDA license for, or approval of, a new biological product, sponsors must submit proof of safety, purity and potency, or effectiveness. In most cases, such proof entails extensive nonclinical (also known as preclinical), studies in animal models and well-controlled clinical trials in human subjects. The testing and preparation of necessary applications and the processing of those applications by the FDA is expensive, can take several years to complete, and can have uncertain outcomes. The FDA regulatory review and approval process is complex and can result in requests for additional data, resulting in increased development costs, and time to market delays, or could preclude us altogether from bringing to market new products. The FDA may also require post-marketing studies and risk evaluation and mitigation strategies (“REMS”) as conditions of approval. These requirements, if imposed, add to the cost of regulatory compliance and the cost of selling, due to complex distribution and restricted commercial operations. Product approvals may be withdrawn if compliance with applicable regulations is not maintained or if safety issues are identified during routine safety monitoring following commercialization.</w:t>
      </w:r>
    </w:p>
    <w:p>
      <w:pPr>
        <w:spacing w:after="0" w:line="213"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Adequate and well-controlled clinical studies are required by the FDA for approval of a BLA. To conduct a clinical trial in the U.S., the study sponsor is required to submit an Investigational New Drug (“IND”) application, including the study protocols, prior to commencing human clinical trials. The submission must be supported by data, typically including the results of nonclinical, manufacturing and laboratory testing. The conduct of the nonclinical tests must comply with Good Laboratory Practices, as well as applicable cGMP requirements. Long-term nonclinical testing, such as animal reproductive toxicity and carcinogenicity studies, is conducted if warranted and its results are submitted in connection with the IND to support clinical investigations conducted to support a future BLA. Following the initial submission of the IND, the FDA has 30 days to review the application and raise safety and other clinical trial issues. If questions or objections are not raised within that period, the clinical trial of the investigational product may commence according to the protocol submitted to the FDA and following Institutional Review Board (“IRB”) approvals for each of the clinical sites where the study will be conducted. Protocol amendments need to be submitted and approved by the IRB and/or FDA prior to implementation. Clinical studies can also be conducted outside of the U.S. with or without a U.S. IND. However, a clinical trial application (“CTA”) or IND is required to be submitted to the local competent regulatory authority to begin conducting human clinical trials. The CTA has similar data requirements to those of an IND including the need for IRB and/or Ethics Committee approvals for investigational protocols.</w:t>
      </w:r>
    </w:p>
    <w:p>
      <w:pPr>
        <w:spacing w:after="0" w:line="215"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MACI and NexoBrid are regulated by the FDA as biologics. For products that are regulated as biologics, the FDA requires: (i) nonclinical animal testing to establish a safety profile and/or a starting dose for initiation of clinical trials in humans; (ii) submission to the FDA of an IND application, which must become effective prior to the initiation of human clinical trials; (iii) adequate and well-controlled clinical trials to demonstrate the safety, purity and potency, or effectiveness, of the product for its intended use; (iv) submission to the FDA of a BLA; and (v) review and approval of the BLA, including pre-license inspections conducted by FDA of the facilities that manufacture the biological product or components of the biological product.</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sometimes overlap:</w:t>
      </w:r>
    </w:p>
    <w:p>
      <w:pPr>
        <w:spacing w:after="0" w:line="247" w:lineRule="exact"/>
        <w:rPr>
          <w:sz w:val="20"/>
          <w:szCs w:val="20"/>
          <w:color w:val="auto"/>
        </w:rPr>
      </w:pPr>
    </w:p>
    <w:p>
      <w:pPr>
        <w:ind w:left="640" w:hanging="313"/>
        <w:spacing w:after="0" w:line="27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biological product is initially tested for safety and tolerability. The initial human testing is generally conducted in healthy patients. These trials may also provide early evidence of effectiveness.</w:t>
      </w:r>
    </w:p>
    <w:p>
      <w:pPr>
        <w:spacing w:after="0" w:line="189"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2—These trials are conducted in a limited number of subjects in the target population to determine a safe and effective dosage to evaluate in Phase 3 and to identify possibly related adverse effects and safety risks. Multiple Phase 2 clinical trials may be conducted by the sponsor to obtain information prior to beginning larger and more expensive Phase 3 clinical trials.</w:t>
      </w:r>
    </w:p>
    <w:p>
      <w:pPr>
        <w:spacing w:after="0" w:line="202" w:lineRule="exact"/>
        <w:rPr>
          <w:rFonts w:ascii="Times New Roman" w:cs="Times New Roman" w:eastAsia="Times New Roman" w:hAnsi="Times New Roman"/>
          <w:sz w:val="18"/>
          <w:szCs w:val="18"/>
          <w:color w:val="auto"/>
        </w:rPr>
      </w:pPr>
    </w:p>
    <w:p>
      <w:pPr>
        <w:jc w:val="both"/>
        <w:ind w:left="640" w:hanging="313"/>
        <w:spacing w:after="0" w:line="25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3—Phase 3 trials are undertaken to provide evidence of clinical efficacy and to further evaluate dosage, potency, and safety in an expanded patient population at multiple clinical trial sites. Phase 3 studies are performed after preliminary evidence suggesting effectiveness of the product has been obtained and they are intended to establish the overall benefit-risk relationship of the investigational product, and provide an adequate basis for product approval and labeling.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trials may be required by the FDA as a condition of approval to generate additional information and data from the treatment of patients in the intended therapeutic indication, particularly for long-term safety follow-up. The FDA has express statutory authority to require post-market clinical trials to address safety issues. All of these trials must be conducted in accordance with good clinical practice (“GCP”) requirements in order protect the health and safety of human subjects and for the data to be considered reliable for regulatory purposes.</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IND. Written IND safety reports must be promptly submitted to the FDA and the investigators for serious and unexpected adverse events; any findings from other studies, testing in laboratory animals or in vitro testing that suggests a significant risk for human subjects; or any clinically important increase in the rate of a serious suspected adverse reactions over that listed in the protocol or investigator’s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Phase 1, Phase 2, and Phase 3 clinical trials may not be completed successfully or within any specified period, or at all. Regulatory authorities, a data safety monitoring board or the sponsor may suspend a clinical trial at any time on various grounds, including a finding that the participants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208"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8"/>
          <w:szCs w:val="18"/>
          <w:color w:val="auto"/>
        </w:rPr>
        <w:t>An unapproved drug being studied in clinical trials may be made available to individual patients who are not enrolled in the trial in certain circumstances. Pursuant to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Century Cures Act, or Cures Act, which was signed into law in December 2016, the manufacturer of an unapproved, investigational drug for a serious disease or condition is required to make public and readily available, such as by posting on its website, its policy on evaluating and responding to requests for individual patient access to such investigational drug. This requirement applies upon initiation of a Phase 2 or Phase 3 trial of the investigational drug.</w:t>
      </w:r>
    </w:p>
    <w:p>
      <w:pPr>
        <w:spacing w:after="0" w:line="224"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the use of biological products, the Public Health Service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1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After completion of the required clinical testing, a BLA is prepared and submitted to the FDA. FDA review and approval of the BLA is required before the marketing of the product may begin in the U.S. The BLA must include the results of all nonclinical, clinical, and other testing, as well as a compilation of data relating to the quality and manufacture of the product, including, chemistry, manufacturing, and controls (“CMC”) information demonstrating the safety, purity and potency, or efficacy, of the product. The cost of preparing and submitting a BLA is substantial. Under federal law, the submission of most BLAs is subject to an application user fee, as well as an annual prescription drug product program user fee, which may total several million dollars; these fees generally are increased annually.</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FDA has 60 days from its receipt of a BLA to determine whether the application will be accepted for filing based on the agency’s threshold determination that the application is sufficiently complete to permit substantive review. Once the application is accepted for filing, the FDA begins an in-depth review. The FDA has agreed to certain performance goals in its review of BLAs, including to review 90 percent of standard BLAs within 10 months from the date the application is accepted for filing. Although the FDA often meets its user fee performance goals, the FDA can extend these timelines as warranted. The FDA usually refers applications for novel biologics, or biologics which present difficult questions of safety or efficacy, to an advisory committee (typically a panel that includes clinicians and other experts) for review, evaluation, and a recommendation as to whether the application should be approved. The FDA is not bound by the recommendation of the advisory committee, but it generally follows such recommendations. Before approving a BLA, the FDA will typically inspect one, or more, clinical sites to assure compliance with GCPs. Additionally, the FDA typically will inspect the facility or facilities at which the biologic is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manufactured as part of a pre-license inspection. The FDA will not approve the product unless it verifies that compliance with cGMP requirements is satisfactory and that the BLA contains data that provides substantial evidence that the biologic is safe, pure, and potent, or effective, for its intended use.</w:t>
      </w:r>
    </w:p>
    <w:p>
      <w:pPr>
        <w:spacing w:after="0" w:line="18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For certain products, the FDA also will not approve the product if the manufacturer is not in compliance with Good Tissue Practice (“GTP”) requirements. GTP requirements are set forth in the FDA regulations that govern the methods used in, and the facilities and controls used for, the manufacture of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To assure compliance with cGMP, GTP and GCP requirements, an applicant must expend significant time, money, and effort in the areas of training, record keeping, production, and quality control.</w:t>
      </w:r>
    </w:p>
    <w:p>
      <w:pPr>
        <w:spacing w:after="0" w:line="21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After the FDA evaluates the BLA and the manufacturing facilities, it issues either an approval letter or a complete response letter. A complete response letter means that the BLA will not be approved in its present form and generally outlines the deficiencies in the submission. Complete responses may require substantial additional testing, or information, in order for the FDA to reconsider the application. If and when those deficiencies have been addressed to the FDA’s satisfaction, the FDA will issue an approval letter. The agency generally will review such resubmissions within two or six months, depending on the type of information included in the resubmission. The FDA’s approval is never guaranteed, and the agency may refuse to approve a BLA if regulatory requirements are not satisfied.</w:t>
      </w:r>
    </w:p>
    <w:p>
      <w:pPr>
        <w:spacing w:after="0" w:line="21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An approval letter authorizes commercial marketing of the biologic with specific prescribing information for specific indications. The approval of a biologic may be significantly more limited than requested in the application, including limitations on the specific diseases and dosages or the indications for use, which could restrict the commercial value of the product. The FDA may also require that certain contraindications, warnings, or precautions be included in the product labeling. In addition, as a condition of BLA approval, the FDA may require a Risk Evaluation and Mitigation Strategy (“REMS”) to help ensure that the benefits of the biologic outweigh potential risks. A REMS can include medication guides, communication plans for healthcare professionals, and elements to assure safe use (“ETASU”). ETASU can include, but are not limited to, special training or certification for prescribing or dispensing, distribution controls, dispensing only under certain circumstances, special monitoring, and the use of patient registries. The requirement for a REMS (or use of a companion diagnostic with a biologic) can materially affect the potential market and profitability of the biologic. Moreover, product approval may require, as a condition of approval, substantial post-approval testing and surveillance to monitor the biologic’s safety or efficacy. Once granted, product approvals may be withdrawn if compliance with regulatory requirements and standards is not maintained, or problems are identified following initial marketing.</w:t>
      </w:r>
    </w:p>
    <w:p>
      <w:pPr>
        <w:spacing w:after="0" w:line="217"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Facilities manufacturing biological products for commercial distribution must be registered with the FDA. In addition to describing the preclinical studies and clinical trials of the biologic product, the BLA includes a description of the facilities, equipment and personnel involved in the manufacturing process. A biologics license, which is the product’s approval, is granted on the basis of inspections of the facilities where the product is manufactured. The primary focus of such inspections is compliance with cGMPs and the facility’s ability to consistently manufacture the product in the facility in accordance with the BLA. If the FDA finds the results of the inspection to be unsatisfactory, it may decline to approve the BLA, resulting in a delay in production and commercialization of products.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Combination Products in the U.S.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Certain products may be comprised of components that would normally be regulated under different types of regulatory requirements and frequently by different centers at the FDA. These products are known as combination products. Specifically, under regulations issued by the FDA, a combination product may be:</w:t>
      </w:r>
    </w:p>
    <w:p>
      <w:pPr>
        <w:spacing w:after="0" w:line="203" w:lineRule="exact"/>
        <w:rPr>
          <w:sz w:val="20"/>
          <w:szCs w:val="20"/>
          <w:color w:val="auto"/>
        </w:rPr>
      </w:pPr>
    </w:p>
    <w:p>
      <w:pPr>
        <w:ind w:left="640" w:hanging="31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comprised of two or more regulated components that are physically, chemically, or otherwise combined or mixed and produced as a single entity;</w:t>
      </w:r>
    </w:p>
    <w:p>
      <w:pPr>
        <w:spacing w:after="0" w:line="189"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separate products packaged together in a single package or as a unit and comprised of drug and device products, device and biological products, or biological and drug products;</w:t>
      </w:r>
    </w:p>
    <w:p>
      <w:pPr>
        <w:spacing w:after="0" w:line="189"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drug or device or biological product packaged separately that according to its investigational plan or proposed labeling is intended for use only with an approved, individually specified drug, or device, or biological product where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203" w:lineRule="exact"/>
        <w:rPr>
          <w:sz w:val="20"/>
          <w:szCs w:val="20"/>
          <w:color w:val="auto"/>
        </w:rPr>
      </w:pPr>
    </w:p>
    <w:p>
      <w:pPr>
        <w:ind w:left="640" w:hanging="313"/>
        <w:spacing w:after="0" w:line="27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8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Under the FFDCA, the FDA is charged with assigning a center with primary jurisdiction, or a lead center, for review of a combination product. That determination is based on the “primary mode of action” of the combination product. Thus, if the primary mode of action of a device-biologic combination product is attributable to the biologic product, the FDA center responsible for premarket review of the biologic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231F20"/>
        </w:rPr>
        <w:t>Accelerated Approval for Regenerative Advanced Therapies</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 xml:space="preserve">As part of the Cures Act, Congress amended the FFDCA to create an accelerated approval pathway for regenerative advanced therapies, which include cell therapies, therapeutic tissue engineering products, human cell and tissue products, and combination products using any such therapies or products. Regenerative advanced therapies do not include those HCT/Ps regulated solely under section 361 of the PHSA and 21 CFR Part 1271. The new program is intended to facilitate efficient development and expedite review of regenerative advanced therapies, which are intended to treat, modify, reverse, or cure a serious or life-threatening disease or condition. A sponsor may request that the FDA designate a drug as a regenerative advanced therapy concurrently with or at any time after submission of an IND. The FDA has 60 calendar days to determine whether the drug meets the criteria, including whether there is preliminary clinical evidence indicating that the drug has the potential to address unmet medical needs for a serious or life-threatening disease or condition. A new drug application or BLA for a regenerative advanced therapy may be eligible for priority </w:t>
      </w:r>
      <w:r>
        <w:rPr>
          <w:rFonts w:ascii="Times New Roman" w:cs="Times New Roman" w:eastAsia="Times New Roman" w:hAnsi="Times New Roman"/>
          <w:sz w:val="18"/>
          <w:szCs w:val="18"/>
          <w:color w:val="231F20"/>
        </w:rPr>
        <w:t>review or accelerated approval through surrogate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intermediate endpoints reasonably likely to predict long-term clinical benefit, or reliance upon data obtained from a meaningful number of sites. Therapies with a Regenerative Medicine Advanced Therapy (“RMAT”) designation will be eligible for accelerated approval through reliance on:</w:t>
      </w:r>
    </w:p>
    <w:p>
      <w:pPr>
        <w:spacing w:after="0" w:line="219" w:lineRule="exact"/>
        <w:rPr>
          <w:sz w:val="20"/>
          <w:szCs w:val="20"/>
          <w:color w:val="auto"/>
        </w:rPr>
      </w:pPr>
    </w:p>
    <w:p>
      <w:pPr>
        <w:ind w:left="460" w:hanging="213"/>
        <w:spacing w:after="0"/>
        <w:tabs>
          <w:tab w:leader="none" w:pos="4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Surrogate or intermediate endpoints reasonably likely to predict long-term clinical benefit; or</w:t>
      </w:r>
    </w:p>
    <w:p>
      <w:pPr>
        <w:spacing w:after="0" w:line="246" w:lineRule="exact"/>
        <w:rPr>
          <w:rFonts w:ascii="Times New Roman" w:cs="Times New Roman" w:eastAsia="Times New Roman" w:hAnsi="Times New Roman"/>
          <w:sz w:val="18"/>
          <w:szCs w:val="18"/>
          <w:color w:val="231F20"/>
        </w:rPr>
      </w:pPr>
    </w:p>
    <w:p>
      <w:pPr>
        <w:ind w:left="540" w:hanging="253"/>
        <w:spacing w:after="0"/>
        <w:tabs>
          <w:tab w:leader="none" w:pos="540" w:val="left"/>
        </w:tabs>
        <w:numPr>
          <w:ilvl w:val="1"/>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Data obtained from a meaningful number of sites, including through expansion to additional sites, as appropriate.</w:t>
      </w:r>
    </w:p>
    <w:p>
      <w:pPr>
        <w:spacing w:after="0" w:line="247" w:lineRule="exact"/>
        <w:rPr>
          <w:sz w:val="20"/>
          <w:szCs w:val="20"/>
          <w:color w:val="auto"/>
        </w:rPr>
      </w:pPr>
    </w:p>
    <w:p>
      <w:pPr>
        <w:ind w:left="80" w:firstLine="200"/>
        <w:spacing w:after="0" w:line="277" w:lineRule="auto"/>
        <w:rPr>
          <w:sz w:val="20"/>
          <w:szCs w:val="20"/>
          <w:color w:val="auto"/>
        </w:rPr>
      </w:pPr>
      <w:r>
        <w:rPr>
          <w:rFonts w:ascii="Times New Roman" w:cs="Times New Roman" w:eastAsia="Times New Roman" w:hAnsi="Times New Roman"/>
          <w:sz w:val="18"/>
          <w:szCs w:val="18"/>
          <w:color w:val="231F20"/>
        </w:rPr>
        <w:t>Another benefit of RMAT designation is that it creates the option to meet post-approval requirements without having to conduct the standard, controlled clinical trial. Instead, post-approval requirements can be met through:</w:t>
      </w:r>
    </w:p>
    <w:p>
      <w:pPr>
        <w:spacing w:after="0" w:line="189" w:lineRule="exact"/>
        <w:rPr>
          <w:sz w:val="20"/>
          <w:szCs w:val="20"/>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evidence, clinical studies, patient registries, or other sources of real-world evidence, such as electronic health records;</w:t>
      </w:r>
    </w:p>
    <w:p>
      <w:pPr>
        <w:spacing w:after="0" w:line="246" w:lineRule="exact"/>
        <w:rPr>
          <w:rFonts w:ascii="Times New Roman" w:cs="Times New Roman" w:eastAsia="Times New Roman" w:hAnsi="Times New Roman"/>
          <w:sz w:val="18"/>
          <w:szCs w:val="18"/>
          <w:color w:val="231F20"/>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collection of larger confirmatory data sets; or</w:t>
      </w:r>
    </w:p>
    <w:p>
      <w:pPr>
        <w:spacing w:after="0" w:line="246" w:lineRule="exact"/>
        <w:rPr>
          <w:rFonts w:ascii="Times New Roman" w:cs="Times New Roman" w:eastAsia="Times New Roman" w:hAnsi="Times New Roman"/>
          <w:sz w:val="18"/>
          <w:szCs w:val="18"/>
          <w:color w:val="231F20"/>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Post-approval monitoring of all patients treated with such therapy prior to approval of the therapy.</w:t>
      </w:r>
    </w:p>
    <w:p>
      <w:pPr>
        <w:spacing w:after="0" w:line="247"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231F20"/>
        </w:rPr>
        <w:t>Finally, the designation also includes early interactions with the FDA to discuss any potential surrogate or intermediate endpoint to be used to support accelerated approval.</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Humanitarian Device Exemption</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Unless an exemption applies, each medical device commercially distributed in the U.S. requires either a substantial equivalence determination under a premarket notification submission pursuant to Section 510(k) of the FFDCA, or approval of a premarket approval application (“PMA”). The FDA provides an incentive for the development of certain devices intended to benefit patients by treating or diagnosing a disease or condition that affects or is manifested in not more than 8,000 individuals in the U.S. per year. These devices receive a HUD designation and may be eligible for marketing approval under an HDE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application. An HDE application is a premarket approval application that seeks an exemption from the effectiveness requirement that would otherwise apply to the application. FDA approval of an HDE application authorizes the applicant to market the device.</w:t>
      </w:r>
    </w:p>
    <w:p>
      <w:pPr>
        <w:spacing w:after="0" w:line="18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To obtain marketing approval for a HUD, an HDE application is submitted to the FDA. An HDE application is similar in both form and content to a PMA application in that the applicant must demonstrate a reasonable assurance of safety, but in an HDE application, the applicant seeks an exemption from the PMA requirement to demonstrate reasonable assurance of effectiveness. An HDE application is not required to contain the results of scientifically valid clinical investigations demonstrating that the device is effective for its intended purpose. The application, however, must contain sufficient information for the FDA to determine that the device does not pose an unreasonable or significant risk of illness or injury, and that the probable benefit to health outweighs the risk of injury or illness from its use, taking into account the probable risks and benefits of currently available devices or alternative forms of treatment. Additionally, the applicant must demonstrate that no comparable devices are available to treat or diagnose the disease or condition, and that they could not otherwise bring the device to market.</w:t>
      </w:r>
    </w:p>
    <w:p>
      <w:pPr>
        <w:spacing w:after="0" w:line="21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Except in certain circumstances, HUDs approved under an HDE cannot be sold for profit, i.e. for an amount that exceeds the costs of research and development, fabrication, and distribution of the device. Under the current HDE provision, as amended by the Food and Drug Administration Safety and Innovation Act (the “FDASIA”), a device is eligible to be sold for profit after receiving HDE approval if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is intended for the treatment or diagnosis of a disease or condition that does not occur in pediatric patients or that occurs in pediatric patients in such numbers that the development of the device for such patients is impossible, highly impracticable, or unsafe. If the FDA determines that a HUD meets the eligibility criteria, the HUD is permitted to be sold for profit after receiving HDE approval so long as the number of devices distributed in any calendar year does not exceed the FDA-determined Annual Distribution Number (“ADN”) for the device. The holder of the HDE must immediately notify the FDA if the number of devices distributed during a calendar year exceeds the ADN. The ADN is determined by the FDA (i) when the agency approves the original HDE application, or (ii) when the agency approves an HDE supplement for an HDE approved before the enactment of FDASIA if the HDE holder seeks a determination based upon the profit-making eligibility criteria, and the FDA determines that the HUD meets the eligibility criteria.</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FDA Post-Approval Requirements</w:t>
      </w:r>
    </w:p>
    <w:p>
      <w:pPr>
        <w:spacing w:after="0" w:line="22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local, and foreign statutes and regulations requires the expenditure of substantial time and financial resources. Rigorous and extensive FDA regulation of biological products and devices continues after approval, particularly with respect to cGMPs. We will rely, and expect to continue to rely, on third parties to manufacture or supply certain components, equipment, disposable devices, testing and other materials used in our manufacturing process for any products that we commercialize or may commercialize. With respect to NexoBrid, we will rely on MediWound to source supplies for the manufacture and to manufacture the product to support our commercialization efforts in the U.S. Manufacturers of our products are required to comply with applicable cGMP requirements, including quality control, quality assurance and maintenance of records and documentation. We cannot be certain that we, MediWound, or our present or future suppliers will be able to comply with the cGMP requirements and other FDA regulatory requirements. Other post-approval requirements applicable to biological products include the reporting of cGMP deviations that may affect the identity, potency, purity and overall safety of a distributed product, record-keeping requirements, monitoring and reporting of adverse effects, reporting updated safety and efficacy information, periodic reporting requirements and complying with electronic record and signature requirements. Similarly, there are a number of post-marketing requirements for devices, including: 1) medical device reporting regulations that require manufacturers to report to the FDA if a device may have caused or contributed to a death or serious injury or malfunctioned in a way that would likely cause or contribute to a death or serious injury if it were to recur; and 2) corrections and removal reporting regulations that require manufacturers to report to the FDA field corrections and product recalls or removals if undertaken to reduce a risk to health posed by the device or to remedy a violation of the FFDCA that may present a risk to health. Additionally, devices must comply with the cGMP requirements that are set forth in the FDA’s Quality System Regulation (“QSR”), including complaint handling and corrective and preventative actions.</w:t>
      </w:r>
    </w:p>
    <w:p>
      <w:pPr>
        <w:spacing w:after="0" w:line="220"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After a BLA is approved, the biological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viral vaccines, before releasing the lots for distribution by the manufacturer. In addition, the FDA conducts laboratory research related to the regulatory standards on the safety, purity, potency, and effectiveness of biological products. After approval of biologics, manufacturers must address any safety issues that arise, may be required to recall products or halt manufacturing, and are subject to periodic inspection after approval.</w:t>
      </w:r>
    </w:p>
    <w:p>
      <w:pPr>
        <w:spacing w:after="0" w:line="20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Discovery of previously unknown problems or the failure to comply with the applicable regulatory requirements, by us or our suppliers, may result in restrictions on the marketing of a product or withdrawal of the product from the market as well as possible civil or criminal sanctions and adverse publicity. FDA sanctions could include refusal to approve pending applications, license revocation,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other civil or criminal penalties. Any agency or judicial enforcement action could have a material adverse effect on us.</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Biological product and medical device manufacturers and other entities involved in the manufacture and distribution of approved biological products and devices are required to register their facilities with the FDA and certain state agencies and they are subject to periodic unannounced inspections by the FDA and certain state agencies for compliance with cGMP and other laws.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with certain exceptions. For product(s) manufactured outside the U.S., failure to comply with applicable regulatory requirements, including cGMPs, could result in FDA placing the manufacturing facility on an import alert, meaning that the product(s) cannot be imported into the U.S. until the non-compliance with regulatory requirements is corrected to FDA’s satisfaction.</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Pediatric Research Equity Act</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Under the Pediatric Research Equity Act (“PREA”), a BLA or BLA supplement claiming a new indication must contain data to assess the safety and effectiveness of the biological product for the claimed indications in all relevant pediatric subpopulations and to support dosing and administration for each pediatric subpopulation for which the product is safe and effective, for a new product, new indication, or new dosage form. The intent of PREA is to compel sponsors whose products have pediatric applicability to study those products in pediatric populations, rather than ignoring pediatric indications in favor of adult indications that could be more economically desirable. Even so, the FDA may grant deferrals for submission of pediatric data or full or partial waivers. By its terms, PREA does not apply to any biological product for an indication for which orphan designation has been granted, unless the FDA issues regulations saying otherwise. Because the FDA has not issued any such regulations, submission of a pediatric assessment is not required for an application to market a product for an orphan-designated indication, and waivers are not needed at this time. However, if only one indication for a product has orphan designation, a pediatric assessment may still be required for any applications to market that same product for the non-orphan indication(s).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current or future product candidates, some of our U.S. patents may be eligible for limited patent term extension under the Drug Price Competition and Patent Term Restoration Act of 1984, commonly referred to as the Hatch-Waxman Amendments. Patent term restoration can compensate for time lost during product development and the regulatory review process by returning up to five years of patent life for a patent that covers a new product or its use. However, patent term restoration cannot extend the remaining term of a patent beyond a total of 14 years from the product’s approval date. The period of patent term restoration is generally one-half the time between the effective date of an IND (falling after issuance of the patent) and the submission date of a BLA, plus the time between the submission date of the BLA and the approval of that application, except that the review period is reduced by any time during which the applicant failed to exercise due diligence in seeking approval of the application. Only one patent applicable to an approved biological product is eligible for the extension, and the application for the extension must be submitted prior to the expiration of the patent. The application for patent term extension is subject to approval by the U.S. Patent and Trademark Office, or PTO, in consultation with the FDA.</w:t>
      </w:r>
    </w:p>
    <w:p>
      <w:pPr>
        <w:spacing w:after="0" w:line="21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 biological product can obtain pediatric market exclusivity in the U.S. This six-month exclusivity, which runs from the end of other exclusivity protection or patent term, may be granted based on the voluntary completion of a pediatric study in accordance with an FDA-issued “Written Request” for such a study.</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Biosimilars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Patient Protection and Affordable Care Act (“ACA”), includes the Biologics Price Competition and Innovation Act of 2009. That Act created an approval pathway authorizing the FDA to approve biosimilars and interchangeable biosimilars. Biosimilars are biological products which are “highly similar” to a previously approved biologic product or “reference product” and for which there are no clinically meaningful differences between the biosimilar product and the reference product in terms of safety, purity, and potency as shown through analytical studies, animal studies and a clinical study or studies. For the FDA to approve a biosimilar product as interchangeable with the reference product, the agency must find that the biosimilar product can be expected to produce the same clinical results as the reference product and, for products administered multiple times, the biosimilar and the reference product may be switched after one has been previously administered without increasing safety risks or risks of diminished efficacy relative to exclusive use of the reference biologic. A reference biologic is granted 12 years of exclusivity from the time of first licensure of the reference product.</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FDA closely regulates the post-approval marketing and promotion of biologics and devices, including regulating through standards and regulations for direct-to-consumer advertising and promotional activities involving the internet. The agency also prohibits the off-label promotion of biologics and devices and provides guidance on industry-sponsored scientific and educational activities to ensure that these activities are not promotional. Any claims we make about our products in advertising or promotion must be appropriately balanced with important safety information and otherwise adequately substantiated. A company’s failure to comply with these requirements can result in adverse publicity and significant penalties, including the issuance of untitled or warning letters directing a company to correct deviations from FDA standards, a requirement to issue corrective advertising, FDA pre-clearance of future advertising and promotional materials, injunctions, and federal and state civil and criminal investigations and prosecutions.</w:t>
      </w:r>
    </w:p>
    <w:p>
      <w:pPr>
        <w:spacing w:after="0" w:line="213"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While doctors are free to prescribe any product approved by the FDA for use, a company can only make claims relating to safety and effectiveness of a biological product or device that are consistent with the FDA approval or clearance, and the company is allowed to actively market and promote a biological product or device only for the particular use and treatment approved or cleared by the FDA. For BLAs, changes to some of the conditions established in an approved application, including changes in indications, labeling, or manufacturing processes or facilities, require submission of a new BLA or BLA supplement and FDA approval of the same before the change can be implemented. A BLA supplement for a new indication often requires clinical data similar to that in the original application, and the FDA uses the same procedures and actions in reviewing BLA supplements as it does in reviewing BLAs. Similarly, changes to approved or cleared devices may require FDA’s premarket review.</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251" w:lineRule="exact"/>
        <w:rPr>
          <w:sz w:val="20"/>
          <w:szCs w:val="20"/>
          <w:color w:val="auto"/>
        </w:rPr>
      </w:pPr>
    </w:p>
    <w:p>
      <w:pPr>
        <w:jc w:val="both"/>
        <w:ind w:firstLine="240"/>
        <w:spacing w:after="0" w:line="271" w:lineRule="auto"/>
        <w:rPr>
          <w:sz w:val="20"/>
          <w:szCs w:val="20"/>
          <w:color w:val="auto"/>
        </w:rPr>
      </w:pPr>
      <w:r>
        <w:rPr>
          <w:rFonts w:ascii="Times New Roman" w:cs="Times New Roman" w:eastAsia="Times New Roman" w:hAnsi="Times New Roman"/>
          <w:sz w:val="17"/>
          <w:szCs w:val="17"/>
          <w:color w:val="auto"/>
        </w:rPr>
        <w:t>Under the Orphan Drug Act, the FDA may grant orphan designation to drugs or biologics intended to treat a rare disease or condition, generally a disease or condition that affects fewer than 200,000 individuals in the U.S., or affects more than 200,000 individuals in the U.S. and for which there is no reasonable expectation that the cost of developing and making available the drug or biologic in the U.S. for such disease or condition will be recovered from sales in the U.S. of such drug or biologic. Orphan drug designation must be requested by the BLA sponsor and granted by the FDA before the application is submitted. Among the other benefits, orphan drug designation provides opportunities for grant funding towards clinical trial costs, tax credits for certain research and a</w:t>
      </w:r>
    </w:p>
    <w:p>
      <w:pPr>
        <w:spacing w:after="0" w:line="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waiver of the BLA application user fee. After the FDA grants orphan drug designation, the generic identity of the biologic and its potential orphan use are disclosed publicly by the FDA. Orphan drug designation does not necessarily convey any advantage in, or shorten the duration of, the regulatory review and approval process. The first BLA applicant to receive FDA approval for a particular product to treat a particular disease with FDA orphan drug designation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 if the FDA finds that the holder of the orphan exclusivity has not shown that it can assure the availability of sufficient quantities of the orphan product to meet the needs of patients with the disease or condition for which the biologic was designated. Orphan drug exclusivity, which would most likely run concurrently with the marketing exclusivity, if any, received from the time of first licensure of a reference product, does not prevent the FDA from approving a different biologic for the same disease or condition, or the same biologic for a different disease or condition.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51"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7"/>
          <w:szCs w:val="17"/>
          <w:color w:val="auto"/>
        </w:rPr>
        <w:t>In the U.S., the research, manufacturing, distribution, sale and promotion of biological products and devices are subject to regulation by various federal, state, and local authorities, including (in addition to the FDA), the Centers for Medicare &amp; Medicaid Services, other divisions of the U.S. Department of Health and Human Services (e.g., the Office of Inspector General), the U.S. Department of Justice, state Attorneys General, and other federal, state, and local government agencies. For example, sales, marketing, and scientific/educational grant programs must comply with the FFDCA, the Anti-Kickback Statute, as amended, the False Claims Act, as amended, the privacy regulations promulgated under the Health Insurance Portability and Accountability Act, or HIPAA, and similar state laws.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20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As noted above, in the U.S., we are subject to complex laws and regulations pertaining to healthcare “fraud and abuse,” including, but not limited to, the federal Anti-Kickback Statute, the federal False Claims Act, and other state and federal laws and regulations. The Anti-Kickback Statute makes it illegal for any person, including a medical device or biological product manufacturer (or a party acting on its behalf) to knowingly and willfully solicit, receive, offer, or pay any remuneration that is intended to induce the referral of business, including the purchase or order of an item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many states have adopted laws similar to the Anti-Kickback Statute. Some of these state prohibitions apply to the referral of patients for healthcare services reimbursed by any insurer, not just federal healthcare programs like Medicare and Medicaid. Due to the breadth of these federal and state anti-kickback laws and the potential for additional legal or regulatory change in this area, it is possible that our sales and marketing practices and/or our relationships with physicians might be challenged under anti-kickback laws, which could harm us. Because we commercialize products that could be reimbursed under a federal healthcare program and other governmental healthcare programs, we have developed and maintain a comprehensive compliance program that establishes internal controls to facilitate adherence to the rules and program requirements to which we are subject.</w:t>
      </w:r>
    </w:p>
    <w:p>
      <w:pPr>
        <w:spacing w:after="0" w:line="21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The federal False Claims Act prohibits anyone from, among other things, knowingly presenting, or causing to be presented, for payment by federal programs (including Medicare and Medicaid) claims for items or services, including for medical devices or biological products, that are false or fraudulent. Although we would not submit claims directly to payers, manufacturers can be held liable under these laws if they are deemed to “cause” the submission of false or fraudulent claims by, for example, providing inaccurate billing or coding information to customers or promoting a product for off-label uses.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off-label promotion of drugs. Penalties for a False Claims Act violation include three times the actual damages sustained by the government, plus mandatory civil penalties of between $13,946 and $27,894 for each separate false claim, the potential for exclusion from participation in federal healthcare programs, and penalties associated with various federal criminal statutes (although the federal False Claims Act is a civil statute, conduct that results in a False Claims Act violation may also implicate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224"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213"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including the Final Omnibus Rule published in January 2013, imposes requirements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certain covered healthcare providers, health plans, and healthcare clearinghouses as well as their respective business associates, independent contractors, or agents that perform services involving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20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There are also an increasing number of state laws that require manufacturers to make reports to states on pricing and marketing information. In addition, a provision of the ACA, referred to as the Sunshine Act, requires biological product manufacturers to track and report to the federal government certain payments or other transfers of value made to physicians (defined to include doctors, dentists, optometrists, podiatrists, and chiropractors) and teaching hospitals in the previous calendar year. Effective January 1, 2022, these reporting obligations extend to include transfers of value made to certain non-physician providers (physician assistants, nurse practitioners, clinical nurse specialists, certified registered nurse anesthetists and anesthesiologist assistants, and certified nurse midwives).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federal authorities.</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addition to regulations in the U.S., a variety of foreign regulations govern clinical trials, commercial sales, and distribution of product candidates. The marketing authorization approval process and requirements vary from country to country, and the review timelines may be longer or shorter than that required for FDA approval.</w:t>
      </w:r>
    </w:p>
    <w:p>
      <w:pPr>
        <w:spacing w:after="0" w:line="20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EU pharmaceutical legislation requires a Marketing Authorization Holder (“MAH”) in the EU to comply with the Pediatric Investigational Plan (“PIP”) that is in place as a post-authorization commitment agreed to with the Pediatric Committee (“PDCO”) within the European Medicines Agency (“EMA”) to undergo an initial license renewal procedure within five years after initial market authorization. Our license to market MACI in the EU was suspended due to closure of a European manufacturing facility. Renewal of the license would have required the registration, qualification, and approval of an EU-compliant cGMP manufacturing facility before the end of the applicable renewal period in June 2018. However, we did not take such actions prior to expiration, and therefore the EU marketing authorization for MACI expired in June 2018.</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and Reimbursement</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the U.S. and other countries, sales of any products for which we receive regulatory approval for commercial sale will depend in part on the availability of reimbursement from third-party payers, including government health administrative authorities, managed care providers, private health insurers, and other organizations. Third-party payers are increasingly examining the medical necessity and cost effectiveness of medical products and services in addition to safety and efficacy and, accordingly, significant uncertainty exists as to the reimbursement status of newly approved therapeutics. Factors that payers consider in determining reimbursement are based on whether the product is (i) a covered benefit under its health plan; (ii) safe, effective, and medically necessary; (iii) appropriate for the specific patient; (iv) cost-effective; and (v) neither experimental nor investigational. Third-party reimbursement adequate to enable us to realize an appropriate return on our investment in research and product development may not be available for our products. Further, one payer’s determination to provide coverage for a product does not assure that other payers will also provide coverage and reimbursement for the product and the level of coverage and reimbursement can differ significantly from payer to payer.</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both the U.S. and certain foreign jurisdictions, there have been, and continue to be, a number of legislative and regulatory changes to the health care system. Among policy makers and payers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 In particular, on August 16, 2022, President Biden signed Public Law 117-169, commonly referred to as the Inflation Reduction Act of 2022 (“IRA”), which significantly impacts prescription drug costs and pricing. More specifically, the IRA for the first time allows the government to directly negotiate drug prices with manufacturers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of certain “select drugs,” creates inflation rebates for Medicare drugs whose price increases faster than the rate of inflation, benchmarked to 2021, and restructures the Medicare Prescription Drug (Part D) program in significant ways.</w:t>
      </w:r>
    </w:p>
    <w:p>
      <w:pPr>
        <w:spacing w:after="0" w:line="189"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There has been heightened governmental scrutiny in the U.S. of pharmaceutical pricing practices in light of the rising cost of prescription drugs and biologics. At a federal level, President Biden signed an Executive Order on July 9, 2021 and again on October 14, 2022, affirming the administration’s policy: (i) to support legislative reforms that would lower the prices of prescription drug and biologics, including by allowing Medicare to negotiate drug prices, by imposing inflation caps, and, by supporting the development and market entry of lower-cost generic drugs and biosimilars; (ii) to support the enactment of a public health insurance option, and (iii) to take further steps to reduce drug prices beyond the changes approved by Congress in the IRA. Among other things, the Executive Orders also direct HHS to provide a report on actions to combat excessive pricing of prescription drugs, enhance the domestic drug supply chain, reduce the price that the Federal government pays for drugs, and address price gouging in the industry. They also direct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In January 2024, the FDA authorized Florida’s importation plan and is considering authorizing importation plans submitted by other states. Importation of drugs from Canada may materially and adversely affect the price we receive for any of our product candidates.</w:t>
      </w:r>
    </w:p>
    <w:p>
      <w:pPr>
        <w:spacing w:after="0" w:line="2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the U.S., individual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In some cases, state measures have been designed to encourage importation of drugs from other countries and bulk purchasing.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Environment for Cartilage Repair and Burn Treatment</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biotechnology and medical device industries are characterized by rapidly evolving technology and intense competition. Our competitors include major multinational medical device companies, pharmaceutical companies, biotechnology companies (those that process and distribute human tissue as well as human tissue-derived products or tissue banks), and stem cell companies operating in the fields of tissue engineering, regenerative medicine, orthopedics and neural medicine. Many of these companies are well-established and possess technical, research and development, financial, and sales and marketing resources significantly greater than ours. In addition, many of our smaller potential competitors have formed strategic collaborations, partnerships and other types of joint ventures with larger, well-established industry competitors that afford these companies potential research and development and commercialization advantages in the technology and therapeutic areas currently being pursued by us. Academic institutions, governmental agencies and other public and private research organizations are also conducting and financing research activities which may produce products directly competitive to those being commercialized by us. Moreover, many of these competitors may be able to obtain patent protection, obtain FDA and other regulatory approvals and begin commercial sales of their products before us.</w:t>
      </w:r>
    </w:p>
    <w:p>
      <w:pPr>
        <w:spacing w:after="0" w:line="21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For patients diagnosed with cartilage defects, there are several treatment options, including arthroscopic debridement/chondroplasty, marrow stimulation techniques such as microfracture, osteochondral autografts or allograft derived tissue products for smaller cartilage injuries, osteochondral allografts, and autologous chondrocyte implants (e.g., MACI) for larger injuries.</w:t>
      </w:r>
    </w:p>
    <w:p>
      <w:pPr>
        <w:spacing w:after="0" w:line="203" w:lineRule="exact"/>
        <w:rPr>
          <w:sz w:val="20"/>
          <w:szCs w:val="20"/>
          <w:color w:val="auto"/>
        </w:rPr>
      </w:pPr>
    </w:p>
    <w:p>
      <w:pPr>
        <w:jc w:val="both"/>
        <w:ind w:firstLine="240"/>
        <w:spacing w:after="0" w:line="223" w:lineRule="auto"/>
        <w:rPr>
          <w:sz w:val="20"/>
          <w:szCs w:val="20"/>
          <w:color w:val="auto"/>
        </w:rPr>
      </w:pPr>
      <w:r>
        <w:rPr>
          <w:rFonts w:ascii="Times New Roman" w:cs="Times New Roman" w:eastAsia="Times New Roman" w:hAnsi="Times New Roman"/>
          <w:sz w:val="18"/>
          <w:szCs w:val="18"/>
          <w:color w:val="auto"/>
        </w:rPr>
        <w:t>The main competing treatments for MACI in the U.S. are microfracture and osteochondral allograft. Microfracture, a minimally invasive procedure that can be performed during the initial arthroscopic procedure, involves creating small fractures in the underlying bone allowing bone marrow to enter the defect. This treatment eventually forms a weaker form of cartilage known as fibrocartilage which can offer shorter term relief but is at high risk of breaking down in larger defects. This treatment is sometimes augmented with allograft derived products such as BioCartilage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Cartiform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(distributed by Arthrex, Inc.) and Prochondrix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(distributed by Stryker Corporation). Additionally, CartiMax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(distributed by ConMed Corporation) is an allograft filler that can be used to treat certain cartilage defects. Other competitive treatments in the U.S. include a juvenile donor-derived allograft product, DeNovo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NT, marketed by Zimmer Biomet Holdings, Inc. The osteochondral allograft procedure involves the transplant of a bone and cartilage graft from a deceased donor. The donor tissue is processed by a number of tissue banks and distributed by several companies. There are multiple other cartilage repair technologies currently being studied in clinical and preclinical studies. Hyalofast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biodegradable hyaluronic acid-based scaffold used in conjunction with autologous concentrated bone marrow aspirate being developed by Anika Therapeutics, Inc. The Phase 3 trial completed patient enrollment in 2023. The final module of clinical data is expected to be filed with FDA in late 2025. Potential U.S. launch is anticipated in 2026. Agili-C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non-cellular biphasic implant derived from aragonite coral which is implanted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into the subchondral bone. On March 29, 2022, Agili-C received premarket approval from the FDA and is indicated for the treatment of International Cartilage Repair Society (ICRS) grade III or above knee-joint surface lesions, with a total treatable area of 1-7cm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for patients without severe osteoarthritis. Agili-C was developed by CartiHeal, a privately held company headquartered in Israel. In January 2024, Smith &amp; Nephew, plc. completed the acquisition of CartiHeal, the developer of Agili-C.</w:t>
      </w:r>
    </w:p>
    <w:p>
      <w:pPr>
        <w:spacing w:after="0" w:line="223" w:lineRule="exact"/>
        <w:rPr>
          <w:sz w:val="20"/>
          <w:szCs w:val="20"/>
          <w:color w:val="auto"/>
        </w:rPr>
      </w:pPr>
    </w:p>
    <w:p>
      <w:pPr>
        <w:jc w:val="both"/>
        <w:ind w:firstLine="240"/>
        <w:spacing w:after="0" w:line="233" w:lineRule="auto"/>
        <w:rPr>
          <w:sz w:val="20"/>
          <w:szCs w:val="20"/>
          <w:color w:val="auto"/>
        </w:rPr>
      </w:pPr>
      <w:r>
        <w:rPr>
          <w:rFonts w:ascii="Times New Roman" w:cs="Times New Roman" w:eastAsia="Times New Roman" w:hAnsi="Times New Roman"/>
          <w:sz w:val="18"/>
          <w:szCs w:val="18"/>
          <w:color w:val="auto"/>
        </w:rPr>
        <w:t>MACI is the only FDA-approved ACI product on the market in the U.S. We are aware of one other ACI product in development in the U.S. for the treatment of articular cartilage defects of the knee. Aesculap Biologics completed enrollment in its Phase 3 clinical trial for NOVOCART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3D in the U.S. in 2023. It was subsequently announced in June of 2024 that the NOVOCART assets had been acquired by Octane Medical Group.</w:t>
      </w:r>
    </w:p>
    <w:p>
      <w:pPr>
        <w:spacing w:after="0" w:line="222" w:lineRule="exact"/>
        <w:rPr>
          <w:sz w:val="20"/>
          <w:szCs w:val="20"/>
          <w:color w:val="auto"/>
        </w:rPr>
      </w:pPr>
    </w:p>
    <w:p>
      <w:pPr>
        <w:jc w:val="both"/>
        <w:ind w:firstLine="240"/>
        <w:spacing w:after="0" w:line="256" w:lineRule="auto"/>
        <w:rPr>
          <w:sz w:val="20"/>
          <w:szCs w:val="20"/>
          <w:color w:val="auto"/>
        </w:rPr>
      </w:pPr>
      <w:r>
        <w:rPr>
          <w:rFonts w:ascii="Times New Roman" w:cs="Times New Roman" w:eastAsia="Times New Roman" w:hAnsi="Times New Roman"/>
          <w:sz w:val="17"/>
          <w:szCs w:val="17"/>
          <w:color w:val="auto"/>
        </w:rPr>
        <w:t>Patients who are severely burned over a substantial portion of their TBSA have few options for permanent skin coverage. When undamaged skin is available, a procedure known as meshed split-thickness auto-grafting can be considered. However, this option becomes less viable as the percentage of TBSA burn increases. Epicel is a potentially lifesaving therapy and represents the only FDA-approved option for patients with TBSA burns greater than 30%. In September 2018, the FDA-approved Avita Medical, Inc’s RECELL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System for use in partial thickness burns and in full-thickness burns in conjunction with meshed split-thickness auto-graft. The RECELL system is a device which enables the on-site preparation of an autologous epithelial cell suspension, and it is most often used to treat patients with burns covering less than 30% of the TBSA. One RECELL kit can treat an approximately 10% TBSA wound.</w:t>
      </w:r>
    </w:p>
    <w:p>
      <w:pPr>
        <w:spacing w:after="0" w:line="209"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8"/>
          <w:szCs w:val="18"/>
          <w:color w:val="auto"/>
        </w:rPr>
        <w:t>NexoBrid is the first enzymatic agent to have demonstrated rapid and consistent removal of eschar in adult and pediatric patients suffering from deep partial-thickness and full-thickness thermal burns. NexoBrid has a novel mechanism of action and is the only product that specifically targets eschar or non-viable tissue, thereby preserving viable tissue and potentially minimizing the need for subsequent skin grafting in burn patients. The current standard of care for eschar removal of deep partial-thickness and full thickness burns in the U.S. is surgical excision, which can result in both viable and non-viable tissue being removed. Surgical excision involves the use of sharp instruments or hydrosurgery, through the use of the Versajet IITM Hydrosurgery System (Smith &amp; Nephew, plc.). Other non-surgical treatments include clostridial collagenase ointment (Santyl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(Smith &amp; Nephew, plc.), antimicrobial agents (silver sulfadiazine), or hydrogels. Although less invasive than surgical excision, prior to NexoBrid, non-surgical debridement agents have often been considered inefficient, can result in a lengthy sloughing period, and have the potential for the development of granulation tissue and increased infection and scarring. Other than NexoBrid, Santyl is the only FDA-approved product for enzymatic eschar removal in the U.S.</w:t>
      </w:r>
    </w:p>
    <w:p>
      <w:pPr>
        <w:spacing w:after="0" w:line="225"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the general area of cell-based therapies, we potentially compete with a variety of companies, most of whom are specialty medical technology/device or biotechnology companies. Some of these, such as Smith &amp; Nephew, plc, Arthrex, Inc. and Zimmer Biomet Holdings, Inc., are well-established and have substantial technical and financial resources compared to us. However, as cell-based products are only just emerging as viable medical therapies, many of our potential competitors are smaller biotechnology and specialty medical products companies.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are subject to various federal, state and local laws and regulations relating to the protection of the environment, human health and safety in the U.S. and in other jurisdictions in which we operate. If we violate these laws and regulations, we could be fined, criminally charged or otherwise sanctioned by regulators. Environmental laws and regulations are complex, change frequently and have become more stringent over time. The regulatory landscape continues to evolve, and we anticipate additional regulations in the near future. Laws and regulations are implemented and under consideration to mitigate the effects of climate change mainly caused by greenhouse gas emissions. Our business is not energy intensive. Therefore, we do not anticipate being subject to a cap and trade system or other mitigation measure that would materially impact our capital expenditures, operations or competitive position. We believe that our operations currently comply in all material respects with applicable environmental laws and regulations.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of December 31, 2024, we employed approximately 357 full-time employees. A significant number of our management and professional employees have had prior experience with pharmaceutical, biotechnology or medical product companies. None of our employees are covered by collective bargaining agreements, and management considers relations with our employees to be good.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are committed to the health and safety of our employees, patients and other partners in the healthcare community. We work to promote an environment of awareness and shared responsibility for safety and regulatory compliance throughout our organization, in order to minimize risks of injury, exposure, or business impact.</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appreciate one another’s differences and strengths and are proud to be an Equal Opportunity Employer. We value diversity of backgrounds and perspectives and our policy is that we do not discriminate based on race, religious creed, color, national origin, ancestry, physical disability, mental disability, medical condition, genetic information, marital status, sex, gender, gender identity, gender expression, age, military and veteran status, sexual orientation or any other protected characteristic as established by federal, state or local laws.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Additional information about Vericel, including for complying with our disclosure under the SEC’s Regulation FD (Fair Disclosure), is included on our website, www.vcel.com. Information on our website is not incorporated by reference into this Annual Report. We make available on our website free of charge our Annual Reports on Form 10-K, Quarterly Reports on Form 10-Q and Current Reports on Form 8-K as soon as reasonably practicable after those reports are filed with the Securities and Exchange Commission (“SEC”). Our reports filed with the SEC are also made available on its website at www.sec.gov. The following Corporate Governance documents are also posted on the Investor Relations section of our website: Corporate Governance Guidelines, Code of Business Conduct and Ethics, Code of Ethics for Senior Financial Officers, Insider Trading Policy, Special Trading Procedures for Insiders, Board Member Attendance at Annual Meetings Policy, Director Nominations Policy, Shareholder Communications with Directors Policy and the Charters for each of the Committees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following summary highlights some of the principal risks that could adversely affect our business, financial condition or results of operations. This summary is not complete and the risks summarized below are not the only risks we face. These risks are discussed more fully further below. These risks include, but are not limited to, the following:</w:t>
      </w:r>
    </w:p>
    <w:p>
      <w:pPr>
        <w:spacing w:after="0" w:line="203" w:lineRule="exact"/>
        <w:rPr>
          <w:sz w:val="20"/>
          <w:szCs w:val="20"/>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We may experience significant quarterly and annual fluctuations in our results of operations due to a number of factors.</w:t>
      </w:r>
    </w:p>
    <w:p>
      <w:pPr>
        <w:spacing w:after="0" w:line="25"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will be harmed if we are unable to effectively manage and sustain our future growth or scale our operations.</w:t>
      </w:r>
    </w:p>
    <w:p>
      <w:pPr>
        <w:spacing w:after="0" w:line="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crises have had and may have in the future a significant adverse effect on our business, financial condition, and results of operations.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manage inventory in an effective and efficient manner, which could adversely affect our results of operations.</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reported net income for the year ended 2024, we have incurred losses in the past and may not achieve consistent profitability for some time or at all.</w:t>
      </w:r>
    </w:p>
    <w:p>
      <w:pPr>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development programs are based on novel technologies and are inherently risky, which may decrease the chances of regulatory approval and could have a material effect on our financial condition and operating results.</w:t>
      </w:r>
    </w:p>
    <w:p>
      <w:pPr>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raise the required capital to develop and commercialize our future product candidates and otherwise grow and expand our business.</w:t>
      </w: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financial market conditions may exacerbate certain risks affecting our business.</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key manufacturing, quality and other management personnel and the loss of any of these individuals could harm our business.</w:t>
      </w:r>
    </w:p>
    <w:p>
      <w:pPr>
        <w:jc w:val="both"/>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and our responses thereto as well as other unfavorable global and regional economic conditions, geopolitical events, and conflicts, such as repercussions from the ongoing conflicts in Ukraine or the Middle East region involving Israel. Tensions between China and Taiwan, or an escalation of hostilities in the wider Middle East, could continue to create substantial uncertainty in the global economy and contribute to heightened inflation and supply chain disruptions.</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manufacturing facility is destroyed or we experience any manufacturing difficulties, disruptions or delays, this could limit supply of our products or adversely affect our ability to conduct clinical trials and our business would be adversely impacted.</w:t>
      </w:r>
    </w:p>
    <w:p>
      <w:pPr>
        <w:jc w:val="both"/>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 parties, including, for example, Matricel GmbH (“Matricel”), to manufacture or supply certain components, equipment, disposable devices and other materials used in our MACI or Epicel cell manufacturing processes would impair our cell product development and commercialization.</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manufacturing and supply chain are subject to significant regulations, failure by our third-party manufacturers, including Matricel, to comply with the regulatory requirements set forth by the FDA with respect to our products could limit our ability to manufacture commercial products and/or result in the products being subject to restrictions or withdrawn from the market.</w:t>
      </w:r>
    </w:p>
    <w:p>
      <w:pPr>
        <w:spacing w:after="0" w:line="1" w:lineRule="exact"/>
        <w:rPr>
          <w:rFonts w:ascii="Times New Roman" w:cs="Times New Roman" w:eastAsia="Times New Roman" w:hAnsi="Times New Roman"/>
          <w:sz w:val="18"/>
          <w:szCs w:val="18"/>
          <w:color w:val="auto"/>
        </w:rPr>
      </w:pPr>
    </w:p>
    <w:p>
      <w:pPr>
        <w:ind w:left="640" w:right="2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could be significantly impacted by uncertainty in U.S. trade policy, including uncertainty surrounding changes in tariffs, trade agreements or other trade restrictions imposed by the U.S. or other governments.</w:t>
      </w: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the commercial success of NexoBrid in the U.S.</w:t>
      </w:r>
    </w:p>
    <w:p>
      <w:pPr>
        <w:spacing w:after="0" w:line="6"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NexoBrid in the U.S. is dependent, in part, on MediWound’s ability to timely manufacture and supply sufficient quantities of NexoBrid to meet customer demand. To the extent MediWound is unable to manufacture NexoBrid in accordance with the requirements of its BLA approval, or experiences supply chain or other disruptions, whether as a result of the ongoing conflicts in the Middle East region involving Israel, military or other conflicts between China and Taiwan, or some other event, it could adversely affect the commercial success of NexoBrid.</w:t>
      </w:r>
    </w:p>
    <w:p>
      <w:pPr>
        <w:spacing w:after="0" w:line="2"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NexoBrid may not be approved for the treatment of severe burns in other North American markets, outside of the U.S., and NexoBrid may not be accepted in the markets where regulatory approvals have been received.</w:t>
      </w:r>
    </w:p>
    <w:p>
      <w:pPr>
        <w:jc w:val="both"/>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security incident could result in a loss of confidential data, give rise to remediation and other expenses, expose us to liability under HIPAA, consumer protection and privacy laws, or other common law theories, subject us to litigation and federal and state governmental inquiries, damage our reputation, and otherwise be disruptive to our business.</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disruptive technologies, innovation and competition, including artificial intelligence.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hanging="313"/>
        <w:spacing w:after="0" w:line="258"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adequate reimbursement and reimbursement rates for our products could have a material adverse effect on our financial condition and operating results.</w:t>
      </w: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and/or maintain required regulatory approvals would severely limit our ability to sell our products.</w:t>
      </w:r>
    </w:p>
    <w:p>
      <w:pPr>
        <w:spacing w:after="0" w:line="6" w:lineRule="exact"/>
        <w:rPr>
          <w:rFonts w:ascii="Times New Roman" w:cs="Times New Roman" w:eastAsia="Times New Roman" w:hAnsi="Times New Roman"/>
          <w:sz w:val="18"/>
          <w:szCs w:val="18"/>
          <w:color w:val="auto"/>
        </w:rPr>
      </w:pPr>
    </w:p>
    <w:p>
      <w:pPr>
        <w:ind w:left="640" w:right="2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matters (“ESG”) and any related reporting obligations may adversely impact our business, financial condition and results of operations.</w:t>
      </w:r>
    </w:p>
    <w:p>
      <w:pPr>
        <w:ind w:left="64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regulatory requirements that affect our products and/or future product candidates could prevent, limit or delay our ability to market or develop new product candidates.</w:t>
      </w:r>
    </w:p>
    <w:p>
      <w:pPr>
        <w:ind w:left="64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products or future product candidates, including the use of MACI to treat cartilage defects in the ankle, will require regulatory approvals which could result in the delay of the change being made or, if not approved, prevent any changes from being made.</w:t>
      </w:r>
    </w:p>
    <w:p>
      <w:pPr>
        <w:jc w:val="both"/>
        <w:ind w:left="64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federal or state agency determines that we have promoted the off-label use of our products and/or we have violated anti-kickback or other anti-bribery laws, we may be subject to various penalties, including civil or criminal penalties, and the off-label use of our products may result in injuries that lead to product liability lawsuits, which could be costly to our business.</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MediWound’s family of patents and proprietary rights covering NexoBrid do not provide substantial protection, our commercialization efforts with respect to NexoBrid could suffer.</w:t>
      </w: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common stock could have an adverse effect on the market price of such shares.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35" w:lineRule="exact"/>
        <w:rPr>
          <w:sz w:val="20"/>
          <w:szCs w:val="20"/>
          <w:color w:val="auto"/>
        </w:rPr>
      </w:pPr>
    </w:p>
    <w:p>
      <w:pPr>
        <w:jc w:val="both"/>
        <w:ind w:firstLine="240"/>
        <w:spacing w:after="0" w:line="223" w:lineRule="exact"/>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that could adversely affect our business, financial condition, results of operations, cash flows, and trading price of our common stock. The risks and uncertainties described below are not the only ones we face. There may be additional risks and uncertainties that are not known to us or that we do not consider to be material at this time. If the events described in these risks occur, our business, financial condition, and results of operations would likely suffer. See “Cautionary Note Regarding Forward-Looking Statements” and the risks of our businesses described elsewhere in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w:t>
      </w:r>
    </w:p>
    <w:p>
      <w:pPr>
        <w:spacing w:after="0" w:line="1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significant quarterly and annual fluctuations in our results of operations due to a number of factors.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Factors that may affect our results of operations include:</w:t>
      </w:r>
    </w:p>
    <w:p>
      <w:pPr>
        <w:spacing w:after="0" w:line="247" w:lineRule="exact"/>
        <w:rPr>
          <w:sz w:val="20"/>
          <w:szCs w:val="20"/>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orders and revenue recognition for new and prior year orders;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of our customers;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sales of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of revenues;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coverage and reimbursement for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supply and meet customer demand for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to our existing customers, particularly larger customers;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achieve market adoption of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commercialize NexoBrid;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recession or any other adverse global economic conditions on our business;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erosion in margins or significant fluctuations in revenues caused by changing customer demand;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hiring personnel and of large expenses such as third-party professional services;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which vary along with changes to our stock price;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or constraints;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accounting rules or our accounting policies.</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26" w:name="page27"/>
    <w:bookmarkEnd w:id="2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adversely affect our quarterly and annual results of operations. There can be no assurance that the level of revenues and profits, if any, achieved by us in any particular fiscal period, will not be significantly lower than in other comparable fiscal periods. Additionally, our expense levels are based, in part, on our expectations as to future revenues. As a result, if future revenues are below expectations, net income or loss may be disproportionately affected by a reduction in revenues, as any corresponding reduction in expenses may not be proportionate to the reduction in revenues.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health crises have had, and may in the future have, a significant adverse effect on our business, financial condition, and results of operations.</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are subject to public health crises, which have had and may in the future have a significant impact on our operations, cash flows and liquidity. The response to a public health crisis may affect the global economy, disrupt global supply chains, and create significant disruption in financial and healthcare markets, including U.S. staffing shortages, our ability to access customers, and significant volatility in our results of operations due to the periodic cancellation or delay of elective MACI surgical procedures. Uncertainty caused by pandemics, epidemics, or other similar public health crises could lead to prolonged economic downturns and reduce or delay demand for our products, in which case our results of operations could be significantly impacted. The extent to which a public health crisis impacts our business, results of operations, and financial condition will depend on future developments, which are highly uncertain and cannot be predicted, including the timing or effectiveness of vaccine roll-outs globally, the timing of easing of preventative or mitigation measures or mandates, the impact of any variants that emerge, or any impact of a global vaccine roll-out on the global economy.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will be harmed if we are unable to effectively manage and sustain our future growth or scale our operations.</w:t>
      </w:r>
    </w:p>
    <w:p>
      <w:pPr>
        <w:spacing w:after="0" w:line="251"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7"/>
          <w:szCs w:val="17"/>
          <w:color w:val="auto"/>
        </w:rPr>
        <w:t>There can be no assurance that we will be able to manage our future growth efficiently or profitably. Our business remains unproven at a large-scale operational level and actual revenue and operating margins, or revenue and margin growth, may be less than expected. If we are unable to scale our production capabilities efficiently or maintain pricing without significant discounting, we may fail to achieve expected operating margins, which would have a material and adverse effect on our operating results. For example, we are planning to move our cell therapy manufacturing operations to a larger facility to support our potential growth, but if the customization and qualification of such facility is delayed, we may be limited in our ability to meet future demand for our products. Growth may also stress our ability to adequately manage our operations, quality of products, safety and regulatory compliance. If growth significantly decreases it will negatively impact our cash reserves, and we may be required to obtain additional financing, which may increase indebtedness or result in dilution to shareholders. Further, there can be no assurance that we would be able to obtain additional financing on acceptable terms, if at all.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manage inventory in an effective and efficient manner, it could adversely affect our results of operations.</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Many factors affect the efficient use and planning of inventory of certain components and other materials used in our cell manufacturing process to manufacture our marketed products, such as effectiveness of predicting demand, effectiveness of preparing manufacturing to meet demand, efficiently meeting product demand requirements and expiration of materials in inventory. We may be unable to manage our inventory efficiently, keep inventory within expected budget goals, keep inventory on hand or manage it efficiently, control expired inventory or keep sufficient inventory of materials to meet product demand due to our dependence on third-party suppliers. Finally, we cannot provide assurances that we can keep inventory costs within our target levels. Failure to do so may harm our long-term growth prospects.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Although we reported net income for the year ended December 31, 2024, we have incurred losses in the past and may not achieve consistent profitability for some time or at all.</w:t>
      </w:r>
    </w:p>
    <w:p>
      <w:pPr>
        <w:spacing w:after="0" w:line="1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2024 we reported net income of $10.4 million. Prior to that, with the exception of the year ended December 31, 2020, when we reported net income of $2.9 million, we had incurred net losses each year since our inception. As of December 31, 2024, we had accumulated a deficit of approximately $392.8 million and $156.1 million of cash, cash equivalents and investments. We expect that cash from the sales of our products and existing cash, cash equivalents, investments and available borrowing capacity will be sufficient to support our current operations through at least 12 months following the issuance of the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Although we believe we can continue to achieve profitability without the need to raise additional capital, we may incur operating losses over the next several years despite sales increasing and margins improving, due to continuing expenses related to research and development, the qualification of our new manufacturing facility, and the expense associated with continuing the commercialization of our approved products. We cannot predict with any certainty the existence or amount of future losses. Our ability to maintain profitability will depend on, among other things, increasing sales of our current products, improving gross margins, successfully commercializing new products (including the recent commercial launch of MACI Arthro), completing the development of our future product candidates, timely initiation and completion of clinical trials, obtaining regulatory approvals, establishing manufacturing, sales and marketing arrangements with third parties, maintaining supplies of key manufacturing components and the possible acquisition and development of additional and complementary products. Therefore, we may not be able to consistently achieve or sustain profitability.</w:t>
      </w:r>
    </w:p>
    <w:p>
      <w:pPr>
        <w:spacing w:after="0" w:line="21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the longer term, we may need to raise additional funds in order to continue to complete product development programs and the clinical trials needed to obtain approval for, and commercialize, our future product candidates, or to capitalize on potential strategic opportunities. We cannot be certain that actual results will not differ materially from our current projections and that current capital will be sufficient to achieve profitability or that funding will be available on favorable terms, if at all. Some of the factors that will impact our ability to raise additional capital and our overall success include:</w:t>
      </w:r>
    </w:p>
    <w:p>
      <w:pPr>
        <w:spacing w:after="0" w:line="208" w:lineRule="exact"/>
        <w:rPr>
          <w:sz w:val="20"/>
          <w:szCs w:val="20"/>
          <w:color w:val="auto"/>
        </w:rPr>
      </w:pPr>
    </w:p>
    <w:p>
      <w:pPr>
        <w:ind w:left="640" w:hanging="39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our manufacturing facility’s compliance with FDA requirements, including establishment and product fees;</w:t>
      </w:r>
    </w:p>
    <w:p>
      <w:pPr>
        <w:spacing w:after="0" w:line="25" w:lineRule="exact"/>
        <w:rPr>
          <w:rFonts w:ascii="Times New Roman" w:cs="Times New Roman" w:eastAsia="Times New Roman" w:hAnsi="Times New Roman"/>
          <w:sz w:val="18"/>
          <w:szCs w:val="18"/>
          <w:color w:val="auto"/>
        </w:rPr>
      </w:pPr>
    </w:p>
    <w:p>
      <w:pPr>
        <w:ind w:left="640" w:hanging="393"/>
        <w:spacing w:after="0" w:line="247" w:lineRule="auto"/>
        <w:tabs>
          <w:tab w:leader="none" w:pos="63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The requirements necessary to maintain in good standing marketing authorizations and licenses from regulatory bodies in the U.S. and other countries;</w:t>
      </w:r>
    </w:p>
    <w:p>
      <w:pPr>
        <w:ind w:left="640" w:hanging="393"/>
        <w:spacing w:after="0"/>
        <w:tabs>
          <w:tab w:leader="none" w:pos="64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The liquidity and market volatility of our equity securities;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Regulatory and manufacturing requirements and uncertainties;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Anticipating technological developments by competitors;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The rate and degree of progress of our product development and product lifecycle management initiatives;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The rate and cadence of the regulatory approvals needed to proceed with clinical development programs.</w:t>
      </w:r>
    </w:p>
    <w:p>
      <w:pPr>
        <w:spacing w:after="0" w:line="22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products and product development programs are based on novel technologies and are inherently risky, which may decrease the chances of regulatory approval and could have a material adverse effect on our financial condition and operating results.</w:t>
      </w:r>
    </w:p>
    <w:p>
      <w:pPr>
        <w:spacing w:after="0" w:line="1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products are subject to the inherent risks of failure associated with the development of new products based on novel technologies. The innovative nature of our therapeutics creates significant challenges with regard to product development and optimization, manufacturing, regulatory environment and emerging regulations, third-party reimbursement and market acceptance. Therapeutic advancements are generally ahead of development and release of regulatory guidance and requirements. The lack of established precedents and evolving regulatory policy for novel products can pose significant challenges in product and clinical development, which can decrease the chances of regulatory success.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products represent new classes of therapy that the marketplace may not understand or accept. Furthermore, the success of our products is dependent on wider acceptance by the medical community.</w:t>
      </w:r>
    </w:p>
    <w:p>
      <w:pPr>
        <w:spacing w:after="0" w:line="1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While our products have had some commercial success to date, the broader market may not understand or accept our products. Our products represent new treatments or therapies and compete with a number of more conventional products and therapies manufactured and marketed by others. The nature of our products creates significant challenges with regard to product development and optimization, manufacturing, regulations, and third-party reimbursement. As a result, the commercialization of our current products and the development pathway for our potential new products may be subject to increased scrutiny, as compared to the pathway for more conventional products.</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degree of market acceptance of any of our marketed or potential new products will depend on a number of factors, including:</w:t>
      </w:r>
    </w:p>
    <w:p>
      <w:pPr>
        <w:spacing w:after="0" w:line="247" w:lineRule="exact"/>
        <w:rPr>
          <w:sz w:val="20"/>
          <w:szCs w:val="20"/>
          <w:color w:val="auto"/>
        </w:rPr>
      </w:pPr>
    </w:p>
    <w:p>
      <w:pPr>
        <w:ind w:left="640" w:hanging="393"/>
        <w:spacing w:after="0"/>
        <w:tabs>
          <w:tab w:leader="none" w:pos="6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clinical safety and effectiveness of our products and their demonstrated advantage over alternative treatment methods;</w:t>
      </w:r>
    </w:p>
    <w:p>
      <w:pPr>
        <w:spacing w:after="0" w:line="25"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demonstrate to healthcare providers that our products provide a therapeutic advancement over standard of care treatment or other competitive products and methods;</w:t>
      </w:r>
    </w:p>
    <w:p>
      <w:pPr>
        <w:ind w:left="640" w:hanging="393"/>
        <w:spacing w:after="0" w:line="254" w:lineRule="auto"/>
        <w:tabs>
          <w:tab w:leader="none" w:pos="63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educate healthcare providers on the autologous use of human tissue, to avoid potential confusion with, and differentiate ourselves from, the ethical controversies associated with human fetal tissue and engineered human tissue;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hanging="393"/>
        <w:spacing w:after="0" w:line="258"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educate healthcare providers on the benefits and appropriate use of enzymatic agents for the removal of eschar in adult and pediatric patients suffering from deep partial-thickness and full-thickness thermal burns;</w:t>
      </w:r>
    </w:p>
    <w:p>
      <w:pPr>
        <w:ind w:left="640" w:hanging="393"/>
        <w:spacing w:after="0"/>
        <w:tabs>
          <w:tab w:leader="none" w:pos="64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educate healthcare providers, patients and payers on the safety and adverse reactions associated with our products;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meet supply and demand and develop a group of medical professionals familiar with and committed to the use of our products;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The cost-effectiveness of our products and the reimbursement policies of government and third-party payers.</w:t>
      </w:r>
    </w:p>
    <w:p>
      <w:pPr>
        <w:spacing w:after="0" w:line="22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Market acceptance of any future product candidates, if approved, will not be fully known until after they are launched and may be negatively affected by a potentially poor safety experience and the track record of other similar products and product candidates. Further, continued market acceptance of Epicel, MACI, MACI Arthro and NexoBrid, and any future product candidates that may be approved, depends on our efforts to educate the medical community and third-party payers on the benefits of our products and product candidates and will require significant resources from us. If the medical community or patients do not accept the safety and effectiveness of our products, it could negatively affect our ability to sell those products, which would have a material adverse impact on our business, financial condition and operations.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the commercial success of NexoBrid for the removal of eschar in adult and pediatric patients with deep partial-thickness and/or full-thickness thermal burns.</w:t>
      </w:r>
    </w:p>
    <w:p>
      <w:pPr>
        <w:spacing w:after="0" w:line="18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On December 28, 2022, we announced that the FDA granted a BLA and approved NexoBrid for the removal of eschar in adults with deep partial-thickness and/or full thickness thermal burns. On September 20, 2023, the Company announced the U.S. commercial availability of NexoBrid and subsequently commenced commercial sales of the product. On August 15, 2024, we announced the FDA approval of a pediatric indication for NexoBrid for eschar removal in pediatric patients with deep partial-thickness and/or full-thickness thermal burns. We expect that the commercial success of NexoBrid and our future NexoBrid-related revenue will depend largely on the medical community’s acceptance of NexoBrid as an important treatment option for patients that are suffering from severe burn injuries and, ultimately, as the standard of care for the removal of eschar. The U.S. medical community’s acceptance of NexoBrid and our other products will depend upon our ability to demonstrate long-term clinical performance and the advantages and cost-effectiveness of our products. In addition, acceptance of products for the treatment of eschar removal is dependent upon, among other factors, the level of awareness and education of the medical community about the removal of eschar in adult and pediatric patients with deep partial-thickness and/or full-thickness thermal burns and the existence, effectiveness, safety, and cost effectiveness of our products. Market acceptance and adoption of our products or procedures also depends on the level of payer (including government payers such as Medicare) reimbursement to physicians and hospitals for procedures using our products. Negative publicity resulting from incidents involving our products, or similar products, could have a significant adverse effect on the overall acceptance of our products. Market acceptance could be delayed by lack of physician willingness to attend training sessions, by the time required to complete this training, or by state or institutional restrictions on our ability to provide training. If we are unable to gain and/or maintain such support, training services and collaboration, our ability to grow the market for our products may be impacted and we may not be able to increase our revenue enough to achieve or sustain profitability, and our business and operating results may be seriously harmed. Additional factors that may affect our ability to successfully commercialize NexoBrid include:</w:t>
      </w:r>
    </w:p>
    <w:p>
      <w:pPr>
        <w:spacing w:after="0" w:line="219" w:lineRule="exact"/>
        <w:rPr>
          <w:sz w:val="20"/>
          <w:szCs w:val="20"/>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MediWound to recruit and retain employees with the right expertise and experience, at sufficient numbers;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and develop relationships with key healthcare providers and public health agencies;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educate key healthcare providers on the clinical efficacy, cost effectiveness and appropriate use of NexoBrid in the clinical setting;</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as a new entrant in established distribution channels for similar products;</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funding to cover the costs and expenses associated with building and operating an effective commercial organization; and</w:t>
      </w: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MediWound’s ability to timely manufacture and supply sufficient quantities of NexoBrid to meet customer demand.</w:t>
      </w:r>
    </w:p>
    <w:p>
      <w:pPr>
        <w:spacing w:after="0" w:line="2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of our Specialty Pharmacies to enter into written agreements with payers for reimbursement of our products and to obtain adequate reimbursement and reimbursement rates could have a material adverse effect on our financial condition and operating results.</w:t>
      </w:r>
    </w:p>
    <w:p>
      <w:pPr>
        <w:spacing w:after="0" w:line="18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have a limited network of specialty pharmacy distributors for MACI, and we primarily rely on our specialty pharmacy distributors’ contracts with third-party payers for reimbursement. Under our distribution agreements with Orsini and AllCare, we assume the credit and collection risk of third-party payers, as Orsini and AllCare dispense MACI and perform the collection activities. We also sell a portion of MACI implants directly to facilities based on prices stated in an approved contract or an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applicable purchase order with the facility. Often the contracted rates are tied to the facility’s third-party reimbursement from an underlying insurance provider. We sell Epicel directly to hospitals based on contracted rates stated in an approved contract or an applicable purchase order with the hospital. The hospital is then reimbursed by third-party payers for each patient case, based on a capitated/global payment structure or a negotiated rate of either percent of billed charges or per diem rates.</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Failing to maintain and obtain written agreements from payers for reimbursement of our products or to obtain adequate reimbursement rates could have a material adverse effect on our financial condition and operating results. In addition, many healthcare providers are under pressure to increase profitability and reduce costs. We cannot predict the extent to which reimbursement for our products will be affected by initiatives to reduce costs for healthcare providers. Failure to collect from such payers or to obtain or maintain written agreements with such payers or obtaining lower than estimated reimbursement for our products would adversely affect our business, financial conditions and results of operations.</w:t>
      </w: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A cyber security incident or data privacy issue could result in a loss of confidential data, give rise to remediation and other expenses, expose us to liability under HIPAA, consumer protection and privacy laws, or other common law theories, subject us to litigation and federal and state governmental inquiries, damage our reputation, and otherwise be disruptive to our business.</w:t>
      </w:r>
    </w:p>
    <w:p>
      <w:pPr>
        <w:spacing w:after="0" w:line="20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collect and store on our networks and work-issued devices sensitive information, including intellectual property and personally identifiable information. The secure maintenance of this information is critical to our business operations. We have implemented multiple layers of security measures, and have developed an enterprise-wide incident response plan, which are designed to protect this confidential data through technology, processes, and our people. We strive to utilize current security technologies, and our defenses are monitored and routinely reviewed by internal and external parties.</w:t>
      </w:r>
    </w:p>
    <w:p>
      <w:pPr>
        <w:spacing w:after="0" w:line="20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Despite these efforts, threats from malicious persons and groups, new vulnerabilities, and advanced and increased attacks against our and our service providers’ or partners’ information systems create risk of cyber security and/or privacy incidents. These threats could include use of harmful malware or ransomware, protected health information leakage from implementing third-party technology to process and share data, and our information technology systems could be compromised by internal and outside parties intent on extracting ransom or information, corrupting data or disrupting business practices. There can be no assurance that we will not be subject to cyber security or privacy incidents that evade our security or privacy measures, result in the loss of personal health information, intellectual property, or other data subject to privacy laws or disrupt our information systems and business. We are focused on developing and enhancing of our controls, processes and practices designed to protect our information systems from attack, damage or unauthorized access, however, the techniques and sophistication used to conduct cyber-attacks and breaches of information systems frequently change. For example, the deployment of evolving artificial intelligence tools used to identify vulnerabilities and create more deceptive phishing attempts have the potential to not be recognized until such attacks are launched or have been in place for a period of time. As cyber threats continue to evolve, we may be required to expend significant additional resources to continue to modify or enhance our protective measures and processes or to investigate and remediate cyber security or privacy vulnerabilities. Although the Company has been subjected to cyber threats and attacks, to date there have been no incidents of which we are aware that have had a material effect on our business or operations. The occurrence of any of these events could result in interruptions, delays, the loss, access, misappropriation, disclosure or corruption of data or intellectual property, liability under privacy, security and consumer protection laws or litigation under these or other laws, including common law theories, and subject us to federal and state governmental inquiries, any of which could have a material adverse effect on our financial position and results of operations and harm our business reputation. Any of these events could give rise to potential costs and consequences that cannot be estimated or predicted, and which may not be fully insured by our cyber risk insurance policy. For example, the SEC recently adopted rules requiring the disclosure of cybersecurity incidents that we determine to be “material,” to be made within four business days of such determination, which can be complex, requiring a number of assumptions based on several factors. It is possible that the SEC may not agree with our determinations, which could result in fines, civil litigation or damage to our reputation.</w:t>
      </w:r>
    </w:p>
    <w:p>
      <w:pPr>
        <w:spacing w:after="0" w:line="215"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addition, regulators in the U.S. and globally are also inquiring more about and imposing greater monetary fines for privacy violations. In the last year, the FTC has announced that it will begin enforcing the Health Breach Notification Rule, and has entered into at least one consent order with a different organization that involved a $1.5 million fine. The FTC and many states (including California, Utah, Colorado, Virginia, Connecticut) have specific requirements for collecting and processing certain data including data minimization, data de-identification, opt out rights, deletion and sharing.</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EU regulation also governs our business. For example, in 2016, the EU adopted a new regulation governing data practices and privacy called the General Data Protection Regulation (“GDPR”), which became effective on May 25, 2018. The GDPR applies to any company established in the EU as well as to those outside the EU if they collect and use personal data in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connection with the offering of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extensive rights for individuals, including to request access to personal data and to request personal data is erased, and onerous new obligations on services providers, as well as specific contracting requirements applicable to data sharing with service providers. In addition, there are strict restrictions on the transfer of personal data outside of the EU to countries which are not considered by the EU to have equivalent data protection laws, which includes the US. Transfers of data must be legitimized by (i) carrying out risk assessments and (ii) entering into approved forms of agreement between the EU based exporter of the personal data, and the recipient (“importer”) of the personal data. The EU has been greatly focused on this issue since the landmark judgment of in the case of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handed down by the European Court of Justice in July 2020, and it has become an area for greater scrutiny and enforcement by EU privacy regulators. Non-compliance with the GDPR may result in monetary penalties of up to €20 million or 4% of worldwide revenue, whichever is greater. The GDPR is no longer applicable to the UK since the UK left the EU in December 2021. However, it has been replaced by equivalent legislation in the UK, including the UK GDPR and the Data Protection Act 2018. The GDPR (and UK equivalent laws)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may operate in.</w:t>
      </w:r>
    </w:p>
    <w:p>
      <w:pPr>
        <w:spacing w:after="0" w:line="21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complex information technology systems for various critical purposes, including timely delivery of products and maintaining patient confidentiality. If these systems fail or are disrupted, we could lose product sales and our revenue and reputation would suffer.</w:t>
      </w:r>
    </w:p>
    <w:p>
      <w:pPr>
        <w:spacing w:after="0" w:line="186"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We have developed comprehensive, integrated information technology (“IT”) systems for the intake of physician orders for our products, to track product delivery, and to store patient-related data that we obtain for purposes of manufacturing MACI and Epicel. We rely on these systems to maintain the chain of identity for each autologous product, and to ensure timely delivery of product, prior to expiration. Each of our autologous products has a limited usable life measured in days from the completion of the manufacturing process to patient implant or grafting, therefore, maintaining accurate scheduling logistics is critical. Accordingly, in addition to regularly evaluating and making changes and upgrades to our IT systems, we have begun the implementation of a new enterprise resource planning (“ERP”) system. While we follow a disciplined methodology when evaluating and making such changes, there can be no assurances that we will successfully implement such changes, that such changes will occur without disruptions to our operations, that the new or upgraded systems will achieve the desired business objectives or that the internal controls will be effective in preventing misstatements in financial reporting. Any such disruptions, inadequate internal controls or the failure to successfully implement new or upgraded systems such as those referenced above, could have a material adverse effect on our results of operations and could also affect our reputation, our relationship with customers and our products.</w:t>
      </w:r>
    </w:p>
    <w:p>
      <w:pPr>
        <w:spacing w:after="0" w:line="200"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Furthermore, our IT systems store and protect the privacy of certain patient information, which is required for the manufacture of our individualized cell therapy products. We have also developed an integrated information technology system for care coordination for MACI patients who have opted-in to the My Cartilage Care program, which we use with our care coordination contractor and our contracted specialty pharmacies. This system contains patient-related information some of which is accessible by company personnel and healthcare professionals for surgery coordination activities. If any of our systems were to fail or be disrupted for an extended period of time, we could lose product sales and our revenue and reputation would suffer. Similarly, in the event our systems were to be breached by an unauthorized third-party, that party could potentially access the aforementioned patient information, which could cause us to suffer further reputational damage and loss of customer confidence. Any one of these events could cause our business to be materially harmed and our results of operations would be adversely impacted.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complete our product development activities successfully would materially limit our ability to operate or finance our operations.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In order to obtain regulatory approvals necessary to commercialize future product candidates in the U.S. or advancements to our current commercial products, we must conduct adequate and well-controlled clinical trials to demonstrate the safety and effectiveness of those products, in compliance with current regulatory requirements. We may not be able to successfully complete the development of future product candidates or advancements to our current commercial products, or successfully market our technologies or future product candidates. We, and any of our potential collaborators, may encounter problems and delays relating to research and development, regulatory approval and intellectual property rights of relevant technologies and future product candidates. Our research and development programs may not be successful, or our cell therapy technologies and future product candidates may not facilitate the production of cells outside the human body with the expected results.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Additionally, our technologies and future product candidates may not prove to be safe and effective in clinical trials, and we may not obtain the requisite regulatory approvals for our product candidates. If any of these events occur, our future prospects may be adversely impacted.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must successfully complete nonclinical and clinical development to be able to demonstrate safety and efficacy to seek marketing approval of our current or future product candidates. Lack of efficacy and or safety events can lead to the discontinuation of clinical development, and this can occur at any stage of the clinical development program. We may experience numerous unforeseen events during development that can delay or prevent commercialization of our future development candidates.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results of early-stage clinical trials do not ensure success in later clinical trials, and interim results are not necessarily predictive of final results. Data obtained from clinical activities are not always conclusive and may be susceptible to varying interpretations, which could delay, limit or prevent regulatory approval.</w:t>
      </w:r>
    </w:p>
    <w:p>
      <w:pPr>
        <w:spacing w:after="0" w:line="203"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252423"/>
        </w:rPr>
        <w:t>Additionally, several of our ongoing clinical trials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213"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Our planned clinical trials may not begin or be completed on schedule, if at all. Typically, if a biological product is intended to treat a chronic disease, safety and efficacy data must be gathered over an extended period of time, which can range from six months to three years or more.</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With respect to any clinical trials affecting our approved products or future development candidates, failures or delays can occur at any stage of the trials, and may be directly or indirectly caused by a variety of factors, including but not limited to:</w:t>
      </w:r>
    </w:p>
    <w:p>
      <w:pPr>
        <w:spacing w:after="0" w:line="189" w:lineRule="exact"/>
        <w:rPr>
          <w:sz w:val="20"/>
          <w:szCs w:val="20"/>
          <w:color w:val="auto"/>
        </w:rPr>
      </w:pPr>
    </w:p>
    <w:p>
      <w:pPr>
        <w:ind w:left="640" w:hanging="393"/>
        <w:spacing w:after="0" w:line="258" w:lineRule="auto"/>
        <w:tabs>
          <w:tab w:leader="none" w:pos="63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Delays in securing clinical investigators or trial sites for our clinical trials and their subsequent performance in conducting accurate and reliable trials on a timely basis;</w:t>
      </w:r>
    </w:p>
    <w:p>
      <w:pPr>
        <w:ind w:left="640" w:hanging="393"/>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Delays in obtaining IRB and other regulatory approvals to commence a clinical trial;</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Slower than anticipated rates of patient recruitment and enrollment in our clinical trials, or failing to reach the targeted number of patients due to competition for patients from other trials;</w:t>
      </w:r>
    </w:p>
    <w:p>
      <w:pPr>
        <w:ind w:left="640" w:hanging="393"/>
        <w:spacing w:after="0" w:line="247" w:lineRule="auto"/>
        <w:tabs>
          <w:tab w:leader="none" w:pos="63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Limited or no availability of coverage, reimbursement, and adequate payment from health maintenance organizations and other third-party payers for the use of biological products supplied for use in our clinical trials;</w:t>
      </w:r>
    </w:p>
    <w:p>
      <w:pPr>
        <w:ind w:left="640" w:hanging="393"/>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Negative or inconclusive results from clinical trials;</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Unforeseen adverse effects interrupting, delaying, or halting clinical trials of any future therapeutic product candidates, and possibly resulting in the FDA or other regulatory authorities denying approval of any future therapeutic product candidates;</w:t>
      </w:r>
    </w:p>
    <w:p>
      <w:pPr>
        <w:ind w:left="640" w:hanging="393"/>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Unforeseen safety issues;</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Approval and introduction of new therapies or changes in standards of practice or regulatory requirements or guidance that render our clinical trial endpoints or the targeting of our proposed indications obsolete;</w:t>
      </w:r>
    </w:p>
    <w:p>
      <w:pPr>
        <w:ind w:left="640" w:hanging="393"/>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Inability to monitor patients adequately during or after treatment or problems with investigator or patient compliance with the trial protocols;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Inability to replicate in large, controlled trials safety and efficacy data obtained from a limited number of patients in uncontrolled trials;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Inability or unwillingness of medical investigators to follow our clinical protocols;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Unavailability of clinical trial supplies.</w:t>
      </w:r>
    </w:p>
    <w:p>
      <w:pPr>
        <w:spacing w:after="0" w:line="22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FDA, the IRBs, and the sponsor monitor the progress of clinical trials and they may suspend or terminate a clinical trial at any time because of concerns related to patient safety or for other considerations. The FDA may impose a clinical hold on our trials because of safety concerns that have arisen for products or product candidates that are similar to our product candidates.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Even when successful clinical results are reported for a product from a completed clinical trial, the durability of response may not be sustained over time, or may not be sufficient to support regulatory approval.</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current product development activities include but are not limited to projects directed at expanding clinical indications, increasing the ease of use of our products for our customers, and decreasing the cost of manufacturing our products. These production process changes may alter the functionality of our cells and require various additional levels of experimental and clinical testing and evaluation. Any such testing could lengthen the time before these product enhancements are approved and would be commercially available.</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some of our clinical trials, and their failure to perform their obligations in a timely or competent manner may delay development and/or impact commercialization, if approved, of our current and future product candidates.</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use clinical research organizations (“CROs”) to assist in the conduct of our clinical trials. We may face delays outside of our control if these parties do not perform their obligations in a timely or competent fashion, or if we are forced to change service providers. Any third-party that we hire to conduct clinical trials may also provide services to our competitors, which could compromise the performance of their obligations to us. If we experience significant delays in the progress of our clinical trials, the commercial prospects for our current and future product candidates could be harmed and our ability to generate product revenue would be delayed or prevented. In addition, we and any provider that we retain will be subject to GCP requirements. If GCP and other regulatory requirements are not adhered to by us or our third-party providers or clinical investigators, the conduct of the trial may be compromised and the development and commercialization of our current and future product candidates could be delayed or approval may never be obtained.</w:t>
      </w:r>
    </w:p>
    <w:p>
      <w:pPr>
        <w:spacing w:after="0" w:line="213"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Any failure by a CRO, a clinical trial site, or clinical investigator, or us to successfully accomplish clinical trial monitoring, data collection, safety monitoring and reporting, and data management and other services in a timely manner and in compliance with regulatory requirements could have a material adverse effect on our ability to utilize the trial to obtain regulatory approval or complete clinical development of our product candidates to support regulatory approval. Problems with the timeliness or quality of the work of a CRO or a clinical trial site or clinical investigator may lead us to seek to terminate the relationship and use an alternate provider. However, making such changes may be costly and may delay our trials or affect regulatory approval, and certain contractual restrictions may make such a change difficult or impossible. Additionally, it may be difficult to find a replacement organization that can conduct our trials in an acceptable manner and at an acceptable cost.</w:t>
      </w:r>
    </w:p>
    <w:p>
      <w:pPr>
        <w:spacing w:after="0" w:line="20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We face competition in the markets targeted by our products. Many of our competitors have substantially greater resources than we do, and we expect that all of our products will face competition from existing or future products, which may impact our ability to successfully commercialize our products.</w:t>
      </w:r>
    </w:p>
    <w:p>
      <w:pPr>
        <w:spacing w:after="0" w:line="16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All of our products face competition from other surgical procedures as well as existing and future products marketed by large companies. These competitors may successfully market products that compete with our products, identify and bring to market new product candidates earlier than we do, or develop products that are more effective or less costly than our products. These competitive factors could require us to conduct substantial new research and development activities to establish new product targets, which would be costly and time consuming. These activities can adversely impact our ability to effectively commercialize products and achieve revenue and profits.</w:t>
      </w:r>
    </w:p>
    <w:p>
      <w:pPr>
        <w:spacing w:after="0" w:line="20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do not keep pace with our competitors and with technological and market changes, our products will become less attractive or obsolete and our business may suffer.</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markets for our products are highly competitive, subject to rapid technological changes, and vary for different product candidates and processes that directly compete with our products. Our competitors in the medical and biotechnology industries may have superior products, research and development, manufacturing, and marketing capabilities, financial resources or marketing positions. Furthermore, our competitors may have developed, or could in the future develop, new technologies that compete with our products or even render our products obsolete. As a result, these competitors may be able to adapt to the market more quickly, take advantage of acquisitions and other opportunities more readily, devote greater resources to the marketing and sale of their products, adopt more aggressive pricing strategies than we can, and more successfully utilize developing technology, including data analytics, artificial intelligence, and machine learning.</w:t>
      </w:r>
    </w:p>
    <w:p>
      <w:pPr>
        <w:spacing w:after="0" w:line="21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To the extent that others develop new technologies that address the targeted application for our products, our business will suffer. Finally, if we are unable to continue to develop and market new products and technologies (such as our recently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commercially launched MACI Arthro) in a timely manner, the demand for our products may decrease or our products could become obsolete, and our revenue may decline or our growth prospects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disruptive technologies, innovation and competition, including artificial intelligence.</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Increasingly, biopharmaceutical companies are leveraging artificial intelligence, including but not limited to generative artificial intelligence, to streamline business operations. Failure to safely and effectively integrate artificial intelligence tools into our business operations could result in an inability to maintain a competitive edge among industry peers. In particular, such failure could result in an inability to meet industry needs as well as a loss in market share. Further, navigating continually evolving legal and regulatory requirements associated with implementing artificial intelligence tools may require significant resources to help ensure compliance with U.S. law.</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Presently, we employ limited arrays of artificial intelligence technology in our business, the use of which may introduce us to certain risks including dependency on accurate intelligence performance, potential security breaches, challenges in regulatory compliance, ethical considerations, potential workforce disruption, the risk of intellectual property infringement, and other emerging technology risks. It is conceivable that we might integrate additional artificial intelligence solutions into our information systems in the future, potentially assuming a more critical role in our operations over time. While we have established policies governing the use of artificial technology, and we safeguard our assets, including intellectual property and sensitive information, we cannot ensure that our employees, contractors or other agents would adhere to those policies. Failure or perceived failure by us to address these risks adequately may negatively impact our operations, reputation and financial performance. Additionally, other unforeseen risks stemming from our use and development of artificial intelligence tools and technology may arise in the future that could adversely affect our business, financial condition and 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the use of animal-derived materials could harm our product development and commercialization efforts.</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Some of the manufacturing materials and/or components that we use in, and which are critical to, implementation of our technology involve the use of animal-derived products, including fetal bovine serum. Supplier changes or regulatory actions may limit or restrict the availability of such materials for clinical and commercial use for a variety of reasons including contamination or perceived risk of contamination with an adventitious agent, such as bovine spongiform encephalopathy, in one of our suppliers’ herds. This may lead to a restricted supply of the serum currently required for our product manufacturing processes. Any restrictions on these materials would impose a potential competitive disadvantage for our products or prevent our ability to manufacture our cell products. The FDA and other regulatory agencies have issued regulations for controls over bovine material in animal feed. These regulations do not appear to affect our ability to purchase the manufacturing materials we currently use. However, regulatory agencies may introduce new regulations that could affect our operations. Our inability to develop or obtain alternative compounds would harm our product development and commercialization efforts. There are certain limitations in the supply of certain animal-derived materials, which may lead to delays in our ability to complete clinical trials or eventually to meet the anticipated market demand for our cell products.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licensing arrangement with MediWound is unsuccessful, our development of NexoBrid and its associated revenues may be limited.</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have entered into a licensing arrangement with MediWound for the development and commercialization of NexoBrid in North America. Collaboration and licensing arrangements pose many risks, including, but not limited to, the following:</w:t>
      </w:r>
    </w:p>
    <w:p>
      <w:pPr>
        <w:spacing w:after="0" w:line="189" w:lineRule="exact"/>
        <w:rPr>
          <w:sz w:val="20"/>
          <w:szCs w:val="20"/>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collaborations and licensing arrangements may be terminated;</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collaborators and licensors may delay clinical trials or post-market studies and prolong clinical development, or under-fund or stop a clinical trial;</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expected revenue might not be generated because clinical adoption of the product may be less than predicted;</w:t>
      </w:r>
    </w:p>
    <w:p>
      <w:pPr>
        <w:spacing w:after="0" w:line="5"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collaborators and licensors could independently develop, or develop with third parties, products that could compete with our future products despite non-competition provisions;</w:t>
      </w: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the terms of our contracts with current or future collaborators and license parties may not be favorable to us in the future;</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disputes may arise delaying, or terminating or interrupting the research, development, supply or commercialization of our products or product candidates, or result in significant and costly litigation or arbitration; and</w:t>
      </w:r>
    </w:p>
    <w:p>
      <w:pPr>
        <w:ind w:left="640" w:right="20" w:hanging="393"/>
        <w:spacing w:after="0" w:line="254" w:lineRule="auto"/>
        <w:tabs>
          <w:tab w:leader="none" w:pos="635"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one or more third-party developers could obtain approval for a similar product resulting in unforeseen price competition in connection with the product.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and Production of Our Products</w:t>
      </w:r>
    </w:p>
    <w:p>
      <w:pPr>
        <w:spacing w:after="0" w:line="2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MediWound for the manufacture, production, and supply of NexoBrid, and our business, financial condition, and results of operations could be materially adversely affected to the extent the manufacture, production, and supply of NexoBrid is disrupted or delayed.</w:t>
      </w:r>
    </w:p>
    <w:p>
      <w:pPr>
        <w:spacing w:after="0" w:line="18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have entered into exclusive license and supply agreements with MediWound, under which MediWound will manufacture and supply NexoBrid on a unit price basis, which may be increased pursuant to the terms of the agreements. NexoBrid contains an active pharmaceutical ingredient of concentrate of proteolytic enzymes enriched in bromelain. For its part, MediWound has entered into an agreement with Challenge Bioproducts Corporation, Ltd. (“CBC”), through which CBC supplies Bromelain SP, a material derived from pineapple stems, and which is manufactured by CBC at its facility in Taiwan. Once produced, MediWound uses Bromelain SP in the development and manufacture of NexoBrid at its facilities in Israel. The manufacture and production of NexoBrid is a complicated process, and MediWound’s manufacture and supply of the product is subject to various cGMP and other FDA requirements. To the extent the supply of NexoBrid is delayed or disrupted as the result of MediWound’s failure to timely ensure its facilities meet FDA and/or cGMP requirements, our financial condition or results of operations may be adversely affected.</w:t>
      </w:r>
    </w:p>
    <w:p>
      <w:pPr>
        <w:spacing w:after="0" w:line="21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Additionally, the escalation of hostilities in the Middle East region involving Israel, the initiation of a military conflict between Taiwan and China or the imposition or a trade embargo or blockade affecting Taiwan could negatively affect MediWound’s ability to supply NexoBrid to the U.S. market. We continue to monitor the ongoing conflicts in Israel and are in close communication with MediWound leadership. MediWound’s NexoBrid manufacturing operations are continuing and, as of the date of this disclosure, MediWound does not anticipate a material disruption to its ongoing supply of commercial NexoBrid to the United States. To the extent the ongoing military conflicts in the Middle East region involving Israel intensify or expand in the region and MediWound’s facilities in Israel are damaged or destroyed, travel to and from Israel is halted or inhibited, shipments of NexoBrid or NexoBrid related materials are destroyed, or significant key MediWound operational personnel are called to military service, MediWound’s ability to continue to supply NexoBrid to the U.S. market could be disrupted.</w:t>
      </w:r>
    </w:p>
    <w:p>
      <w:pPr>
        <w:spacing w:after="0" w:line="21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Further, geopolitical tensions between Taiwan and China have risen steadily over the past year. Although Taiwan has been governed independently from China since 1949, China views Taiwan as part of its territory and has vowed to eventually unify Taiwan with China, using military force if necessary. War or other military conflict in or near Taiwan, pandemics, and certain natural disasters, such as earthquakes, which are commonplace in Taiwan (where CBC is located) may result in the destruction or disruption of CBC’s ability to supply Bromelain SP to MediWound and have downstream implications for our Company.</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the event that MediWound is unable to supply us with NexoBrid pursuant to the terms of our supply agreement and we are unable to identify alternative sources of supply for NexoBrid on a timely basis, our operations and business prospects may be materially adversely affected. In addition, even if we identify any such alternative sources of NexoBrid, we could experience delays in testing, evaluating, and validating the new supplier. Qualifying new contract manufacturers and suppliers, and specifically Bromelain SP and NexoBrid manufacturers, is time consuming and might result in unforeseen supply and operations problems.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Furthermore, financial or other difficulties faced by MediWound or CBC, or significant changes in demand for the Bromelain SP that CBC supplies MediWound, could limit the availability of NexoBrid to us. Any of these problems or delays could damage our relationships with our customers, adversely affect our reputation and adversely affect our business, financial condition, results of operations, our ability to grow our business, and the market price and liquidity of our shares.</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have limited manufacturing capacity and our commercial manufacturing operations in the U.S. depend on one facility. If the facility is destroyed or we experience any manufacturing difficulties, disruptions, or delays, this could limit supply of our products or adversely affect our ability to conduct clinical trials and our business would be adversely impacted.</w:t>
      </w:r>
    </w:p>
    <w:p>
      <w:pPr>
        <w:spacing w:after="0" w:line="20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presently conduct all of our commercial manufacturing operations for MACI and Epicel in the U.S., at one facility located in Cambridge, Massachusetts. We have entered into a lease agreement for approximately 126,000 square feet of manufacturing, laboratory and office space in Burlington, Massachusetts, which has been under construction. The Burlington facility is substantially complete, and we are currently utilizing the facility’s office space. Once validated, the facility’s manufacturing component will eventually become the primary manufacturing facility for MACI and Epicel. As a result, all of the commercial manufacturing for the U.S. market of our marketed products, MACI and Epicel, currently takes place at a single U.S. facility. If regulatory, manufacturing, or other problems require us to discontinue production at our facility, we will not be able to supply our products to our patients until the FDA approved qualification of the Burlington facility, which would adversely impact our business. If the Cambridge facility, or some or all of the equipment in it, is significantly damaged or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destroyed by fire, flood, power loss, catastrophic incident, or similar event, we will not be able to quickly or inexpensively replace our current manufacturing capacity until FDA qualification of the Burlington facility, and we may not be able to replace our Cambridge facility at all. In the event of a temporary or protracted loss of the Cambridge facility or critical equipment, we might not be able to transfer manufacturing to a third-party before FDA qualification of the Burlington facility would permit us to replace and expand our current manufacturing capacity. Even if we could transfer manufacturing from one facility to a third-party, the shift would likely be expensive and time-consuming, particularly since an alternative facility would need to comply with applicable regulatory and quality standard requirements whereby validation and FDA approval would be required before any products manufactured at that facility could be made commercially available. In addition, we do not currently have a fully automated manufacturing process, which could potentially introduce contaminants to the production process or other problems due to human error.</w:t>
      </w:r>
    </w:p>
    <w:p>
      <w:pPr>
        <w:spacing w:after="0" w:line="21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While we do maintain insurance coverage against damage to our property and equipment, if we have underestimated our insurance needs, we will not have sufficient insurance to cover losses above and beyond the limits on our policies. Additionally, any supply interruption could harm our reputation and cause our product sales and profitability to suffer even after such supply interruption is corrected.</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of third parties, including, for example, Matricel GmbH, to manufacture or supply certain components, equipment, disposable devices, and other materials used in our MACI or Epicel cell manufacturing processes would impair our cell product development and commercialization.</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rely on third parties, including Matricel GmbH (“Matricel”), to manufacture and/or supply certain of our devices/manufacturing equipment and to manufacture and/or supply certain components, equipment, disposable devices and other materials used in our cell manufacturing process to manufacture our marketed cell therapy products and to develop our product candidates. In many instances these third parties serve as our sole suppliers. For example, Matricel is the sole supplier of the membrane for MACI. It would be difficult to obtain alternate sources of supply on a short-term basis due to the need for FDA approval of a new supplier. If any of our manufacturers or suppliers fails to perform its respective obligations, or if our supply of certain components, equipment, disposable devices and other materials is limited or interrupted, it could impair our ability to manufacture our products, which would delay our ability to market our commercial products or future product candidates or conduct clinical trials on a timely and cost-competitive basis, if at all.</w:t>
      </w:r>
    </w:p>
    <w:p>
      <w:pPr>
        <w:spacing w:after="0" w:line="173" w:lineRule="exact"/>
        <w:rPr>
          <w:sz w:val="20"/>
          <w:szCs w:val="20"/>
          <w:color w:val="auto"/>
        </w:rPr>
      </w:pPr>
    </w:p>
    <w:p>
      <w:pPr>
        <w:jc w:val="both"/>
        <w:ind w:firstLine="240"/>
        <w:spacing w:after="0" w:line="219" w:lineRule="exact"/>
        <w:rPr>
          <w:sz w:val="20"/>
          <w:szCs w:val="20"/>
          <w:color w:val="auto"/>
        </w:rPr>
      </w:pPr>
      <w:r>
        <w:rPr>
          <w:rFonts w:ascii="Times New Roman" w:cs="Times New Roman" w:eastAsia="Times New Roman" w:hAnsi="Times New Roman"/>
          <w:sz w:val="17"/>
          <w:szCs w:val="17"/>
          <w:color w:val="auto"/>
        </w:rPr>
        <w:t>Many of our suppliers are sole or single source suppliers. We do not have long-term supply agreements with many of our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sole or single source suppliers of certain components and other materials used in our cell manufacturing process to manufacture our marketed cell therapy products. We purchase our required supply on a purchase order basis, and at any time the third-party suppliers could stop supplying our orders. FDA approval of a new supplier may be required if these materials become unavailable from our current suppliers. Although there may be other suppliers that have equivalent materials that would be available to us, FDA approval of any alternate suppliers, if required, could take several months or a year or more to obtain, if we could obtain such approval at all. Should we need to find alternate manufacturers or suppliers, we will also need to verify, such as through a manufacturing comparability study, that any new manufacturing process will produce our product candidate according to the specifications previously submitted to the FDA or another regulatory authority. Any delay, interruption or cessation of production by our third-party suppliers of important materials, any delay in qualifying new materials, if necessary, or any delay associated with the transition to and verification of any new manufacturers or suppliers would prevent or delay our ability to manufacture products. In addition, a supplier’s variation in a raw material or testing, either unknown to us or incompatible with our manufacturing process, or any other problem with our materials, testing or components, would prevent or delay our ability to manufacture products. These delays may limit our ability to meet demand for our products, which would have a material adverse impact on our business, results of operations and financial condition.</w:t>
      </w:r>
    </w:p>
    <w:p>
      <w:pPr>
        <w:spacing w:after="0" w:line="22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suppliers or to do so on acceptable terms. Even if we are able to establish agreements with third-party suppliers, reliance on third-party suppliers entails additional risks, including the possible breach of the supply agreement by the third-party, and the possible termination or nonrenewal of the agreement by the third-party at a time that is costly or inconvenient for us.</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addition, we may not be able to continue our present arrangements with our suppliers, supplement existing relationships, establish and maintain new relationships or be able to identify and obtain the ancillary materials that are necessary to develop our product candidates in the future. Our dependence upon third parties for the supply and manufacture of these items could adversely affect our ability to develop and deliver commercial and commercially feasible products on a timely and competitive basis.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by our third-party manufacturers, including Matricel, to comply with the regulatory requirements set forth by the FDA with respect to our products could limit our ability to manufacture commercial products.</w:t>
      </w:r>
    </w:p>
    <w:p>
      <w:pPr>
        <w:spacing w:after="0" w:line="1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Third-party manufacturers, such as Matricel, are subject to inspection by the FDA for cGMP compliance, as well as for their ability to manufacture the components, products, or product candidates in compliance with the established process and procedure for the product or product candidate during an inspection. We may compete with other companies for access to these manufacturers’ facilities and may be subject to delays in manufacture if the manufacturers give other clients higher priority than they give to us. If we are unable to secure and maintain third-party manufacturing capacity, the development and sales of our products and product candidates, if approved, and our financial performance may be materially affected.</w:t>
      </w:r>
    </w:p>
    <w:p>
      <w:pPr>
        <w:spacing w:after="0" w:line="21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Manufacturers of FDA-regulated products are obligated to operate in accordance with FDA-mandated requirements. A failure of any of our third-party manufacturers to establish and follow cGMP requirements and to document their adherence to such practices may lead to significant delays in the availability of material for clinical trials, may delay or prevent filing or approval of marketing applications for our future product candidates, and may cause delays or interruptions in the availability of our products for commercial distribution. This could result in higher costs to us or deprive us of potential product revenues.</w:t>
      </w:r>
    </w:p>
    <w:p>
      <w:pPr>
        <w:spacing w:after="0" w:line="19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Complying with cGMP, International Conference on Harmonization (“ICH”) and other non-U.S. regulatory requirements will require that we expend time, money, and effort in production, recordkeeping, and quality control to assure that the product or product candidate meets applicable specifications and other requirements. We, or our contracted manufacturing facility, must also pass a pre-approval inspection by the FDA for future product candidates, and are subject to routine FDA cGMP inspections. If there is inadequate information to make a determination on the acceptability of a facility, the FDA may defer action on the application until an inspection can be completed. Failure to address any FDA inspection observations in a timely manner, pass pre-approval inspections, or comply with cGMP requirements can result in delays to approvals for future product candidates and/or regulatory action that can limit the ability to manufacture commercial products. As a result, our business, financial condition, and results of operations may be materially harmed.</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cell therapy products is characterized by inherent risks and challenges and has proven to be a costly endeavor relative to manufacturing other therapeutic products.</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manufacture of cell therapy products, such as our products and product candidates, is highly complex and is characterized by inherent risks and challenges such as biological raw material inconsistencies, logistical challenges, significant quality control and assurance requirements, manufacturing complexity, and significant manual processing. Unlike products that rely on chemicals for efficacy, such as most pharmaceuticals, cell therapy products are difficult to characterize due to the inherent variability of biological input materials. When manufacturing autologous cell therapies, the number and composition of the cell population varies from patient-to-patient, in part due to the age of the patient, since the therapy is dependent on patient-specific physiology. Such variability in the number and composition of these cells could adversely affect our ability to manufacture autologous cell therapies in a cost-effective manner and meet acceptable product release specifications for use in a clinical trial or, if approved, for commercial sale.</w:t>
      </w:r>
    </w:p>
    <w:p>
      <w:pPr>
        <w:spacing w:after="0" w:line="21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Difficulty in characterizing biological materials or their interactions creates greater risk in the manufacturing process. We attempt to mitigate risks associated with the manufacture of biologics by continuing to improve the characterization of all of our input materials, utilizing multiple vendors for supply of qualified biological materials when possible, and manufacturing some of these materials ourselves. However, there can be no assurance that we will be able to maintain adequate sources of biological materials or that the biological materials that we maintain in inventory will yield finished products that satisfy applicable product release criteria. Our inability to obtain necessary biological materials or to successfully manufacture cell therapy products that incorporate such materials could have a material adverse effect on our results of operations.</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There can be no assurance that we or any third-party contractors with whom we enter into strategic relationships will be successful in streamlining manufacturing operations and implementing efficient, low-cost manufacturing capabilities and processes that will enable us to meet and/or maintain the quality, price and production standards or production volumes necessary to achieve our growth and profitability objectives as projected, or at all.</w:t>
      </w:r>
    </w:p>
    <w:p>
      <w:pPr>
        <w:spacing w:after="0" w:line="20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If any of our manufacturers or suppliers fails to perform its respective obligations, or if our supply of certain components, equipment, disposable devices and other materials is limited or interrupted, ultimately we may be forced to manufacture the materials ourselves, for which we may not have the experience, capabilities or resources. In some cases, the technical skills required to manufacture our products or product candidates may be unique or proprietary to the original manufacturer or supplier, and we may have difficulty, or there may be contractual restrictions prohibiting us from, transferring such skills to a back-up or alternate supplier, or we may be unable to transfer such skills at all.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Regulation by the FDA and other Government Entities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required regulatory approvals would severely limit our ability to sell our products.</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must maintain our domestic regulatory approvals to continue to commercialize our products in the U.S. We must demonstrate the safety, purity, and potency, or efficacy, of cell therapy products to obtain FDA regulatory approval prior to marketing in the U.S. Demonstration of safety and efficacy requires the conduct of nonclinical studies and well-controlled clinical trials in compliance with FDA, ICH and applicable local regulations. The FDA regulatory review process to obtain marketing approval is a rigorous process that requires demonstrating the ability to manufacture the product in compliance with cGMP in addition to demonstrating a favorable risk/benefit profile and making certain post-marketing commitments.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To date, our product commercialization efforts have been limited to the U.S. In the event we market any products outside of the U.S. in the future, we will be required to maintain our foreign regulatory approvals in compliance with regulatory requirements and applicable local regulations to allow for commercialization outside the U.S. Regulatory requirements outside the U.S. often require additional studies and data to obtain registration and, as a result, approval timelines can also be longer than those in the U.S.</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safety, potency, and purity of our products must be monitored to be in compliance with FDA requirements for safety, cGMPs, and all other applicable regulations. This requires adverse event monitoring and reporting to regulatory agencies, as well as submission and approval of any changes in the manufacturing process. Our manufacturing and testing facilities are subject to FDA periodic inspections for compliance with cGMP requirements. Failure to meet regulatory requirements and post-marketing commitments and to maintain cGMP compliance could result in severe and detrimental regulatory actions, including the loss of marketing approval.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and sale of any of our products may be limited by health insurance coverage and government regulation.</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Maintaining and growing sales of our products will depend in large part on the availability of adequate coverage and the extent to which third-party payers, including health insurance companies, health maintenance organizations, and government health administration authorities such as the military, Medicare and Medicaid, private insurance plans and managed care programs will pay for the cost of the products and related treatment. Hospitals and other healthcare provider clients that purchase our products typically bill various third-party payers to cover all or a portion of the costs and fees associated with the procedures in which such products are used, sometimes including the cost of the purchase of these products. See section entitled “</w:t>
      </w:r>
      <w:r>
        <w:rPr>
          <w:rFonts w:ascii="Times New Roman" w:cs="Times New Roman" w:eastAsia="Times New Roman" w:hAnsi="Times New Roman"/>
          <w:sz w:val="18"/>
          <w:szCs w:val="18"/>
          <w:i w:val="1"/>
          <w:iCs w:val="1"/>
          <w:color w:val="auto"/>
        </w:rPr>
        <w:t>Business -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 - Pharmaceutical Coverage and Reimbursement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Many private payers in the U.S. use coverage decisions and payment amounts determined by the Centers for Medicare &amp; Medicaid Services (“CMS”), as guidelines in setting their coverage and reimbursement policies. While certain procedures using our products are currently covered by Medicare and other third-party payers, future action by CMS or other government agencies, including the imposition of coverage and reimbursement limitations, may diminish payments to physicians, outpatient centers and/or hospitals for covered services. Additionally, payers may require us to conduct post-marketing studies in order to demonstrate the cost-effectiveness of our products and current and future product candidates to such payers’ satisfaction. Such studies might require us to commit a significant amount of management time and financial and other resources. Our products and future products might not ultimately be considered cost-effective. As a result, we cannot be certain that the procedures performed with our products will be reimbursed at a cost-effective level or reimbursed at all. Furthermore, the healthcare industry in the U.S. has experienced a trend toward cost containment as government and private insurers seek to control healthcare costs by imposing lower payment rates and negotiating reduced contract rates with service providers. Increasingly, third-party payers have attempted to control costs by challenging the prices charged for medical products. Therefore, we cannot be certain that the procedures performed with our products will be reimbursed at a cost-effective level. Nor can we be certain that third-party payers using a methodology that sets amounts based on the type of procedure performed, such as those utilized in many privately managed care systems and by Medicare, will view the cost of our products as justified so as to incorporate such costs into the overall cost of the procedure.</w:t>
      </w:r>
    </w:p>
    <w:p>
      <w:pPr>
        <w:spacing w:after="0" w:line="22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Moreover, we are unable to predict what changes will be made to the reimbursement methodologies used by third-party payers in the future. As a result of the continuing evaluation and assessment of these expected payments, our estimates for expected payments could change. We cannot be sure that reimbursement will be available for any product that we commercialize and, if reimbursement is available, the level of such reimbursement. Reimbursement may impact the demand for, or the price of, any product or product candidate for which we obtain marketing approval. Adequate third-party reimbursement might not be available to enable us to maintain price levels sufficient to realize an appropriate return 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investment in our products and future product development. If coverage or adequate reimbursement is not available, or if our costs of production increase faster than increases in reimbursement levels, we may not be able to successfully grow the sales of our products or commercialize any current and future product candidates for which marketing approval is obtained. If reimbursement is not available or is available only at limited levels, we may not be able to successfully commercialize any product or product candidate for which we obtain marketing approval.</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regulation with respect to the manufacturing of our products. If we are not able to comply with such regulation, our business may be materially harmed.</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All of those involved in the preparation of our products for commercial sale or clinical trials, including our existing supply contract manufacturers and clinical trial investigators, are subject to extensive and continuing government regulations by the FDA and comparable agencies in other jurisdictions. Components of a finished therapeutic product approved for commercial sale or used in late-stage clinical trials must be manufactured in accordance with cGMPs. These regulations govern manufacturing processes and procedures and the implementation and operation of quality systems to control and assure the quality of investigational products and products approved for sale. Our facilities and quality systems and the facilities and quality systems of some or all of our third-party contractors and suppliers are subject to pre-approval and routine FDA inspections for compliance with the applicable regulations as a condition of FDA approval of our products.</w:t>
      </w:r>
    </w:p>
    <w:p>
      <w:pPr>
        <w:spacing w:after="0" w:line="21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Generally, if any FDA inspection or audit identifies a failure to comply with applicable regulations or if a violation of our product specifications or applicable regulation occurs independent of such an inspection or audit, we or the FDA may require remedial measures that may be costly and/or time consuming for us or a third-party to implement and that may include the temporary or permanent suspension of a clinical trial or commercial sales, recalls, warning letters, market withdrawals, seizures, placement of a non-U.S. facility on an import alert, or the temporary or permanent closure of a facility. Any such remedial measures imposed upon us or third parties with whom we contract could materially harm our business.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and any related reporting obligations may adversely impact our business, financial condition and results of operations.</w:t>
      </w:r>
    </w:p>
    <w:p>
      <w:pPr>
        <w:spacing w:after="0" w:line="1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U.S. and international regulators, customers and investors are increasingly focused on corporate ESG practices and disclosures, and may evaluate our business or other practices according to a variety of ESG targets, standards, and expectations. For example, new domestic and international laws and regulations relating to ESG matters are under consideration or being adopted. Additional legislation which may be passed, may cause us to incur significant additional costs of compliance due to the need for expanded data collection, analysis, and certification with respect to greenhouse gas emissions and other climate change related risks, as well as other ESG topics.</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Furthermore, the criteria by which our ESG practices, including our initiatives and public goals, are assessed may change due to the evolution of the sustainability landscape, which could result in greater expectations of us and may cause us to undertake costly initiatives to satisfy new criteria. Additionally, there is an increasing number of state-level anti-ESG initiatives in the U.S. that may conflict with other regulatory requirements or various stakeholders’ expectations. If we are unable to respond effectively to these changes to the sustainability landscape, governments, customers, and investors may conclude that our policies and/or actions with respect to ESG matters are inadequate. If we fail or are perceived to have failed to achieve previously announced public goals or to accurately disclose our progress on such goals or initiatives, our reputation, business, financial condition and results of operations could be adversely impacted. Additionally,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could incur significant costs complying with environmental and health and safety requirements, or as a result of liability for contamination or other harm caused by hazardous materials that we use.</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Our research and development and manufacturing processes involve the use of hazardous materials. We are subject to federal, state, local and foreign environmental requirements, including regulations governing the use, manufacture, handling, storage and disposal of hazardous materials, discharge to air and water, the cleanup of contamination and occupational health and safety matters. We cannot eliminate the risk of contamination or injury resulting from hazardous materials, and we may incur liability as a result of any contamination or injury. Under some environmental laws and regulations, we could also be held responsible for costs relating to any contamination at our past or present facilities and at third-party waste disposal sites where we have sent waste. These could include costs relating to contamination that did not result from any violation of law, and in some circumstances, contamination that we did not cause. We may incur significant expenses in the future relating to any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failure to comply with environmental laws. Any such future expenses or liability could have a significant negative impact on our financial condition. The enactment of stricter laws or regulations, the stricter interpretation of existing laws and regulations or the requirement to undertake the investigation or remediation of currently unknown environmental contamination at our own or at a third-party site may require us to make additional expenditures, which could be material.</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In order to obtain marketing authorization of any of our current or future product candidates in the U.S., the FDA requires us to submit a BLA or marketing application, which is subject to the agency’s detailed review and the denial of such applications could negatively impact our prospects, financial condition, and future results.</w:t>
      </w:r>
    </w:p>
    <w:p>
      <w:pPr>
        <w:spacing w:after="0" w:line="20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Cell therapy and other products require FDA review under an appropriate marketing application prior to commercialization. Future cell and other biologic therapy candidates would be subject to FDA’s biological product requirements and require submission of a BLA. The BLA is a request for permission to introduce, or deliver for introduction, a biologic product into interstate commerce in the U.S. and, once submitted, undergoes a detailed and rigorous review by the FDA. The review process includes, among other requirements, pre-approval inspections of the manufacturing facility. Additionally, approval may rely on post-market commitments. These commitments may include costly activities, such as additional clinical trials, and a failure to meet these commitments can result in negative actions by the FDA, including the withdrawal of the product from the market.</w:t>
      </w:r>
    </w:p>
    <w:p>
      <w:pPr>
        <w:spacing w:after="0" w:line="208"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results of operation and cash flows could be significantly and negatively affected by substantial governmental regulations.</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Our products are subject to rigorous regulation by the FDA and numerous other federal, state and foreign governmental authorities. Overall, there appears to be a trend toward more stringent regulation worldwide, and we do not anticipate that this trend will dissipate in the near future.</w:t>
      </w:r>
    </w:p>
    <w:p>
      <w:pPr>
        <w:spacing w:after="0" w:line="189"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In general, the development, testing, labeling, manufacturing, and marketing of our products is subject to extensive regulation and review by numerous governmental authorities both in the U.S. and abroad. The regulatory process requires the expenditure of significant time, effort and resources to bring new products to market. For example, the FDA approved Epicel as a HUD pursuant to an HDE application. A HUD is a medical device intended to benefit patients in the treatment or diagnosis of a disease or condition that affects not more than 8,000 individuals in the U.S. per year. Once a HUD receives a HDE from the FDA, the product may be marketed and sold in the U.S. However, IRB approval is required before a HUD can be used at a facility, with the exception of emergency use. The HDE holder is responsible for ensuring that the product is administered only in facilities having an IRB that is constituted and which acts in accordance with the agency’s regulation governing IRBs, including the requirement of continuing review of the use of the device. HUDs are also subject to additional FDA requirements, such as adverse event reporting and the submission of updated information on a periodic basis to demonstrate that the HUD designation is still valid. Failure to meet FDA requirements pertaining to a HUD could result in the suspension or revocation of the HDE.</w:t>
      </w:r>
    </w:p>
    <w:p>
      <w:pPr>
        <w:spacing w:after="0" w:line="21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If the HDE for Epicel is suspended or revoked, marketing approval for the product would require the submission and approval of a PMA in order for Epicel to be commercially available. The PMA process is costly, lengthy, and uncertain. A PMA must be supported by extensive data, including, but not limited to, technical, preclinical, clinical trial, manufacturing, and labeling data to demonstrate to the FDA’s satisfaction the safety and efficacy of the device for its intended use. If the HDE approval for Epicel was withdrawn, and we were unable to obtain premarket approval through the PMA process, we would be unable to market Epicel for sale in the U.S.</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are also required to implement and maintain stringent reporting, labeling, and record keeping procedures for our products, both in the U.S., and abroad. Specifically, in the U.S., both before and after a product is commercially released, we have ongoing responsibilities under FDA regulations. Compliance with the FDA’s requirements, including the FDA’s cGMP recordkeeping regulations, labeling and promotional requirements, adverse event reporting regulations, and applicable product tracking and tracing requirements, is subject to continual review and is monitored rigorously through periodic inspections by the FDA and through submission of annual reports. Our failure to comply with federal, state, and foreign governmental regulations could lead to the issuance of warning letters or untitled letters, the imposition of injunctions, suspensions or loss of regulatory approvals, product recalls, placement of non-U.S. manufacturing facilities on an import alert, termination of distribution, product seizures, or civil penalties. In the most extreme cases, criminal sanctions or the closure of our manufacturing facility are possible.</w:t>
      </w:r>
    </w:p>
    <w:p>
      <w:pPr>
        <w:spacing w:after="0" w:line="21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addition, the pharmaceutical, biologic, and medical device industries also are subject to many complex laws and regulations governing Medicare and Medicaid reimbursement, and which target healthcare fraud and abuse. Many of these laws and regulations are subject to interpretation. In many instances, manufacturers and the life science industry do not have the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benefit of significant regulatory or judicial interpretation of these laws and regulations. In certain public statements, governmental authorities have taken positions on issues for which little official interpretation was previously available. Some of these positions appear to be inconsistent with common practices within the industry but have not previously been challenged.</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Various federal and state agencies have become increasingly active in recent years in their investigation and prosecution of various business practices, such as through the enforcement of the federal Anti-kickback Statute, the federal False Claims Act, and the FFDCA and/or similar state laws. Governmental and regulatory actions against us could result in various consequences that could adversely impact our operations, including:</w:t>
      </w:r>
    </w:p>
    <w:p>
      <w:pPr>
        <w:spacing w:after="0" w:line="203" w:lineRule="exact"/>
        <w:rPr>
          <w:sz w:val="20"/>
          <w:szCs w:val="20"/>
          <w:color w:val="auto"/>
        </w:rPr>
      </w:pPr>
    </w:p>
    <w:p>
      <w:pPr>
        <w:ind w:left="640" w:hanging="393"/>
        <w:spacing w:after="0"/>
        <w:tabs>
          <w:tab w:leader="none" w:pos="64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The recall or seizure of products;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The suspension or revocation of the authority necessary for the production or sale of a product;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The suspension of shipments from particular manufacturing facilities, including non-U.S. facilities placed on an import alert;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The imposition of fines and penalties;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The delay of our ability to introduce new products into the market;</w:t>
      </w:r>
    </w:p>
    <w:p>
      <w:pPr>
        <w:spacing w:after="0" w:line="5"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Our exclusion or the exclusion of our products from being reimbursed by federal and state healthcare programs (such as military, Medicare, Medicaid, Veterans Administration health programs and/or Civilian Health and Medical Program Uniformed Service, or CHAMPUS); and</w:t>
      </w:r>
    </w:p>
    <w:p>
      <w:pPr>
        <w:ind w:left="640" w:hanging="393"/>
        <w:spacing w:after="0"/>
        <w:tabs>
          <w:tab w:leader="none" w:pos="64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Other civil or criminal prosecution or sanctions against us or our officers, directors and employees, such as fines, penalties or imprisonment.</w:t>
      </w:r>
    </w:p>
    <w:p>
      <w:pPr>
        <w:spacing w:after="0" w:line="227"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Any of these consequences, in combination or alone, or even a public announcement that we are being investigated for possible violations of these laws, could have a material adverse effect on our business, financial condition, results of operations and cash flows.</w:t>
      </w:r>
    </w:p>
    <w:p>
      <w:pPr>
        <w:spacing w:after="0" w:line="18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the U.S., if the FDA were to conclude that we are not in compliance with applicable laws or regulations or that any of our products are ineffective or pose an unreasonable health risk, the FDA could ban such products; detain or seize adulterated or misbranded products; order the recall, repair, replacement, or refund of payment for certain products, refuse to grant pending applications; refuse to provide certificates to foreign governments for exports; place non-U.S. manufacturing facilities on import alert; and/or require us to notify healthcare professionals and others that the products present unreasonable risks of substantial harm to the public health. The FDA may also impose operating restrictions on a company-wide basis, enjoin and restrain certain violations of applicable law pertaining to our products and assess civil or criminal penalties against our officers, employees, or us. The FDA may also recommend further investigation and prosecution to the U.S. Department of Justice (“DOJ”). Adverse regulatory action, depending on its magnitude, may restrict us from effectively marketing and selling our products.</w:t>
      </w:r>
    </w:p>
    <w:p>
      <w:pPr>
        <w:spacing w:after="0" w:line="21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many of the foreign countries in which our products may be marketed in the future, we will be subject to regulations affecting, among other things, clinical efficacy, product standards, packaging requirements, labeling requirements, import/export restrictions, tariff regulations, and duties and tax requirements. Many of the regulations applicable to our products in these countries, such as the Medicinal Products Directive and the ATMP guidelines governing products in the EU, are similar to those imposed by the FDA. In addition, in many countries the national health or social security organizations of those nations may require our products to be qualified before they can be marketed with the benefit of reimbursement eligibility. Failure to receive or delays in the receipt of relevant foreign qualifications could also be detrimental to our future growth.</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both U.S. and foreign government regulators have become increasingly stringent, we may be subject to more rigorous regulation by governmental authorities in the future. Our products and our operations are also often subject to the rules of industrial standards bodies, such as the International Standards Organization (“ISO”). If we fail to adequately address any of these regulations, our business will be harmed.</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could be significantly impacted by uncertainty in U.S. trade policy, including uncertainty surrounding changes in tariffs, trade agreements or other trade restrictions imposed by the U.S. or other governments.</w:t>
      </w:r>
    </w:p>
    <w:p>
      <w:pPr>
        <w:spacing w:after="0" w:line="1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ability to conduct business can be significantly impacted by changes in tariffs, changes or repeals of trade agreements, or the imposition of other trade restrictions or retaliatory actions imposed by various governments. For example, the new U.S. presidential administration has proposed to significantly increase tariffs on foreign imports into the U.S. and as of February 2025, new tariffs were enacted (and are significantly evolving) that significantly increase tariffs on foreign imports into the U.S. Other effects of these changes, including responsive actions from governments, could also have adverse impacts on our financial results. We cannot predict what further action may be taken with respect to tariffs or trade relations between the U.S.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governments, and any further changes in U.S. or international trade policy could have an adverse impact on our business.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NexoBrid has been designated as an orphan drug in the U.S., but we may be unable to obtain or maintain such a designation or the benefits associated with orphan drug status, including marketing exclusivity, which may cause our revenue to be reduced.</w:t>
      </w:r>
    </w:p>
    <w:p>
      <w:pPr>
        <w:spacing w:after="0" w:line="18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drugs or biologics intended to treat a rare disease or condition, generally a disease or condition that affects fewer than 200,000 individuals in the U.S., or affects more than 200,000 individuals in the U.S. and for which there is no reasonable expectation that the cost of developing and making available the drug or biologic in the U.S for such disease or condition will be recovered from sales in the U.S of such drug or biologic. Orphan drug designation must be requested to and granted by the FDA before submitting a BLA. Among the other benefits of orphan drug designation are opportunities for grant funding towards clinical trial costs, tax credits for certain research, and a waiver of the BLA application user fee. After the FDA grants orphan drug designation, the generic identity of the biologic and its potential orphan use are disclosed publicly by the FDA. Orphan drug designation does not necessarily convey any advantage in, or shorten the duration of, the regulatory review and approval process. The first BLA applicant to receive FDA approval for a particular product to treat a particular disease with FDA orphan drug designation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 if the FDA finds that the holder of the orphan exclusivity has not shown that it can assure the availability of sufficient quantities of the orphan product to meet the needs of patients with the disease or condition for which the biologic was designated. Orphan drug exclusivity, which would most likely run concurrently with the exclusivity, if any, received from the time of first licensure of a reference product, does not prevent the FDA from approving a different biologic for the same disease or condition, or the same biologic for a different disease or condition.</w:t>
      </w:r>
    </w:p>
    <w:p>
      <w:pPr>
        <w:spacing w:after="0" w:line="22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Such a designation may be revoked by the FDA in certain circumstances, such as if the agency finds that the applicant’s request for designation request omitted material information required under the Orphan Drug Act and its implementing regulations. Furthermore, the FDA can waive orphan exclusivity if the applicant is unable to manufacture sufficient supply of the product subject to a period of orphan drug marketing exclusivity.</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Changes to our products or future product candidates may require regulatory approvals and a denial of such required approval will negatively impact our prospects, financial condition and future results.</w:t>
      </w:r>
    </w:p>
    <w:p>
      <w:pPr>
        <w:spacing w:after="0" w:line="18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Changes or modifications to our products or to the manufacturing process of any of our products may require the submission of supplements to our BLAs, HDE application, and INDs. These supplements require the generation of data to support the change, and the review and approval by the FDA to obtain authorization for the change in the commercial product or in the investigational biological product before they can be implemented. Obtaining regulatory approvals for these changes may require the conduct of new studies and the purchase of new equipment to justify the change. This can be costly and time consuming. Regulatory delays can adversely impact our ability to improve our products and to introduce new products in a timely manner, which can be detrimental to our future growth.</w:t>
      </w:r>
    </w:p>
    <w:p>
      <w:pPr>
        <w:spacing w:after="0" w:line="212" w:lineRule="exact"/>
        <w:rPr>
          <w:sz w:val="20"/>
          <w:szCs w:val="20"/>
          <w:color w:val="auto"/>
        </w:rPr>
      </w:pPr>
    </w:p>
    <w:p>
      <w:pPr>
        <w:jc w:val="both"/>
        <w:ind w:firstLine="240"/>
        <w:spacing w:after="0" w:line="273" w:lineRule="auto"/>
        <w:rPr>
          <w:sz w:val="20"/>
          <w:szCs w:val="20"/>
          <w:color w:val="auto"/>
        </w:rPr>
      </w:pPr>
      <w:r>
        <w:rPr>
          <w:rFonts w:ascii="Times New Roman" w:cs="Times New Roman" w:eastAsia="Times New Roman" w:hAnsi="Times New Roman"/>
          <w:sz w:val="17"/>
          <w:szCs w:val="17"/>
          <w:color w:val="auto"/>
        </w:rPr>
        <w:t>For example, we are currently evaluating the feasibility and potential market opportunity involved in delivering MACI treatment to patients suffering from cartilage damage in the ankle. We believe that this potential lifecycle enhancement and indication expansion for MACI will require conducting an additional randomized clinical trial concerning the product’s use in the ankle. We conducted pre-IND interactions with the FDA concerning our clinical development program for MACI to treat cartilage injuries in the ankle, and based on feedback from the FDA, our team is actively working to finalize our non-clinical testing and propose a clinical development plan/protocol to FDA for review. We are on track to initiate a MACI Ankle clinical trial later in 2025.</w:t>
      </w:r>
    </w:p>
    <w:p>
      <w:pPr>
        <w:spacing w:after="0" w:line="196" w:lineRule="exact"/>
        <w:rPr>
          <w:sz w:val="20"/>
          <w:szCs w:val="20"/>
          <w:color w:val="auto"/>
        </w:rPr>
      </w:pPr>
    </w:p>
    <w:p>
      <w:pPr>
        <w:jc w:val="both"/>
        <w:ind w:firstLine="240"/>
        <w:spacing w:after="0" w:line="273" w:lineRule="auto"/>
        <w:rPr>
          <w:sz w:val="20"/>
          <w:szCs w:val="20"/>
          <w:color w:val="auto"/>
        </w:rPr>
      </w:pPr>
      <w:r>
        <w:rPr>
          <w:rFonts w:ascii="Times New Roman" w:cs="Times New Roman" w:eastAsia="Times New Roman" w:hAnsi="Times New Roman"/>
          <w:sz w:val="17"/>
          <w:szCs w:val="17"/>
          <w:color w:val="auto"/>
        </w:rPr>
        <w:t>There can be no guarantee that we will receive regulatory approval of MACI for treatment of cartilage defects in the ankle. A number of companies have suffered significant setbacks during evaluation due to lack of efficacy or unacceptable safety issues, notwithstanding promising preliminary results. Failure to receive FDA approval or regulatory approval for the clinical use of MACI to treat cartilage defects in the ankle in a timely manner or at all, could harm our financial results and results of operations. Even if we obtain such regulatory approval, our ability to successfully market MACI for treatment of cartilage defects in the ankle may be limited. If we cannot commercialize new products or product improvements as planned, our financial results could be harmed.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18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manufacturing processes, reporting requirements, post-approval clinical data, and promotional activities for each of our products is subject to continued regulatory reporting and periodic inspections by the FDA, as well as other domestic and foreign regulatory agencies. In particular, we and our suppliers, including MediWound, are required to comply with cGMP and GTP regulations for the manufacture of our products and other regulations which include methods and documentation of production controls, labeling, packaging, storage, and shipment of any product, to name a few. Regulatory agencies such as the FDA enforce the cGMP, GTP, and other regulations through periodic inspections and reporting. For example, the holder of an approved BLA or HDE is obligated to monitor and report adverse events and product failures, including critical deviations and lack of efficacy. A BLA or HDE device holder must maintain regulatory compliance for all aspects of the applicable regulations or the holder can be subject to regulatory action, including the recall or withdrawal of the product from the market.</w:t>
      </w:r>
    </w:p>
    <w:p>
      <w:pPr>
        <w:spacing w:after="0" w:line="21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Product manufacturers are subject to payment of annual prescription drug product program user fees and their facilities are subject to periodic inspections by the FDA and other regulatory agencies for compliance with cGMP and other applicable regulations. If at any time we or a regulatory agency discovers a previously unknown safety concern with a product, such as a serious adverse event of unanticipated severity or frequency that cannot be adequately managed and changes the risk-benefit profile of the product, or there are problems with the facility where the product is manufactured, a regulatory agency may impose restrictions relative to that product or the manufacturing facility, including suspension of manufacturing, recall, placement of non-U.S. facilities on an import alert, or the withdrawal of the product from the market.</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failure by us or one of our suppliers, including MediWound, to comply with applicable legal statutes and regulations administered by the FDA and other regulatory agencies, or the failure to timely and adequately respond to any adverse inspectional or review observations, or product safety issues, could result in, among other things, any of the following enforcement actions:</w:t>
      </w:r>
    </w:p>
    <w:p>
      <w:pPr>
        <w:spacing w:after="0" w:line="203" w:lineRule="exact"/>
        <w:rPr>
          <w:sz w:val="20"/>
          <w:szCs w:val="20"/>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Client notifications for repair, replacement, or refund of a product;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Denial, refusal or delay of our requests for approval of new products or proposed changes to existing products;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Implementation of operating restrictions;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Withdrawal of product approvals that have already been granted;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Refusal to approve a pending marketing application, such as a BLA or supplements to a BLA submitted by us;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Placement of non-U.S. facilities on an import alert;</w:t>
      </w:r>
    </w:p>
    <w:p>
      <w:pPr>
        <w:spacing w:after="0" w:line="5" w:lineRule="exact"/>
        <w:rPr>
          <w:rFonts w:ascii="Times New Roman" w:cs="Times New Roman" w:eastAsia="Times New Roman" w:hAnsi="Times New Roman"/>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Criminal prosecution.</w:t>
      </w:r>
    </w:p>
    <w:p>
      <w:pPr>
        <w:spacing w:after="0" w:line="22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product sales and profitability to suffer, preventing us from generating revenue. Furthermore, our key suppliers or partners may have compliance issues, which could impact our ability to manufacture our products on a timely basis and in the required quantities.</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0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regulatory submissions and new products can be affected by a variety of factors, including government budget and funding levels, the ability to hire and retain key personnel, and statutory, regulatory, and policy changes. The average time to review and approve regulatory submissions at the agency has fluctuated in recent years as a result of some of these factors. In addition, government funding of the SEC and other government agencies on which our operations may depend, including those that fund research and development activities, is subject to the political process, which is inherently unpredictable.</w:t>
      </w:r>
    </w:p>
    <w:p>
      <w:pPr>
        <w:spacing w:after="0" w:line="21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to review and/or approve product candidates or changes to existing products, which would adversely affect our business. For example, the U.S. government has previously shut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down and has nearly shut down several times in recent years. During previous shutdowns, certain regulatory agencies, including the FDA, have had to furlough essential employees and stop critical activities. If a prolonged government shutdown occurs in the future, it could significantly impact the ability of the FDA to timely review and process our regulatory submissions, which could have a material adverse effect on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FDA determines that we have marketed or promoted our products for one or more off-label uses, we may be subject to civil or criminal penalties.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Although federal law and the FDA do not restrict licensed healthcare professionals from engaging in the practice of medicine and prescribing and using our products to treat patients with conditions that the physician believes our products are clinically appropriate for, we are prohibited from promoting our products for uses that are inconsistent with the uses that have been approved by the FDA–also known as “off-label” promotion or promotion of “off-label” uses. This means, for example, that we may not make claims about the use of any of our marketed products, including MACI, Epicel, or NexoBrid, which are outside of their approved labeling and indications. Consequently, our sales representatives may not proactively discuss or provide information to healthcare professionals on such off-label uses. Should the FDA determine that our activities constitute off-label promotion, the FDA could bring an action to prevent us from distributing MACI, Epicel, or NexoBrid for the off-label use and could seek to impose fines and penalties on us and our executives.</w:t>
      </w:r>
    </w:p>
    <w:p>
      <w:pPr>
        <w:spacing w:after="0" w:line="21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addition, advertising and promotional materials, including educational and website material, must comply with the FDA’s promotional and advertising regulations in addition to other potentially applicable federal and state laws, and such materials for biologics are subject to submission and review by the FDA. Failure to follow FDA rules and guidelines relating to promotion and advertising can result in, among other things, the FDA’s refusal to approve a product, the suspension or withdrawal of an approved product from the market, product recalls, fines, disgorgement of money, operating restrictions, injunctions and/or criminal prosecutions.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the Office of Inspector General within the Department of Health and Human Services, the DOJ, or another federal or state agency determines that we have promoted the off-label use of our products and/or we have violated anti-kickback laws, we may be subject to various penalties, including civil or criminal penalties, and the off-label use of our products may result in injuries that lead to product liability lawsuits, which could be costly to our business.</w:t>
      </w:r>
    </w:p>
    <w:p>
      <w:pPr>
        <w:spacing w:after="0" w:line="20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In addition to FDA restrictions concerning the manner in which we market our products, several other state and federal healthcare laws have been applied by the DOJ and state attorneys general to restrict certain marketing practices in the biopharmaceutical and medical technology industries. While physicians may prescribe products for off-label uses and indications, a company is prohibited from promoting an approved product for uses not consistent with its approved label. In addition, anti-kickback laws generally prohibit a prescription drug manufacturer from soliciting, offering, receiving, or paying any remuneration in order to induce a healthcare professional or another individual or entity to purchase or prescribe a particular drug, biologic, or medical device. If other federal or state regulatory authorities determine that we have engaged in off-label promotion and/or engaged in conduct violative of anti-kickback laws, we may be subject to civil or criminal penalties and could be prohibited from participating in government healthcare programs, such as Medicaid and Medicare. In addition, government agencies or departments could conclude that we have engaged in off-label promotion or violations of anti-kickback laws and, potentially, caused the submission of false claims. Even if we are successful in resolving such matters without incurring penalties, responding to investigations or prosecutions will likely result in substantial costs and could significantly and adversely impact our reputation and divert management’s attention and resources, which could have a material adverse effect on our business, operating results, financial condition, and our ability to finance our operations. In addition, the off-label use of our products may increase the risk of injury to patients, and, in turn, the risk of product liability claims being pursued against us. Product liability claims are expensive to defend and could divert our management’s attention and result in substantial damage awards against us.</w:t>
      </w:r>
    </w:p>
    <w:p>
      <w:pPr>
        <w:spacing w:after="0" w:line="21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Health care reform measures and changes in policies, funding, staffing and leadership at the FDA and other agencies could hinder or prevent the commercial success of our products.</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the U.S., there have been a number of legislative and regulatory changes to the healthcare system that could affect our future results of operations and the future results of operations of our potential customers. See section entitled “</w:t>
      </w:r>
      <w:r>
        <w:rPr>
          <w:rFonts w:ascii="Times New Roman" w:cs="Times New Roman" w:eastAsia="Times New Roman" w:hAnsi="Times New Roman"/>
          <w:sz w:val="18"/>
          <w:szCs w:val="18"/>
          <w:i w:val="1"/>
          <w:iCs w:val="1"/>
          <w:color w:val="auto"/>
        </w:rPr>
        <w:t>Business — Government Regulation — Healthcare Reform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Furthermore, there have been and continue to be a number of initiatives at the federal and state levels that seek to reduce healthcare costs. In March 2010, President Obama signed into law the Patient Protection and Affordable Care Act of 2010, as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amended by the Health Care and Education Reconciliation Act (jointly, the ACA), which includes measures to significantly change the way health care is financed by both governmental and private insurers.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These laws, and other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Litigation and legislative efforts to change or repeal the ACA may be initiated in the coming months and years, with unpredictable and uncertain results.</w:t>
      </w:r>
    </w:p>
    <w:p>
      <w:pPr>
        <w:spacing w:after="0" w:line="208"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While we cannot predict what impact on federal reimbursement policies these laws or any replacement law will have in general or specifically on any product we may commercialize in the future, modifications to the ACA, subsequent Executive Branch action, or HHS implementation of current laws may result in downward pressure on reimbursement, which could negatively affect market acceptance of new products. Any rebates, discounts, taxes costs or regulatory or systematic changes on healthcare may have a significant effect on our profitability in the future. We cannot predict how the ACA will be implemented, whether future litigation will be filed seeking to revise the law, or whether other laws or proposals will be made or adopted, or what impact these efforts may have on us.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Individual states have become increasingly aggressive in passing legislation and implementing regulations designed to control product pricing, including price or patient reimbursement constraints, discounts, restrictions on certain product access, and marketing cost disclosure and transparency measures, and designed to encourage importation from other countries and bulk purchasing. Legally-mandated price controls on payment amounts by third-party payers or other restrictions could harm our business, results of operations, financial condition and prospects.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Regional healthcare authorities and individual hospitals are increasingly using bidding procedures to determine what products and which suppliers will be included in their healthcare programs. This can reduce demand for our products or put pressure on our product pricing, which could negatively affect our business, results of operations, financial condition and prospects.</w:t>
      </w:r>
    </w:p>
    <w:p>
      <w:pPr>
        <w:spacing w:after="0" w:line="203" w:lineRule="exact"/>
        <w:rPr>
          <w:sz w:val="20"/>
          <w:szCs w:val="20"/>
          <w:color w:val="auto"/>
        </w:rPr>
      </w:pPr>
    </w:p>
    <w:p>
      <w:pPr>
        <w:jc w:val="both"/>
        <w:ind w:firstLine="240"/>
        <w:spacing w:after="0" w:line="271" w:lineRule="auto"/>
        <w:rPr>
          <w:sz w:val="20"/>
          <w:szCs w:val="20"/>
          <w:color w:val="auto"/>
        </w:rPr>
      </w:pPr>
      <w:r>
        <w:rPr>
          <w:rFonts w:ascii="Times New Roman" w:cs="Times New Roman" w:eastAsia="Times New Roman" w:hAnsi="Times New Roman"/>
          <w:sz w:val="17"/>
          <w:szCs w:val="17"/>
          <w:color w:val="auto"/>
        </w:rPr>
        <w:t>Given recent federal and state government initiatives directed at lowering the total cost of healthcare, the executive branch, Congress and state legislatures will likely continue to focus on healthcare reform and the reform of the Medicare and Medicaid programs. For example, on July 9, 2021, President Biden issued an executive order directing the FDA to, among other things, continue to clarify and improve the approval framework for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biosimilar competition. While we cannot predict the full outcome of any such government action or legislation, it may harm our ability to market our products and generate revenues.</w:t>
      </w:r>
    </w:p>
    <w:p>
      <w:pPr>
        <w:spacing w:after="0" w:line="19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Furthermore, regulatory authorities’ assessment of the data and results required to demonstrate safety and effectiveness can change over time and can be affected by many factors, such as the emergence of new information, including on other products, changing policies and agency funding, staffing and leadership. We cannot be sure whether future changes to the regulatory environment will be favorable or unfavorable to our business prospects.</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prescribers, purchasers, third-party payers, charitable organizations, and patients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20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Healthcare providers, physicians and third-party payers in the U.S. and elsewhere play a primary role in the recommendation and prescription of biotechnology and biopharmaceutical products. Arrangements with third-party payers and customers can expose biotechnology and biopharmaceutical manufacturers to broadly applicable fraud and abuse and other healthcare laws and regulations, including, without limitation, the federal Anti-Kickback Statute, or AKS, and the federal False Claims Act, or FCA, which may constrain the business or financial arrangements and relationships through which such companies sell, market, and distribute biotechnology and biopharmaceutical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also involve the improper use of information obtained in the course of patient recruitment for clinical trials. See the section entitled, “</w:t>
      </w:r>
      <w:r>
        <w:rPr>
          <w:rFonts w:ascii="Times New Roman" w:cs="Times New Roman" w:eastAsia="Times New Roman" w:hAnsi="Times New Roman"/>
          <w:sz w:val="18"/>
          <w:szCs w:val="18"/>
          <w:i w:val="1"/>
          <w:iCs w:val="1"/>
          <w:color w:val="auto"/>
        </w:rPr>
        <w:t>Business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Regulation — Other Healthcare Laws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distribution of biotechnology and biopharmaceutical products is subject to additional requirements and regulations, including extensive record-keeping, licensing, storage, and security requirements intended to prevent the unauthorized sale of biotechnology and biopharmaceutical products.</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208"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1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Tissue-based products are regulated differently in different countries. These requirements may be costly and result in delay or otherwise preclude the distribution of our products in some foreign countries, any of which would adversely affect our ability to generate operating revenues.</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Tissue based products are regulated differently in different countries. Many foreign jurisdictions have a different, and potentially more difficult, regulatory pathway for human tissue-based products, which may prohibit the distribution of these products until the applicable regulatory agencies grant marketing approval, or licensure. The process of obtaining regulatory approval is lengthy, expensive and uncertain, and we may never seek such approvals, or if we do, we may never obtain those approvals. Furthermore, any adverse events in our clinical trials could negatively impact our products and product candidates.</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Competitor companies may be able to take advantage of additional FDA guidance and new expedited programs designed for cell therapies to develop and/or commercialize new products in a shorter time period than previously predicted or in certain cases without a BLA. If we cannot remain competitive in light of such developments, our business may suffer.</w:t>
      </w:r>
    </w:p>
    <w:p>
      <w:pPr>
        <w:spacing w:after="0" w:line="20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Recognizing the importance of the cell therapy field, Congress included several provisions related to regenerative medicine in the Cures Act, signed into law on December 13, 2016. Building on the FDA’s existing expedited programs available to regenerative medicine products, one of these provisions established a new program to help foster the development and approval of these products: the RMAT designation.</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November 16, 2017, the FDA also announced a comprehensive policy framework for the development and oversight of regenerative medicine products, including novel cellular therapies. This framework completes a risk-based regulatory approach that further describes the appropriate pathway for products that contain tissue or cells including more clearly defining which products may be considered only minimally manipulated or for homologous use.</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With these changes in guidance and expedited programs, competitors may be able to make sales in the U.S. with minimally manipulated or homologous use products without the necessity of a BLA. In addition, competitors may also be able to obtain accelerated approval of new cell therapy products through use of RMAT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fulfill our obligations under our intellectual property licenses with third parties, we could lose license rights that are important to our business.</w:t>
      </w:r>
    </w:p>
    <w:p>
      <w:pPr>
        <w:spacing w:after="0" w:line="186" w:lineRule="exact"/>
        <w:rPr>
          <w:sz w:val="20"/>
          <w:szCs w:val="20"/>
          <w:color w:val="auto"/>
        </w:rPr>
      </w:pPr>
    </w:p>
    <w:p>
      <w:pPr>
        <w:jc w:val="both"/>
        <w:ind w:firstLine="240"/>
        <w:spacing w:after="0" w:line="216" w:lineRule="exact"/>
        <w:rPr>
          <w:sz w:val="20"/>
          <w:szCs w:val="20"/>
          <w:color w:val="auto"/>
        </w:rPr>
      </w:pPr>
      <w:r>
        <w:rPr>
          <w:rFonts w:ascii="Times New Roman" w:cs="Times New Roman" w:eastAsia="Times New Roman" w:hAnsi="Times New Roman"/>
          <w:sz w:val="18"/>
          <w:szCs w:val="18"/>
          <w:color w:val="auto"/>
        </w:rPr>
        <w:t>We are a party to intellectual property license agreements with third parties, including our license agreement with MediWound for NexoBrid, and we may enter into additional license agreements in the future. Our existing license agreements impose, and we expect that our future license agreements will impose, various diligence, milestone payment, royalty, insurance and other obligations on us. If we fail to comply with these obligations, our licensors may have the right to terminate these agreements, in which event we may not be able to further develop and market any product that is covered by these agreements. Termination of these licenses or a reduction or elimination of our licensed rights may result in our having to negotiate new or reinstated licenses with less favorable terms. In addition, if these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licenses are terminated, or if the underlying patents fail to provide the intended exclusivity, competitors would have the freedom to seek regulatory approval of, and to market, products identical to ours after the expiry of data exclusivity. The occurrence of such events could materially harm our business.</w:t>
      </w:r>
    </w:p>
    <w:p>
      <w:pPr>
        <w:spacing w:after="0" w:line="2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related to our products, our competitive position would be impaired and our business, financial condition and results of operations could be adversely affected.</w:t>
      </w:r>
    </w:p>
    <w:p>
      <w:pPr>
        <w:spacing w:after="0" w:line="18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Some of our technology, including our knowledge regarding the processing of our products, is maintained by us as trade secrets. In an effort to protect these trade secrets, we require our employees, consultants, collaborators and advisors to execute confidentiality agreements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These agreements, however, may not provide us with adequate protection against improper use or disclosure of confidential information, and these agreements may be breached. A breach of confidentiality could affect our competitive position. In addition, in some situations, these agreements may conflict with, or be subject to, the rights of third parties with whom our employees, consultants, collaborators or advisors have previous employment or consulting relationships. Also, others may independently develop substantially equivalent proprietary information and techniques or otherwise gain access to our trade secrets.</w:t>
      </w:r>
    </w:p>
    <w:p>
      <w:pPr>
        <w:spacing w:after="0" w:line="21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Adequate remedies may not exist in the event of unauthorized use or disclosure of our confidential information. The disclosure of our trade secrets would impair our competitive position and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patent protection for Epicel, which could adversely impact Epicel’s competitive position.</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We have no issued patents or pending patent applications relating to Epicel. While we attempt to protect our proprietary information as trade secrets through certain agreements with our employees, consultants, agents and other organizations to which we disclose our proprietary information, we cannot give any assurance that these agreements will provide effective protection for our proprietary information in the event of unauthorized use or disclosure of such information. If other cultured epidermal autografts are approved and marketed, we will be unable to prevent them from competing with Epicel in the marketplace. We expect that the presence of one or more competing products would reduce our market share and could negatively impact price levels and third-party reimbursement for Epicel, any of which would materially affect our business.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MediWound’s family of patents and proprietary rights covering NexoBrid do not provide substantial protection, then our commercialization efforts with respect to the product could suffer.</w:t>
      </w:r>
    </w:p>
    <w:p>
      <w:pPr>
        <w:spacing w:after="0" w:line="186"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7"/>
          <w:szCs w:val="17"/>
          <w:color w:val="auto"/>
        </w:rPr>
        <w:t>Through the parties’ License Agreement, MediWound has licensed to us a family of patents covering NexoBrid. The commercial success of NexoBrid depends, in part, on MediWound’s ability to obtain and maintain patent protection and trade secret protection for NexoBrid and its uses, as well as our ability to operate without infringing upon the proprietary rights of others. The family of patents that covers NexoBrid specifically includes approximately 32 granted patents worldwide. However, there can be no assurance that patent applications relating to NexoBrid or related processes or technologies will result in patents being issued, that any patents that have been issued will be adequate to protect that intellectual property or that NexoBrid will enjoy patent protection for any significant period of time. Additionally, any issued patents may be challenged by third parties, and patents that MediWound holds may be found by a judicial authority to be invalid or unenforceable. Other parties may independently develop similar or competing technology or design around any patents that may be issued to or held by MediWound. MediWound’s current patents will eventually expire or they may otherwise cease to provide meaningful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competitive advantage, and MediWound may be unable to adequately develop new technologies and obtain future patent protection to preserve our competitive advantage or avoid adverse effects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issued patents relating to MACI have already expired and others may be insufficient to protect our business.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have issued patents in the U.S. and in certain foreign countries that relate to the combinations of chondrocytes and collagen membranes used in MACI. However, some of these have expired. Other patent filings that include technology relevant to MACI (e.g., its production and/or use of chondrocytes and collagen membranes, surgical devices, and related arthroscopic procedures) include granted patents and pending applications inside and outside the U.S. These granted patents and pending applications, if granted, have already expired or are expected to expire, absent any extensions, between late-2027 and early-2043. Whether or not these patent filings are or will be issued patents, they may not be sufficient to protect our product revenue. We may be subject to increased competition and our opportunity to establish or maintain product revenue could be substantially reduced or eliminated if our patents fail to issue or expire, or are revoked.</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patents we own may not be of sufficient scope or strength to provide us with significant commercial protection or commercial advantage, and competitors may be able to design around our patents or develop products that provide outcomes that are similar to ours without infringing on our intellectual property rights. In addition, we cannot be certain that patents will be issued from any of our pending patent applications or that the scope of the claims in our pending patent applications will not be significantly narrowed and/or invalidated.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patents and proprietary rights do not provide substantial protection, then our business and competitive position will suffer.</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Our success depends in large part on our ability to develop or license intellectual property rights to protect our proprietary products and technologies. This involves complex legal, scientific, and factual questions and uncertainties. We rely upon patent, trade secret, copyright and contract laws to protect proprietary technology and trademark law to protect brand identities. However, we cannot assure you that any patent applications filed by, assigned to, or licensed to us will lead to patents, and that the scope of any of our issued or licensed patents will be sufficiently broad to offer meaningful protection. In addition, our issued patents or patents licensed to us could be successfully challenged, invalidated, held to be unenforceable, or circumvented so that our patent rights would not create an effective competitive barrier. We also cannot assure you that the inventors of the patents and applications that we own or license were the first to invent or the first to file on the inventions, or that a third-party will not claim ownership in one or more of our patents or patent applications. We cannot assure you that a third-party does not have or will not obtain patents that dominate the patents we own or license now or in the future.</w:t>
      </w:r>
    </w:p>
    <w:p>
      <w:pPr>
        <w:spacing w:after="0" w:line="213" w:lineRule="exact"/>
        <w:rPr>
          <w:sz w:val="20"/>
          <w:szCs w:val="20"/>
          <w:color w:val="auto"/>
        </w:rPr>
      </w:pPr>
    </w:p>
    <w:p>
      <w:pPr>
        <w:jc w:val="both"/>
        <w:ind w:right="20" w:firstLine="240"/>
        <w:spacing w:after="0" w:line="262" w:lineRule="auto"/>
        <w:rPr>
          <w:sz w:val="20"/>
          <w:szCs w:val="20"/>
          <w:color w:val="auto"/>
        </w:rPr>
      </w:pPr>
      <w:r>
        <w:rPr>
          <w:rFonts w:ascii="Times New Roman" w:cs="Times New Roman" w:eastAsia="Times New Roman" w:hAnsi="Times New Roman"/>
          <w:sz w:val="18"/>
          <w:szCs w:val="18"/>
          <w:color w:val="auto"/>
        </w:rPr>
        <w:t>Patent law relating to the scope of claims in the biotechnology field is evolving and our patent rights in this country and abroad are subject to this uncertainty. From time to time, the Supreme Court, other federal courts, the U.S. Congress or the U.S. Patent and Trademark Office (“USPTO”) may change the standards of patentability and any such changes could have a negative impact on our business.</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cannot assure you that our patent portfolio or our efforts to seek patent protection for our technology and products will not be negatively impacted by the guidance issued by the USPTO, the decisions described above, rulings in other cases, or changes in guidance or procedures issued by the USPTO.</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There can be no assurance that future decisions of the Supreme Court or other federal courts will not have a negative impact on biotechnology patents generally or the ability of biotechnology companies to obtain or enforce their patents in the future. Such negative decisions by the Supreme Court or other federal courts could have a material adverse effect on our existing patent portfolio and our ability to protect and enforce our intellectual property in the future.</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20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current and future product candidates, our competitive position would be adversely affected.</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With respect to MACI, if we are unable to obtain and enforce patents and to protect our trade secrets, others could use our technology to compete with us, which could limit opportunities for us to generate revenues by licensing our technology and selling products.</w:t>
      </w:r>
    </w:p>
    <w:p>
      <w:pPr>
        <w:spacing w:after="0" w:line="18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enforce patents and maintain trade secrets in the U.S. and in other countries. If we are unsuccessful in obtaining and enforcing patents, our competitors could use our technology and create products that compete with our products, without paying license fees or royalties to us.</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preparation, filing, and prosecution of patent applications can be costly and time consuming. Our limited financial resources may not permit us to pursue patent protection of all of our technology and products throughout the world.</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Even if we are able to obtain issued patents covering our technology or products, we may have to incur substantial legal fees and other expenses to enforce our patent rights in order to protect our technology and products from infringing uses. We may not have the financial resources to finance the litigation required to preserve our patent and trade secret rights.</w:t>
      </w:r>
    </w:p>
    <w:p>
      <w:pPr>
        <w:spacing w:after="0" w:line="19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 successful challenge to our trademarks, or to MediWound’s trademarks covering NexoBrid, could force us to rebrand Epicel, MACI or NexoBrid, which could result in a loss of brand recognition and adversely affect our business.</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We rely on our trademarks to distinguish our products from the products of our competitors, and have registered or applied to register a number of these trademarks. MediWound has additionally registered trademarks with respect to NexoBrid, which we have licensed as part of our License Agreement with MediWound. Third parties may challenge our use of these trademarks. In the event that these trademarks are successfully challenged, we could be forced to rebrand our products, which could result in loss of brand recognition and could require us to devote resources to advertising and marketing these new brands.</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harm our business. We may be subject to patent infringement claims that could be costly to defend, which may limit our ability to use disputed technologies, and which could prevent us from pursuing research and development or commercialization of some of our products, require us to pay licensing fees to have freedom to operate and/or result in monetary damages or other liability for us.</w:t>
      </w:r>
    </w:p>
    <w:p>
      <w:pPr>
        <w:spacing w:after="0" w:line="20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success of our business will depend significantly on our ability to operate without infringing patents and other proprietary rights of others. Our cell processing system and cell compositions utilize a wide variety of technologies and we can give no assurance that we have identified or can identify all inventions and patents that may be infringed by development and manufacture of our cell compositions. If the technology that we use infringes a patent held by others, or if the technology utilized by MediWound in development and manufacturing NexoBrid infringes another’s patent, we could be sued for monetary damages by the patent holder or its licensee, or we could be prevented from continuing research, development, and commercialization of products that rely on that technology, unless a license is obtained to use the patent. The cost and availability of a license to a patent cannot be predicted, and the likelihood of obtaining a license at an acceptable cost would be lower if the patent holder or any of its licensees is using the patent to develop or market a product with which any of our existing or future product candidates or our products would compete. If we could not obtain a necessary license, we would need to develop or obtain rights to alternative technologies, which could prove costly and could cause delays in product development, or we could be forced to discontinue the development or marketing of any products that were developed using the technology covered by the patent.</w:t>
      </w:r>
    </w:p>
    <w:p>
      <w:pPr>
        <w:spacing w:after="0" w:line="21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Although we have not been subject to any filed patent infringement claims, patents could exist or could be filed which would prohibit or limit our ability to market our products or maintain our competitive position. In the event of an intellectual property dispute, we may be forced to litigate. Such litigation is typically protracted and the results are unpredictable. Intellectual property litigation would divert management’s attention from developing our products and would force us to incur substantial costs regardless of whether we are successful. An adverse outcome could subject us to significant liabilities to third parties including treble damages and the opposing party’s attorneys’ fees, and force us to pay significant license fees and royalties or cease the development and sale of our products and processes.</w:t>
      </w:r>
    </w:p>
    <w:p>
      <w:pPr>
        <w:spacing w:after="0" w:line="21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have hired and expect to continue to hire individuals who have experience in cell culture and cell-based therapeutics and may have confidential trade secret or proprietary information of third parties. We caution these individuals not to use or reveal</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third-party information, but we cannot assure you that these individuals will not use or reveal this third-party information. Thus, we could be sued for misappropriation of proprietary information and trade secrets. Such claims are expensive to defend and could divert our attention and could result in substantial damage awards and injunctions that could have a material adverse effect on our business, financial condition or results of operations.</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 consuming and unsuccessful and have a material adverse effect on the success of our business.</w:t>
      </w:r>
    </w:p>
    <w:p>
      <w:pPr>
        <w:spacing w:after="0" w:line="18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or misappropriate or otherwise violate our intellectual property rights.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 Also, third parties may initiate legal proceedings against us to challenge the validity or scope of intellectual property rights we own or control. These proceedings can be expensive and time consuming. Many of our current and potential competitors have the ability to dedicate substantially greater resources to defend their intellectual property rights than we can. Accordingly, despite our efforts, we may not be able to prevent third parties from infringing upon or misappropriating our intellectual property.</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our business, financial condition or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infringe the rights of third parties, we could be prevented from selling products, forced to pay damages, and defend against litigation</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If our products, methods, processes and other technologies infringe the proprietary rights of other parties, we could incur substantial costs and we may have to: obtain licenses, which may not be available on commercially reasonable terms, if at all; abandon an infringing product; redesign our products or processes to avoid infringement; stop using the subject matter claimed in the patents held by others; pay damages; and/or defend litigation or administrative proceedings which may be costly whether we win or lose, and which could result in a substantial diversion of our financial and management resources.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 If we are not able to protect our intellectual property rights, our business may be adversely affected.</w:t>
      </w:r>
    </w:p>
    <w:p>
      <w:pPr>
        <w:spacing w:after="0" w:line="186"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89" w:lineRule="exact"/>
        <w:rPr>
          <w:sz w:val="20"/>
          <w:szCs w:val="20"/>
          <w:color w:val="auto"/>
        </w:rPr>
      </w:pPr>
    </w:p>
    <w:p>
      <w:pPr>
        <w:ind w:left="640" w:hanging="393"/>
        <w:spacing w:after="0" w:line="258" w:lineRule="auto"/>
        <w:tabs>
          <w:tab w:leader="none" w:pos="63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Others may be able to make products that are the same as or similar to our products or product candidates, but that are not covered by the claims of the patents that we own or have exclusively licensed;</w:t>
      </w:r>
    </w:p>
    <w:p>
      <w:pPr>
        <w:ind w:left="640" w:hanging="393"/>
        <w:spacing w:after="0" w:line="247" w:lineRule="auto"/>
        <w:tabs>
          <w:tab w:leader="none" w:pos="63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We or any strategic partners might not have been the first to make the inventions covered by the issued patents or pending patent applications that we own or have exclusively licensed;</w:t>
      </w: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We might not have been the first to file and/or the first to invent patent applications covering certain of our inventions;</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w:t>
      </w:r>
    </w:p>
    <w:p>
      <w:pPr>
        <w:jc w:val="both"/>
        <w:ind w:left="640" w:hanging="393"/>
        <w:spacing w:after="0" w:line="247" w:lineRule="auto"/>
        <w:tabs>
          <w:tab w:leader="none" w:pos="63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 may challenge our patents or other intellectual property rights or sue us for infringement.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Common Stock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price has been volatile and future sales of shares of common stock could have an adverse effect on the market price of such shares.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market price of shares of our common stock has been volatile, ranging in closing price between $32.52 and $59.11 during January 2, 2024 through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The price of our common stock may continue to fluctuate in response to a number of events and factors, including but not limited to:</w:t>
      </w:r>
    </w:p>
    <w:p>
      <w:pPr>
        <w:spacing w:after="0" w:line="228" w:lineRule="exact"/>
        <w:rPr>
          <w:sz w:val="20"/>
          <w:szCs w:val="20"/>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Announcements of research activities, business developments, technological innovations or new products by us or our competitors;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Entering into or terminating strategic relationships;</w:t>
      </w:r>
    </w:p>
    <w:p>
      <w:pPr>
        <w:spacing w:after="0" w:line="5"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Information related to decisions by regulatory authorities regarding our products or product candidates or other regulatory developments or guidance in both the U.S. and abroad;</w:t>
      </w: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Disputes concerning patents or proprietary rights;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our revenues or expense levels;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our pricing policies or the pricing policies of our competitors;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Substantial changes in reimbursement practices;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The amount of our cash resources and our ability to obtain additional funding;</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Seasonal or other variations in patient demand for MACI, Epicel and NexoBrid;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Demand for and clinical acceptance of our products;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The timing of sales of products and of the introduction of new products;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Public concern regarding the safety, efficacy or other aspects of the products or methodologies we are developing;</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Clinical trial results;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News or reports from other cell therapy, regenerative medicine companies, or companies competing for market share in the burn care space;</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Actual or threatened litigation or governmental investigations or other major developments in such matters;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Reports by securities analysts;</w:t>
      </w:r>
    </w:p>
    <w:p>
      <w:pPr>
        <w:spacing w:after="0" w:line="5"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Status and condition of the global economy, investment markets, regional or global conflicts or other developments that may affect the global supply chain or ability to manufacture and distribute our products;</w:t>
      </w:r>
    </w:p>
    <w:p>
      <w:pPr>
        <w:ind w:left="640" w:hanging="39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the recent elections in the United States, including the potential passage of certain laws, orders and policy decisions;</w:t>
      </w:r>
    </w:p>
    <w:p>
      <w:pPr>
        <w:spacing w:after="0" w:line="6" w:lineRule="exact"/>
        <w:rPr>
          <w:rFonts w:ascii="Times New Roman" w:cs="Times New Roman" w:eastAsia="Times New Roman" w:hAnsi="Times New Roman"/>
          <w:sz w:val="18"/>
          <w:szCs w:val="18"/>
          <w:color w:val="auto"/>
        </w:rPr>
      </w:pPr>
    </w:p>
    <w:p>
      <w:pPr>
        <w:ind w:left="640" w:hanging="39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or private sales of additional securities;</w:t>
      </w:r>
    </w:p>
    <w:p>
      <w:pPr>
        <w:spacing w:after="0" w:line="6" w:lineRule="exact"/>
        <w:rPr>
          <w:rFonts w:ascii="Times New Roman" w:cs="Times New Roman" w:eastAsia="Times New Roman" w:hAnsi="Times New Roman"/>
          <w:sz w:val="18"/>
          <w:szCs w:val="18"/>
          <w:color w:val="auto"/>
        </w:rPr>
      </w:pPr>
    </w:p>
    <w:p>
      <w:pPr>
        <w:ind w:left="640" w:hanging="39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that materially affect our products, services, relationships or competitive conditions;</w:t>
      </w:r>
    </w:p>
    <w:p>
      <w:pPr>
        <w:spacing w:after="0" w:line="6" w:lineRule="exact"/>
        <w:rPr>
          <w:rFonts w:ascii="Times New Roman" w:cs="Times New Roman" w:eastAsia="Times New Roman" w:hAnsi="Times New Roman"/>
          <w:sz w:val="18"/>
          <w:szCs w:val="18"/>
          <w:color w:val="auto"/>
        </w:rPr>
      </w:pPr>
    </w:p>
    <w:p>
      <w:pPr>
        <w:ind w:left="640" w:hanging="39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w:t>
      </w:r>
    </w:p>
    <w:p>
      <w:pPr>
        <w:spacing w:after="0" w:line="6" w:lineRule="exact"/>
        <w:rPr>
          <w:rFonts w:ascii="Times New Roman" w:cs="Times New Roman" w:eastAsia="Times New Roman" w:hAnsi="Times New Roman"/>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A public health crisis, which may impact our business, operations, prospects and financial condition;</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management or the Board of Directors;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Concerns related to management transitions.</w:t>
      </w:r>
    </w:p>
    <w:p>
      <w:pPr>
        <w:spacing w:after="0" w:line="22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Any of these events may cause the price of our shares to fall, which may adversely affect our business and financing opportunities. In addition, the stock market in general and the market prices for biotechnology companies in particular have experienced significant volatility recently that often has been unrelated to the operating performance or financial conditions of such companies. These broad market and industry fluctuations may adversely affect the trading price of our common stock, regardless of our operating performance or prospects.</w:t>
      </w:r>
    </w:p>
    <w:p>
      <w:pPr>
        <w:spacing w:after="0" w:line="20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sale of our common stock through future equity offerings and exercises and vestings of equity awards may cause dilution and could cause the price of our common stock to decline.</w:t>
      </w:r>
    </w:p>
    <w:p>
      <w:pPr>
        <w:spacing w:after="0" w:line="18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Sales of our common stock offered through future equity offerings and sales of our common stock through exercises of stock options and the vesting of restricted stock units may result in substantial dilution to the interests of other holders of our common stock. The sale of a substantial number of shares of our common stock to investors, or anticipation of such sales, could make it more difficult for us to sell equity or equity-related securities in the future at a time and at a price that we might otherwise wish to effect sales.</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do not expect to do so in the foreseeable future. The declaration of dividends is subject to the discretion of our board of directors and will depend on various factors, including our operating results, financial condition, future prospects and any other factors deemed relevant by our board of directors. You should not rely on an investment in our Company if you require dividend income from your investment. The success of your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investment will likely depend entirely upon any future appreciation of the market price of our common stock, which is uncertain and unpredictable. There is no guarantee that our common stock will appreciate in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products and future product candidates may expose us to product liability claims, and we may not be able to obtain adequate insurance.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such claims could affect our earnings and financial condition.</w:t>
      </w:r>
    </w:p>
    <w:p>
      <w:pPr>
        <w:spacing w:after="0" w:line="22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face an inherent business risk of exposure to product liability claims in the event that the manufacture and/or use of our products during clinical trials, or after commercialization, result in adverse events. Moreover, we derive the raw materials for MACI and Epicel from patients serving as their own donors, the production process is complex, and the handling requirements are specific. All of these factors increase the likelihood of quality failures and subsequent product liability claims. We may incur material liabilities relating to product liability claims in the future, including product liability claims arising out of the usage of MACI, Epicel or NexoBrid. Additionally, we may not be able to obtain or maintain product liability insurance on acceptable terms with adequate coverage or at all. If we are unable to obtain insurance, or if claims against us substantially exceed our coverage, then our business could be adversely impacted. Excessive insurance costs or uninsured claims would increase our operating loss and adversely affect our financial condition. Whether or not we are ultimately successful in any product liability litigation, such litigation could consume substantial amounts of our financial and managerial resources and could result in, among other things:</w:t>
      </w:r>
    </w:p>
    <w:p>
      <w:pPr>
        <w:spacing w:after="0" w:line="213" w:lineRule="exact"/>
        <w:rPr>
          <w:sz w:val="20"/>
          <w:szCs w:val="20"/>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Significant awards against us;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Substantial litigation costs;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Recall of the product;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Injury to our reputation;</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Withdrawal of clinical trial participants; or</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Adverse regulatory action.</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Any of these consequences could have a material adverse effect on our business, financial condition and results of operations.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raise the required capital to develop and commercialize our future product candidates and product enhancements and otherwise grow and expand our business.</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Notwithstanding the net proceeds we received from previous public offerings, we may require substantial additional capital resources for strategic opportunities.</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order to grow and expand our business, to introduce other new product candidates and product enhancements into the marketplace, we may need to raise additional funds. We may also need significant additional funds or a collaborative partner, or both, to finance the research and development activities of future product candidates for additional indications or in additional markets.</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future capital requirements will depend upon many factors, including:</w:t>
      </w:r>
    </w:p>
    <w:p>
      <w:pPr>
        <w:spacing w:after="0" w:line="247" w:lineRule="exact"/>
        <w:rPr>
          <w:sz w:val="20"/>
          <w:szCs w:val="20"/>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Continued scientific progress in our research, clinical and development programs;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Costs and timing of conducting clinical trials and seeking regulatory approvals;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Avoiding infringement and misappropriation of third-party intellectual property;</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Obtaining valid and enforceable patents that give us a competitive advantage;</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establish additional collaborative relationships;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scale up our production capabilities for larger quantities of our products;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The effect of commercialization activities and facility improvements and expansions, if and as required;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Complementary business acquisitions or development opportunities.</w:t>
      </w:r>
    </w:p>
    <w:p>
      <w:pPr>
        <w:spacing w:after="0" w:line="22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may try to access the public or private equity markets if conditions are favorable to complete a financing, even if we do not have an immediate need for additional capital at that time, or whenever we require additional operating capital. In addition, we may seek collaborative relationships, incur debt and access other available funding sources. This additional funding may not be available to us on reasonable terms, or at all. Some of the factors that will impact our ability to raise additional capital and our overall success include: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further commercialize our products;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The rate and degree of progress of our product development;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The rate of regulatory approval to proceed with clinical developmental programs;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The level of success achieved in clinical trials;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The requirements necessary for marketing authorization from regulatory bodies in the U.S. and other countries;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The liquidity and market volatility of our equity securities;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Regulatory and manufacturing requirements and uncertainties, and technological developments by competitors.</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If adequate funds are not available in the future, we may not be able to develop or enhance our products, take advantage of future opportunities, or respond to competitive pressures or unanticipated requirements and we may be required to delay or terminate research and development programs, curtail capital expenditures, and reduce business development and other operating activities, which would have a material adverse impact on our business, financial condition and results of operations</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current credit and financial market conditions may exacerbate certain risks affecting our business.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rely upon third parties for certain aspects of our business, including collaboration partners, wholesale distributors, contract clinical trial providers, contract manufacturers and third-party suppliers. Because of the recent tightening of global credit, volatility in the financial markets, and global inflationary pressures, there may be a delay or disruption in the performance or satisfaction of commitments to us by these third parties, which could adversely affect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indebtedness.</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On July 29, 2022, we entered into a $150.0 million five-year senior secured Revolving Credit Agreement. As of December 31, 2024, we had no outstanding borrowings under the Revolving Credit Agreement. We may be exposed to the impact of interest rate changes primarily through our borrowing activities. Subject to the limits contained in the Revolving Credit Agreement, we may incur substantial additional debt from time-to-time for general corporate purposes, including, without limitation, acquisitions and capital expenditures, and such other uses as permitted under the Revolving Credit Agreement. If we do so, the risks related to our debt could intensify. Specifically, our debt could have important consequences to our investors, including the following:</w:t>
      </w:r>
    </w:p>
    <w:p>
      <w:pPr>
        <w:spacing w:after="0" w:line="212" w:lineRule="exact"/>
        <w:rPr>
          <w:sz w:val="20"/>
          <w:szCs w:val="20"/>
          <w:color w:val="auto"/>
        </w:rPr>
      </w:pPr>
    </w:p>
    <w:p>
      <w:pPr>
        <w:ind w:left="640" w:hanging="313"/>
        <w:spacing w:after="0" w:line="258" w:lineRule="auto"/>
        <w:tabs>
          <w:tab w:leader="none" w:pos="635"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making it more difficult for us to satisfy our obligations under the Revolving Credit Agreement; and if we fail to comply with these requirements, an event of default could result;</w:t>
      </w:r>
    </w:p>
    <w:p>
      <w:pPr>
        <w:spacing w:after="0" w:line="21" w:lineRule="exact"/>
        <w:rPr>
          <w:rFonts w:ascii="Arial" w:cs="Arial" w:eastAsia="Arial" w:hAnsi="Arial"/>
          <w:sz w:val="18"/>
          <w:szCs w:val="18"/>
          <w:color w:val="auto"/>
        </w:rPr>
      </w:pPr>
    </w:p>
    <w:p>
      <w:pPr>
        <w:ind w:left="640" w:hanging="313"/>
        <w:spacing w:after="0" w:line="238"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acquisitions, or other general corporate requirements;</w:t>
      </w:r>
    </w:p>
    <w:p>
      <w:pPr>
        <w:spacing w:after="0" w:line="22" w:lineRule="exact"/>
        <w:rPr>
          <w:rFonts w:ascii="Arial" w:cs="Arial" w:eastAsia="Arial" w:hAnsi="Arial"/>
          <w:sz w:val="21"/>
          <w:szCs w:val="21"/>
          <w:color w:val="auto"/>
        </w:rPr>
      </w:pPr>
    </w:p>
    <w:p>
      <w:pPr>
        <w:ind w:left="640" w:hanging="313"/>
        <w:spacing w:after="0" w:line="238"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13" w:lineRule="exact"/>
        <w:rPr>
          <w:rFonts w:ascii="Arial" w:cs="Arial" w:eastAsia="Arial" w:hAnsi="Arial"/>
          <w:sz w:val="21"/>
          <w:szCs w:val="21"/>
          <w:color w:val="auto"/>
        </w:rPr>
      </w:pPr>
    </w:p>
    <w:p>
      <w:pPr>
        <w:ind w:left="640" w:hanging="313"/>
        <w:spacing w:after="0"/>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34" w:lineRule="exact"/>
        <w:rPr>
          <w:rFonts w:ascii="Arial" w:cs="Arial" w:eastAsia="Arial" w:hAnsi="Arial"/>
          <w:sz w:val="21"/>
          <w:szCs w:val="21"/>
          <w:color w:val="auto"/>
        </w:rPr>
      </w:pPr>
    </w:p>
    <w:p>
      <w:pPr>
        <w:ind w:left="640" w:hanging="313"/>
        <w:spacing w:after="0" w:line="238"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exposing us to the risk of increased interest rates as borrowings under our Revolving Credit Agreement are subject to floating interest rates based on SOFR, which could increase the cost of servicing our financial instruments and could materially reduce our profitability and cash flows;</w:t>
      </w:r>
    </w:p>
    <w:p>
      <w:pPr>
        <w:spacing w:after="0" w:line="13" w:lineRule="exact"/>
        <w:rPr>
          <w:rFonts w:ascii="Arial" w:cs="Arial" w:eastAsia="Arial" w:hAnsi="Arial"/>
          <w:sz w:val="21"/>
          <w:szCs w:val="21"/>
          <w:color w:val="auto"/>
        </w:rPr>
      </w:pPr>
    </w:p>
    <w:p>
      <w:pPr>
        <w:ind w:left="640" w:hanging="313"/>
        <w:spacing w:after="0"/>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limiting our flexibility in planning for and reacting to changes in the industry in which we compete;</w:t>
      </w:r>
    </w:p>
    <w:p>
      <w:pPr>
        <w:spacing w:after="0" w:line="13" w:lineRule="exact"/>
        <w:rPr>
          <w:rFonts w:ascii="Arial" w:cs="Arial" w:eastAsia="Arial" w:hAnsi="Arial"/>
          <w:sz w:val="21"/>
          <w:szCs w:val="21"/>
          <w:color w:val="auto"/>
        </w:rPr>
      </w:pPr>
    </w:p>
    <w:p>
      <w:pPr>
        <w:ind w:left="640" w:hanging="313"/>
        <w:spacing w:after="0" w:line="238"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placing us at a disadvantage compared to other, less leveraged competitors; and</w:t>
      </w:r>
    </w:p>
    <w:p>
      <w:pPr>
        <w:spacing w:after="0" w:line="14" w:lineRule="exact"/>
        <w:rPr>
          <w:rFonts w:ascii="Arial" w:cs="Arial" w:eastAsia="Arial" w:hAnsi="Arial"/>
          <w:sz w:val="21"/>
          <w:szCs w:val="21"/>
          <w:color w:val="auto"/>
        </w:rPr>
      </w:pPr>
    </w:p>
    <w:p>
      <w:pPr>
        <w:ind w:left="640" w:hanging="313"/>
        <w:spacing w:after="0" w:line="238"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increasing our cost of borrowing.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Revolving Credit Agreement contains covenant restrictions that may limit our ability to operate our business.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terms of our Revolving Credit Agreement, contain, and any of our other future debt agreements may contain, covenant restrictions that limit our ability to: (i) incur additional indebtedness (ii) create liens; (iii) consolidate, merge, sell or otherwise dispose of all, or substantially all, of our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our affiliates. As a result of these covenants, our ability to respond to changes in business and economic conditions and engage in beneficial transactions, including to obtain additional financing as needed, may be restricted. Furthermore, our failure to comply with our debt covenants could result in a default under our Revolving Credit Agreement, which could permit the holders to accelerate our obligation to repay any borrowings.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18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regularly maintain cash balances with leading financial institutions in excess of the U.S. Department of Treasury, Federal Deposit Insurance Corporation (“FDIC”) insurance limit. 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w:t>
      </w:r>
    </w:p>
    <w:p>
      <w:pPr>
        <w:spacing w:after="0" w:line="208"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Our access to our cash and cash equivalents in amounts adequate to finance our operations could be significantly impaired if the financial institutions with which we have arrangements directly face liquidity constraints or failures. In addition, investor concerns regarding the U.S. or international financial systems could result in less favorable commercial financing terms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 Furthermore, should our customers have relationships with financial institutions that fail, this may result in a delay of collecting outstanding receivables, which could have a material adverse effect on our business.</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ongoing conflict between Russia and Ukraine and the ongoing conflicts in the Middle East region involving Israel, and sustained high levels of inflation. Our business, financial condition and results of operations could be materially adversely affected by any negative impact on the global economy and capital markets resulting from the ongoing conflicts in Ukraine, the Middle East Region involving Israel, geopolitical tensions, or sustained high levels of inflation.</w:t>
      </w:r>
    </w:p>
    <w:p>
      <w:pPr>
        <w:spacing w:after="0" w:line="208" w:lineRule="exact"/>
        <w:rPr>
          <w:sz w:val="20"/>
          <w:szCs w:val="20"/>
          <w:color w:val="auto"/>
        </w:rPr>
      </w:pPr>
    </w:p>
    <w:p>
      <w:pPr>
        <w:jc w:val="both"/>
        <w:ind w:firstLine="436"/>
        <w:spacing w:after="0" w:line="254"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due, in part, to the conflicts in Ukraine and the Middle East region involving Israel. Although the length and impact of the ongoing conflict in Ukraine and the Middle East region is highly unpredictable, the geopolitical uncertainty caused by the conflicts has led to market disruptions, including significant volatility in commodity prices, credit and capital markets, as well as supply chain interruptions, which has contributed to sustained high levels of inflation globally. We are continuing to monitor inflation, the situations in Ukraine and Israel and global capital markets and assessing the potential impact on our business.</w:t>
      </w:r>
    </w:p>
    <w:p>
      <w:pPr>
        <w:spacing w:after="0" w:line="212" w:lineRule="exact"/>
        <w:rPr>
          <w:sz w:val="20"/>
          <w:szCs w:val="20"/>
          <w:color w:val="auto"/>
        </w:rPr>
      </w:pPr>
    </w:p>
    <w:p>
      <w:pPr>
        <w:jc w:val="both"/>
        <w:ind w:firstLine="436"/>
        <w:spacing w:after="0" w:line="254"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 ongoing military conflict between Russia and Ukraine or the ongoing conflict in the Middle East region, geopolitical tensions, or sustained high levels of inflation, it is impossible to predict the extent to which our operations will be impacted in the short and long term, or the ways in which such matters may impact our business. The extent and duration of the ongoing conflict in Ukraine and the Middle East region involving Israel, geopolitical tensions, sustained high levels of inflation and resulting market disruptions are impossible to predict but could be substantial.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on our key manufacturing, quality and other management personnel and the loss of any of these individuals could harm our business.</w:t>
      </w:r>
    </w:p>
    <w:p>
      <w:pPr>
        <w:spacing w:after="0" w:line="262"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Our success depends in large part upon the efforts of our key management and manufacturing and quality staff. The loss of any of these individuals, or our inability to attract and retain highly qualified scientific and management personnel in a timely manner, could materially and adversely affect our business and our future prospects. In the future, we may need to seek additional manufacturing and quality staff members. There is a high demand for highly trained manufacturing and quality personnel in our industry. We face competition for such personnel from other companies, research and academic institutions and other entities. Although, to date, we have not experienced a material number of departures among our manufacturing staff, we cannot be sure such departures will not occur in the future. We do not know whether we will be able to attract, train and retain highly qualified manufacturing and quality personnel in the future, which could have a material adverse effect on our business, financial condition and results of operations. A loss of one or more of our key personnel could severely and negatively impact our operations. Our key personnel are employed “at-will,” and any of them may elect to pursue other opportunities at any time. We have no present intention of obtaining key man life insurance on any of our key management, manufacturing, quality or other personnel.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Efforts to comply with securities laws and regulations require management resources, and we still may fail to comply. If we are not able to comply with such laws and regulations, there may be a material adverse impact on our business, financial conditions and results of operations.</w:t>
      </w:r>
    </w:p>
    <w:p>
      <w:pPr>
        <w:spacing w:after="0" w:line="18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As directed by Section 404 of the Sarbanes-Oxley Act of 2002, the SEC adopted rules requiring public companies to include a report of management on their internal controls over financial reporting in their annual reports on Form 10-K. The independent registered public accounting firm auditing our consolidated financial statements is required to attest to the effectiveness of our internal controls over financial reporting. If, in any year, we are unable to conclude that we have effective internal controls over financial reporting or if our independent registered public accounting firm is required to, but is unable to provide us with a report as to the effectiveness of our internal controls over financial reporting, investors could lose confidence in the reliability of our consolidated financial statements, which could result in a decrease in the value of our securities.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corporate documents and Michigan law contain provisions that may make it more difficult for us to be acquired.</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without shareholder approval, to issue additional shares of preferred stock and to fix the rights, preferences, privileges and restrictions of these shares without any further vote or action by our shareholders. Michigan law contains a statute that makes it more difficult for a 10% shareholder, or its officers, to acquire a company. This authority, together with certain provisions of our charter documents, may have the effect of making it more difficult for a third-party to acquire, or of discouraging a third-party from attempting to acquire, control of our company. This effect could occur even if our shareholders consider the change in control to be in their best interest.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tax legislation and regulations could negatively impact our earnings.</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are subject to income taxes in the U.S. In particular, although the passage of the Tax Cuts and Jobs Act of 2017 reduced the U.S. tax rate to 21 percent the law is complex and further regulations and interpretations are still being issued. We could face audit challenges on how we apply the law that could have a negative impact on our provision for income taxes. In addition, our future earnings could be negatively impacted by changes in tax legislation, changes in tax rates and tax base such as limiting, phasing-out or eliminating deductions or tax credits, increased taxation of certain excess income from intellectual property, revising tax law interpretations and changes in other tax laws in the U.S. For example, beginning in 2022, the Tax Cuts and Jobs Act of 2017 eliminated the option to deduct research and development expenditures immediately in the year incurred and requires taxpayers to amortize such expenditures over five years for tax purposes. While the most significant impact of this provision is to the year ended December 31, 2022, the tax year in which the provision took effect, the impact will decline annually over the five-year amortization period.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have developed processes for assessing, identifying and managing material risks from cybersecurity threats. Our enterprise risk management system incorporates risks from cybersecurity threats alongside other risks to the Company. Our information technology team oversees and implements a range of tools and services designed to minimize the risk or impact of any breach or unauthorized disclosure of our confidential and sensitive data. These tools and services include, from time to time:</w:t>
      </w:r>
    </w:p>
    <w:p>
      <w:pPr>
        <w:spacing w:after="0" w:line="248" w:lineRule="exact"/>
        <w:rPr>
          <w:sz w:val="20"/>
          <w:szCs w:val="20"/>
          <w:color w:val="auto"/>
        </w:rPr>
      </w:pPr>
    </w:p>
    <w:p>
      <w:pPr>
        <w:ind w:left="640" w:hanging="393"/>
        <w:spacing w:after="0" w:line="238" w:lineRule="auto"/>
        <w:tabs>
          <w:tab w:leader="none" w:pos="635"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monitoring emerging data protection laws and best practices regarding application security, access management, device protection, network management, and data loss prevention and recovery and implementing responsive changes to our processes;</w:t>
      </w:r>
    </w:p>
    <w:p>
      <w:pPr>
        <w:spacing w:after="0" w:line="1" w:lineRule="exact"/>
        <w:rPr>
          <w:rFonts w:ascii="Times New Roman" w:cs="Times New Roman" w:eastAsia="Times New Roman" w:hAnsi="Times New Roman"/>
          <w:sz w:val="21"/>
          <w:szCs w:val="21"/>
          <w:color w:val="auto"/>
        </w:rPr>
      </w:pPr>
    </w:p>
    <w:p>
      <w:pPr>
        <w:ind w:left="640" w:hanging="39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periodic reviews of our partner-facing policies and statements related to cybersecurity;</w:t>
      </w:r>
    </w:p>
    <w:p>
      <w:pPr>
        <w:spacing w:after="0" w:line="6" w:lineRule="exact"/>
        <w:rPr>
          <w:rFonts w:ascii="Times New Roman" w:cs="Times New Roman" w:eastAsia="Times New Roman" w:hAnsi="Times New Roman"/>
          <w:sz w:val="18"/>
          <w:szCs w:val="18"/>
          <w:color w:val="auto"/>
        </w:rPr>
      </w:pPr>
    </w:p>
    <w:p>
      <w:pPr>
        <w:ind w:left="640" w:hanging="39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intrusion detection and monitoring applications and multifactor authentication;</w:t>
      </w:r>
    </w:p>
    <w:p>
      <w:pPr>
        <w:spacing w:after="0" w:line="6" w:lineRule="exact"/>
        <w:rPr>
          <w:rFonts w:ascii="Times New Roman" w:cs="Times New Roman" w:eastAsia="Times New Roman" w:hAnsi="Times New Roman"/>
          <w:sz w:val="18"/>
          <w:szCs w:val="18"/>
          <w:color w:val="auto"/>
        </w:rPr>
      </w:pPr>
    </w:p>
    <w:p>
      <w:pPr>
        <w:ind w:left="640" w:hanging="393"/>
        <w:spacing w:after="0" w:line="255"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periodic table-top exercises with management, including our Executive Director, Corporate Information Systems, and testing of our data security, incident response policies and procedures;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hanging="393"/>
        <w:spacing w:after="0" w:line="258"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periodic cybersecurity management and incident training for employees, including simulated phishing campaigns, which provide education on the risk of potential cybersecurity incidents, methods for identification of such incidents and appropriate responses; and</w:t>
      </w:r>
    </w:p>
    <w:p>
      <w:pPr>
        <w:ind w:left="640" w:hanging="393"/>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employees, as well as third-parties who provide services on our behalf, to treat information and data with care.</w:t>
      </w:r>
    </w:p>
    <w:p>
      <w:pPr>
        <w:spacing w:after="0" w:line="228"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7"/>
          <w:szCs w:val="17"/>
          <w:color w:val="auto"/>
        </w:rPr>
        <w:t>We also maintain an enterprise-wide incident response plan designed to secure the enterprise, mitigate the impact of a cybersecurity incident, recover and restore normal business operations, prevent similar future incidents and comply with applicable regulatory obligations arising from an incident. Management, including our Executive Director, Corporate Information systems, collaborates with our information technology team and technical partners to review at least annually our enterprise-wide incident response plan. Periodically, we engage assessors, consultants, auditors and other third parties, including by conducting exercises with an external partner to stress test our data security systems and practice company-wide response tactics. Our risk management processes also address cybersecurity threat risks associated with our use of third-party service providers, and third-party risks are included within our enterprise risk management program. In the event of a suspected or actual cybersecurity event, we have partnered with a globally recognized digital forensics investigation firm and outside counsel to provide services and support on a real-time basis to analyze any breach and secure both our data and information systems.</w:t>
      </w:r>
    </w:p>
    <w:p>
      <w:pPr>
        <w:spacing w:after="0" w:line="20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Despite our security measures, there can be no assurance that we, or the third parties with which we interact, will not experience a cybersecurity incident in the future that will materially affect us. For a discussion of how any risks from cybersecurity threats could materially affect the Company, including our business strategy and results of operations, see “Risk Factors – A cyber security incident or data privacy issue could result in a loss of confidential data, give rise to remediation and other expenses, expose us to liability under HIPAA, consumer protection and privacy laws, or other common law theories, subject us to litigation and federal and state governmental inquiries, damage our reputation, and otherwise be disruptive to our business,” which is incorporated by reference into this Item 1C.</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the three most recently completed fiscal years and as of the date of this Annual Report on Form 10-K, we have not experienced any material cybersecurity incidents. Additionally, we do not believe any previous cybersecurity incidents we may have experienced are reasonably likely to materially affect us. This includes cybersecurity incidents resulting in penalties and settlements, of which there were none.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Audit Committee of our Board oversees our risk management process, which includes risks from cybersecurity threats. The Audit Committee receives reports from management at least semi-annually, and more frequently if necessary, with respect to risks from cybersecurity threats. The Audit Committee also reviews cybersecurity and data security risks and mitigation strategies, along with program assessments, planned improvements and the status of information technology initiatives. The entire Board receives annual training from outside experts concerning the current global cybersecurity threat landscape and corporate best practices for mitigating cybersecurity risks, as well as the Board’s legal, regulatory and fiduciary responsibilities from a cybersecurity standpoint. Additionally, the Board was engaged with management and outside experts throughout 2022, 2023 and 2024 in overseeing the development of the Company’s Enterprise Incident Response Plan. This plan is reviewed and updated on an annual basis.</w:t>
      </w:r>
    </w:p>
    <w:p>
      <w:pPr>
        <w:spacing w:after="0" w:line="213"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Our Executive Director, Corporate Information Systems, along with our Chief Legal Officer, Information Technology management team, and Chief Operating Officer, oversees our approach to cybersecurity and is responsible for assessing and managing material risks associated with cybersecurity threats. Our Executive Director, Corporate Information Systems has over 20 years of experience in the life science industry, including a focus in the past four years on information technology management. Additionally, his academic background includes advanced degrees in the life sciences and he brings a strong track record of managing cyber incident responses and related activities. In this role, our Executive Director, Corporate Information Systems works closely with an internal team that includes resources with various cybersecurity certifications and leverages the support of our external information security firm, technology partners and an industry-leading intelligence platform. Our Executive Director manages and leads the internal Information Technology team to maintain, update and enhance the Company’s technology infrastructure and corresponding safety measures, as well as to ensure that appropriate safety measures are implemented to protect against evolving cybersecurity threats.</w:t>
      </w:r>
    </w:p>
    <w:p>
      <w:pPr>
        <w:spacing w:after="0" w:line="21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Executive Director, Corporate Information Systems is informed about and monitors the prevention, detection, mitigation and remediation of cybersecurity incidents through the management of and participation in the cybersecurity risk management and strategy processes described above, including the operation of our Enterprise Incident Response Plan. Our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Chief Legal Officer works closely with him and reports regularly to the Board and to the Audit Committee of the Board, covering the risks from cybersecurity threats.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information regarding our leased properties as of January 31, 2025:</w:t>
      </w:r>
    </w:p>
    <w:p>
      <w:pPr>
        <w:spacing w:after="0" w:line="26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 Expiration Date</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 Option</w:t>
            </w:r>
          </w:p>
        </w:tc>
        <w:tc>
          <w:tcPr>
            <w:tcW w:w="0" w:type="dxa"/>
            <w:vAlign w:val="bottom"/>
          </w:tcPr>
          <w:p>
            <w:pPr>
              <w:spacing w:after="0"/>
              <w:rPr>
                <w:sz w:val="1"/>
                <w:szCs w:val="1"/>
                <w:color w:val="auto"/>
              </w:rPr>
            </w:pPr>
          </w:p>
        </w:tc>
      </w:tr>
      <w:tr>
        <w:trPr>
          <w:trHeight w:val="192"/>
        </w:trPr>
        <w:tc>
          <w:tcPr>
            <w:tcW w:w="2600" w:type="dxa"/>
            <w:vAlign w:val="bottom"/>
            <w:gridSpan w:val="2"/>
            <w:vMerge w:val="continue"/>
          </w:tcPr>
          <w:p>
            <w:pPr>
              <w:spacing w:after="0"/>
              <w:rPr>
                <w:sz w:val="16"/>
                <w:szCs w:val="16"/>
                <w:color w:val="auto"/>
              </w:rPr>
            </w:pPr>
          </w:p>
        </w:tc>
        <w:tc>
          <w:tcPr>
            <w:tcW w:w="3100" w:type="dxa"/>
            <w:vAlign w:val="bottom"/>
            <w:gridSpan w:val="2"/>
            <w:vMerge w:val="continue"/>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1780" w:type="dxa"/>
            <w:vAlign w:val="bottom"/>
            <w:gridSpan w:val="2"/>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48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Burlington, Massachusetts</w:t>
            </w:r>
          </w:p>
        </w:tc>
        <w:tc>
          <w:tcPr>
            <w:tcW w:w="120" w:type="dxa"/>
            <w:vAlign w:val="bottom"/>
            <w:tcBorders>
              <w:top w:val="single" w:sz="8" w:color="CCEEFF"/>
            </w:tcBorders>
            <w:shd w:val="clear" w:color="auto" w:fill="CCEEFF"/>
          </w:tcPr>
          <w:p>
            <w:pPr>
              <w:spacing w:after="0"/>
              <w:rPr>
                <w:sz w:val="14"/>
                <w:szCs w:val="14"/>
                <w:color w:val="auto"/>
              </w:rPr>
            </w:pPr>
          </w:p>
        </w:tc>
        <w:tc>
          <w:tcPr>
            <w:tcW w:w="3000" w:type="dxa"/>
            <w:vAlign w:val="bottom"/>
            <w:tcBorders>
              <w:top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Manufacturing, laboratory and office</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jc w:val="center"/>
              <w:ind w:right="100"/>
              <w:spacing w:after="0" w:line="240" w:lineRule="exact"/>
              <w:rPr>
                <w:sz w:val="20"/>
                <w:szCs w:val="20"/>
                <w:color w:val="auto"/>
              </w:rPr>
            </w:pPr>
            <w:r>
              <w:rPr>
                <w:rFonts w:ascii="Times New Roman" w:cs="Times New Roman" w:eastAsia="Times New Roman" w:hAnsi="Times New Roman"/>
                <w:sz w:val="18"/>
                <w:szCs w:val="18"/>
                <w:color w:val="auto"/>
                <w:w w:val="92"/>
              </w:rPr>
              <w:t>space</w:t>
            </w:r>
            <w:r>
              <w:rPr>
                <w:rFonts w:ascii="Times New Roman" w:cs="Times New Roman" w:eastAsia="Times New Roman" w:hAnsi="Times New Roman"/>
                <w:sz w:val="23"/>
                <w:szCs w:val="23"/>
                <w:color w:val="auto"/>
                <w:w w:val="92"/>
                <w:vertAlign w:val="superscript"/>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June 2036</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One ten-year term</w:t>
            </w:r>
          </w:p>
        </w:tc>
        <w:tc>
          <w:tcPr>
            <w:tcW w:w="0" w:type="dxa"/>
            <w:vAlign w:val="bottom"/>
          </w:tcPr>
          <w:p>
            <w:pPr>
              <w:spacing w:after="0"/>
              <w:rPr>
                <w:sz w:val="1"/>
                <w:szCs w:val="1"/>
                <w:color w:val="auto"/>
              </w:rPr>
            </w:pPr>
          </w:p>
        </w:tc>
      </w:tr>
      <w:tr>
        <w:trPr>
          <w:trHeight w:val="173"/>
        </w:trPr>
        <w:tc>
          <w:tcPr>
            <w:tcW w:w="26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Cambridge, Massachusetts</w:t>
            </w:r>
          </w:p>
        </w:tc>
        <w:tc>
          <w:tcPr>
            <w:tcW w:w="310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color w:val="auto"/>
                <w:w w:val="98"/>
              </w:rPr>
              <w:t>Manufacturing, laboratory and office</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space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February 2032</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One five-year term</w:t>
            </w:r>
          </w:p>
        </w:tc>
        <w:tc>
          <w:tcPr>
            <w:tcW w:w="0" w:type="dxa"/>
            <w:vAlign w:val="bottom"/>
          </w:tcPr>
          <w:p>
            <w:pPr>
              <w:spacing w:after="0"/>
              <w:rPr>
                <w:sz w:val="1"/>
                <w:szCs w:val="1"/>
                <w:color w:val="auto"/>
              </w:rPr>
            </w:pPr>
          </w:p>
        </w:tc>
      </w:tr>
      <w:tr>
        <w:trPr>
          <w:trHeight w:val="227"/>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 Arbor, Michigan</w:t>
            </w:r>
          </w:p>
        </w:tc>
        <w:tc>
          <w:tcPr>
            <w:tcW w:w="3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Office space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April 2025</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00" w:hanging="153"/>
        <w:spacing w:after="0" w:line="274" w:lineRule="auto"/>
        <w:tabs>
          <w:tab w:leader="none" w:pos="34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Burlington facility is substantially complete, and we are currently utilizing the facility's office space. Once validated, the facility's manufacturing component will eventually become the primary manufacturing facility for MACI and Epicel.</w:t>
      </w:r>
    </w:p>
    <w:p>
      <w:pPr>
        <w:spacing w:after="0" w:line="210"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We believe that our facilities are adequate to meet our current needs. Additional facilities may be required to support expansion of our manufacturing operations and research and development activities. See Note 5, “Leases” in our accompanying consolidated financial statements for further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4" w:lineRule="exact"/>
        <w:rPr>
          <w:sz w:val="20"/>
          <w:szCs w:val="20"/>
          <w:color w:val="auto"/>
        </w:rPr>
      </w:pPr>
    </w:p>
    <w:p>
      <w:pPr>
        <w:ind w:right="20" w:firstLine="240"/>
        <w:spacing w:after="0" w:line="277" w:lineRule="auto"/>
        <w:rPr>
          <w:sz w:val="20"/>
          <w:szCs w:val="20"/>
          <w:color w:val="auto"/>
        </w:rPr>
      </w:pPr>
      <w:r>
        <w:rPr>
          <w:rFonts w:ascii="Times New Roman" w:cs="Times New Roman" w:eastAsia="Times New Roman" w:hAnsi="Times New Roman"/>
          <w:sz w:val="18"/>
          <w:szCs w:val="18"/>
          <w:color w:val="auto"/>
        </w:rPr>
        <w:t>We are currently not party to any material legal proceedings, although from time-to-time we may become involved in disputes in connection with the operation of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8" w:name="page59"/>
    <w:bookmarkEnd w:id="5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Shareholder Matters and Issuer Purchase of Equity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common stock is currently trading on the NASDAQ Stock Market under the symbol “VCEL”.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January 31, 2025 there were approximately 166 holders of record of our common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such cash dividends in the foreseeable future. We currently anticipate that we will retain all future earnings, if any, for use in the development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82"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The performance graph set forth below shall not be deemed “soliciting material” or to be “filed” with the SEC. This graph will not be deemed “incorporated by reference” into any filing under the Securities Act or the Exchange Act, whether such filing occurs before or after the date hereof, except to the extent that the Company explicitly incorporates it by reference into in such filing.</w:t>
      </w:r>
    </w:p>
    <w:p>
      <w:pPr>
        <w:spacing w:after="0" w:line="20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Set forth below is a line graph comparing the cumulative total shareholder return on Vericel’s common stock with the cumulative total return of (i) the NASDAQ Composite Index, and (ii) the NASDAQ Biotechnology Index, for the period from December 31, 2019 through December 31, 2024. The comparison assumes that a hypothetical $100 was invested on December 31, 2019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146050</wp:posOffset>
            </wp:positionV>
            <wp:extent cx="5642610" cy="22110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42610" cy="221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11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12/31/19</w:t>
            </w:r>
          </w:p>
        </w:tc>
        <w:tc>
          <w:tcPr>
            <w:tcW w:w="140" w:type="dxa"/>
            <w:vAlign w:val="bottom"/>
          </w:tcPr>
          <w:p>
            <w:pPr>
              <w:spacing w:after="0"/>
              <w:rPr>
                <w:sz w:val="16"/>
                <w:szCs w:val="16"/>
                <w:color w:val="auto"/>
              </w:rPr>
            </w:pPr>
          </w:p>
        </w:tc>
        <w:tc>
          <w:tcPr>
            <w:tcW w:w="11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120" w:type="dxa"/>
            <w:vAlign w:val="bottom"/>
          </w:tcPr>
          <w:p>
            <w:pPr>
              <w:spacing w:after="0"/>
              <w:rPr>
                <w:sz w:val="16"/>
                <w:szCs w:val="16"/>
                <w:color w:val="auto"/>
              </w:rPr>
            </w:pPr>
          </w:p>
        </w:tc>
        <w:tc>
          <w:tcPr>
            <w:tcW w:w="11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140" w:type="dxa"/>
            <w:vAlign w:val="bottom"/>
          </w:tcPr>
          <w:p>
            <w:pPr>
              <w:spacing w:after="0"/>
              <w:rPr>
                <w:sz w:val="16"/>
                <w:szCs w:val="16"/>
                <w:color w:val="auto"/>
              </w:rPr>
            </w:pPr>
          </w:p>
        </w:tc>
        <w:tc>
          <w:tcPr>
            <w:tcW w:w="11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140" w:type="dxa"/>
            <w:vAlign w:val="bottom"/>
          </w:tcPr>
          <w:p>
            <w:pPr>
              <w:spacing w:after="0"/>
              <w:rPr>
                <w:sz w:val="16"/>
                <w:szCs w:val="16"/>
                <w:color w:val="auto"/>
              </w:rPr>
            </w:pPr>
          </w:p>
        </w:tc>
        <w:tc>
          <w:tcPr>
            <w:tcW w:w="11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120" w:type="dxa"/>
            <w:vAlign w:val="bottom"/>
          </w:tcPr>
          <w:p>
            <w:pPr>
              <w:spacing w:after="0"/>
              <w:rPr>
                <w:sz w:val="16"/>
                <w:szCs w:val="16"/>
                <w:color w:val="auto"/>
              </w:rPr>
            </w:pPr>
          </w:p>
        </w:tc>
        <w:tc>
          <w:tcPr>
            <w:tcW w:w="11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12/31/24</w:t>
            </w:r>
          </w:p>
        </w:tc>
      </w:tr>
      <w:tr>
        <w:trPr>
          <w:trHeight w:val="25"/>
        </w:trPr>
        <w:tc>
          <w:tcPr>
            <w:tcW w:w="36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Vericel Corporation (VCEL)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Index (^IXIC)</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Biotechnology Index (^NBI)</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bl>
    <w:p>
      <w:pPr>
        <w:spacing w:after="0" w:line="200" w:lineRule="exact"/>
        <w:rPr>
          <w:sz w:val="20"/>
          <w:szCs w:val="20"/>
          <w:color w:val="auto"/>
        </w:rPr>
      </w:pP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59" w:name="page60"/>
    <w:bookmarkEnd w:id="5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no repurchases of shares of common stock made during the year ended December 31,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51"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During the three months ended December 31, 2024, the following Section 16 officers and directors adopted, modified or terminated a “Rule 10b5-1 trading arrangement” (as defined in Item 408 of Regulation S-K of the Exchange Act):</w:t>
      </w:r>
    </w:p>
    <w:p>
      <w:pPr>
        <w:spacing w:after="0" w:line="189" w:lineRule="exact"/>
        <w:rPr>
          <w:sz w:val="20"/>
          <w:szCs w:val="20"/>
          <w:color w:val="auto"/>
        </w:rPr>
      </w:pPr>
    </w:p>
    <w:p>
      <w:pPr>
        <w:ind w:left="240" w:hanging="233"/>
        <w:spacing w:after="0" w:line="276" w:lineRule="auto"/>
        <w:tabs>
          <w:tab w:leader="none" w:pos="235"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On November 14, 2024, Heidi Hagen, a member of the Vericel Corporation Board of Directors, entered into a Rule 10b5-1 trading arrangement providing for the potential sale of up to 24,000 shares of our common stock between March 3, 2025, and March 27, 2026.</w:t>
      </w:r>
    </w:p>
    <w:p>
      <w:pPr>
        <w:spacing w:after="0" w:line="190" w:lineRule="exact"/>
        <w:rPr>
          <w:rFonts w:ascii="Arial" w:cs="Arial" w:eastAsia="Arial" w:hAnsi="Arial"/>
          <w:sz w:val="18"/>
          <w:szCs w:val="18"/>
          <w:color w:val="auto"/>
        </w:rPr>
      </w:pPr>
    </w:p>
    <w:p>
      <w:pPr>
        <w:jc w:val="both"/>
        <w:ind w:left="240" w:hanging="233"/>
        <w:spacing w:after="0" w:line="262" w:lineRule="auto"/>
        <w:tabs>
          <w:tab w:leader="none" w:pos="2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15, 2024, Joseph Mara, Vericel Corporation’s Chief Financial Officer, entered into a Rule 10b5-1 trading arrangement. Mr. Mara subsequently amended that trading arrangement on November 26, 2024. The amended trading arrangement provides for the potential sale of up to 88,500 shares of our common stock between March 3, 2025, and December 31, 2025.</w:t>
      </w:r>
    </w:p>
    <w:p>
      <w:pPr>
        <w:spacing w:after="0" w:line="202" w:lineRule="exact"/>
        <w:rPr>
          <w:rFonts w:ascii="Times New Roman" w:cs="Times New Roman" w:eastAsia="Times New Roman" w:hAnsi="Times New Roman"/>
          <w:sz w:val="18"/>
          <w:szCs w:val="18"/>
          <w:color w:val="auto"/>
        </w:rPr>
      </w:pPr>
    </w:p>
    <w:p>
      <w:pPr>
        <w:ind w:left="240" w:hanging="233"/>
        <w:spacing w:after="0" w:line="277" w:lineRule="auto"/>
        <w:tabs>
          <w:tab w:leader="none" w:pos="2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19, 2024, Michael Halpin, Vericel Corporation’s Chief Operating Officer, entered into a Rule 10b5-1 trading arrangement providing for the potential sale of up to 30,000 shares of our common stock between March 3, 2025, and February 27, 2026.</w:t>
      </w:r>
    </w:p>
    <w:p>
      <w:pPr>
        <w:spacing w:after="0" w:line="189" w:lineRule="exact"/>
        <w:rPr>
          <w:rFonts w:ascii="Times New Roman" w:cs="Times New Roman" w:eastAsia="Times New Roman" w:hAnsi="Times New Roman"/>
          <w:sz w:val="18"/>
          <w:szCs w:val="18"/>
          <w:color w:val="auto"/>
        </w:rPr>
      </w:pPr>
    </w:p>
    <w:p>
      <w:pPr>
        <w:ind w:left="240" w:hanging="233"/>
        <w:spacing w:after="0" w:line="277" w:lineRule="auto"/>
        <w:tabs>
          <w:tab w:leader="none" w:pos="2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 2024, Dominick Colangelo, Vericel Corporation’s President and Chief Executive Officer, entered into a Rule 10b5-1 trading arrangement providing for the potential sale of up to 131,008 shares of our common stock between March 12, 2025, and June 2, 2025.</w:t>
      </w:r>
    </w:p>
    <w:p>
      <w:pPr>
        <w:spacing w:after="0" w:line="189" w:lineRule="exact"/>
        <w:rPr>
          <w:sz w:val="20"/>
          <w:szCs w:val="20"/>
          <w:color w:val="auto"/>
        </w:rPr>
      </w:pPr>
    </w:p>
    <w:p>
      <w:pPr>
        <w:ind w:right="20" w:firstLine="240"/>
        <w:spacing w:after="0" w:line="277" w:lineRule="auto"/>
        <w:rPr>
          <w:sz w:val="20"/>
          <w:szCs w:val="20"/>
          <w:color w:val="auto"/>
        </w:rPr>
      </w:pPr>
      <w:r>
        <w:rPr>
          <w:rFonts w:ascii="Times New Roman" w:cs="Times New Roman" w:eastAsia="Times New Roman" w:hAnsi="Times New Roman"/>
          <w:sz w:val="18"/>
          <w:szCs w:val="18"/>
          <w:color w:val="auto"/>
        </w:rPr>
        <w:t>Additionally, there were no “non-Rule 10b5-1 trading arrangements” (as defined in Item 408 of Regulation S-K of the Exchange Act) adopted, modified or terminated during the three months ended December 31, 2024 by our Section 16 officers or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1"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8"/>
          <w:szCs w:val="18"/>
          <w:color w:val="auto"/>
        </w:rPr>
        <w:t>Vericel Corporation is a fully-integrated, commercial-stage biopharmaceutical company and a leading provider of advanced therapies for the sports medicine and severe burn care markets. Whether we are treating damaged cartilage or severe burns, we provide advanced therapies to repair serious injuries and restore lives. Our highly differentiated portfolio of cell therapy and specialty biologic products combines innovations in biology with medical technologies. We were among the first companies to achieve commercial success in the complex field of cell therapies with treatments that use tissue engineering to regenerate skin and healthy knee cartilage. We currently market two U.S. Food and Drug Administration (“FDA”) approved autologous cell therapy products and one FDA-approved specialty biologic product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autologous cellularized scaffold product that is indicated for the repair of symptomatic, single or multiple full-thickness cartilage defects of the knee with or without bone involvement in adults. Since MACI’s commercial launch, the product’s FDA-approved labeling has provided for a treating surgeon to use MACI to treat a patient through an open surgical procedure. In August 2024, the FDA approved a supplemental Biologics License Application (“sBLA”) expanding the MACI indication to add instructions for the arthroscopic delivery of MACI to the product’s approved labeling. MACI Arthro™ allows surgeons to evaluate and prepare the cartilage defect site as well as deliver the MACI implant through small incisions using custom-designed arthroscopic instruments developed by the Company (“MACI Arthro instruments”). MACI Arthro became commercially available in the United States during the third quarter of 2024 and the Company began selling the MACI Arthro instruments at that time.</w:t>
      </w:r>
    </w:p>
    <w:p>
      <w:pPr>
        <w:spacing w:after="0" w:line="218" w:lineRule="exact"/>
        <w:rPr>
          <w:sz w:val="20"/>
          <w:szCs w:val="20"/>
          <w:color w:val="auto"/>
        </w:rPr>
      </w:pPr>
    </w:p>
    <w:p>
      <w:pPr>
        <w:jc w:val="both"/>
        <w:ind w:firstLine="240"/>
        <w:spacing w:after="0" w:line="227" w:lineRule="auto"/>
        <w:rPr>
          <w:sz w:val="20"/>
          <w:szCs w:val="20"/>
          <w:color w:val="auto"/>
        </w:rPr>
      </w:pPr>
      <w:r>
        <w:rPr>
          <w:rFonts w:ascii="Times New Roman" w:cs="Times New Roman" w:eastAsia="Times New Roman" w:hAnsi="Times New Roman"/>
          <w:sz w:val="18"/>
          <w:szCs w:val="18"/>
          <w:color w:val="auto"/>
        </w:rPr>
        <w:t>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permanent skin replacement Humanitarian Use Device (“HUD”) indicated for the treatment of adult and pediatric patients with deep-dermal or full-thickness burns comprising greater than or equal to 30 percent of a patient’s total body surface area (“TBSA”). We also hold an exclusive license from MediWound Ltd. (“MediWound”) for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(anacaulase-bcdb), a topically-administered biological orphan product containing proteolytic enzymes, which is indicated for the removal of eschar in adult and pediatric patients with deep partial-thickness and/or full-thickness thermal burns.</w:t>
      </w:r>
    </w:p>
    <w:p>
      <w:pPr>
        <w:spacing w:after="0" w:line="221"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8"/>
          <w:szCs w:val="18"/>
          <w:color w:val="auto"/>
        </w:rPr>
        <w:t xml:space="preserve">See “Risk Factors </w:t>
      </w:r>
      <w:r>
        <w:rPr>
          <w:rFonts w:ascii="Times New Roman" w:cs="Times New Roman" w:eastAsia="Times New Roman" w:hAnsi="Times New Roman"/>
          <w:sz w:val="18"/>
          <w:szCs w:val="18"/>
          <w:i w:val="1"/>
          <w:iCs w:val="1"/>
          <w:color w:val="auto"/>
        </w:rPr>
        <w:t>“Our success depends, in part, on the commercial success of NexoBrid for the removal of eschar in adults with deep partial thickness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and/or full thickness thermal burns.”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Conflicts in the Middle East</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under which MediWound manufactures and supplies NexoBrid to the U.S. market on a unit price basis. MediWound develops and manufactures NexoBrid, in part, at its facilities in Yavne, Israel.</w:t>
      </w:r>
    </w:p>
    <w:p>
      <w:pPr>
        <w:spacing w:after="0" w:line="18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We continue to monitor the ongoing conflicts in the Middle East region involving Israel, and we are in close communication with MediWound leadership. MediWound’s NexoBrid manufacturing operations are continuing and, as of the date of this disclosure, MediWound does not anticipate a material disruption to its ongoing supply of commercial NexoBrid to the United States. To the extent the conflicts in the Middle East region intensify or expand and MediWound’s facilities in Israel are damaged or destroyed, travel to and from Israel is halted or inhibited, or significant key MediWound operational personnel are called to military service, MediWound’s ability to continue to supply NexoBrid to the U.S. market could be disrupted. As of the date of this report, we maintain an ample supply of NexoBrid at our U.S.-based third-party logistics provider.</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a discussion of additional risks associated with the ongoing conflicts in the Middle East, please see Part I, Item 1A. “Risk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used for U.S. manufacturing and distribution of MACI and Epicel. In January 2022, we entered into a lease agreement (as amended, the “Burlington Lease”) to lease approximately 126,000 square feet of manufacturing, laboratory and office space in Burlington, Massachusetts, which has been under construction. The Burlington facility is substantially complete, and we are currently utilizing the facility’s office space. Once validated, the facility’s manufacturing component will eventually become the primary manufacturing facility for MACI and Epicel.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1" w:name="page62"/>
    <w:bookmarkEnd w:id="6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Our marketed products include two FDA-approved autologous cell therapies and one FDA-approved specialty biologic product. MACI is a third-generation autologous cellularized scaffold product indicated for the repair of symptomatic, single or multiple full-thickness cartilage defects of the knee with or without bone involvement in adults. In connection with our MACI product, we sell MACI biopsy kits, which are used by treating surgeons to obtain a sample of cartilage tissue, which is later sent to us. If a patient decides to move forward with MACI treatment, we subsequently use the cartilage sample to manufacture a MACI implant. When an orthopedic surgeon decides to treat a patient by implanting MACI through an arthroscopic approach the surgeon may choose to use our custom MACI Arthro instruments during the procedure, which we sell by way of a separate transaction.</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Epicel is a permanent skin replacement indicated for the treatment of adult and pediatric patients with deep-dermal or full-thickness burns comprising greater than or equal to 30 percent of a patient’s TBSA. Both autologous cell therapy products are currently manufactured and marketed in the U.S. NexoBrid is a topically-administered biological orphan product containing proteolytic enzymes that is indicated for eschar removal in adult and pediatric patients with deep partial-thickness and/or full-thickness burns. We hold exclusive license and supply agreements with MediWound to commercialize NexoBrid in North America. The Company operates its business primarily in the U.S. in one reportable segment - the research, product development, manufacture and distribution of cellular therapies and specialty biologics for use in the treatment of specific conditions.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MACI is a third-generation autologous chondrocyte implantation (“ACI”) product indicated for the repair of symptomatic, single or multiple full-thickness cartilage defects of the knee with or without bone involvement in adults.</w:t>
      </w:r>
    </w:p>
    <w:p>
      <w:pPr>
        <w:spacing w:after="0" w:line="18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Our target audiences are orthopedic surgeons who self-identify and/or have formal specialty training in sports medicine, and a subpopulation of general orthopedic surgeons who perform a high volume of cartilage repair procedures involving the knee. Our MACI commercial team consists of individual sales representatives that regularly engage with our target audience. The team is divided into geographic regions and is managed by a senior sales leadership team. Most private payers have a medical policy that covers treatment with MACI with the top 30 largest commercial payers having a formal medical policy for MACI or ACI in general. With respect to private commercial payers that have not yet approved a medical policy for MACI, we often obtain approval on a case-by-case basis.</w:t>
      </w:r>
    </w:p>
    <w:p>
      <w:pPr>
        <w:spacing w:after="0" w:line="212"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7"/>
          <w:szCs w:val="17"/>
          <w:color w:val="auto"/>
        </w:rPr>
        <w:t>MACI consists of autologous cultured chondrocytes, which are human-derived cells that are obtained from the patient’s own cartilage, and which are seeded onto resorbable Type I/III collagen membrane. Since MACI’s commercial launch, the product’s FDA-approved labeling has provided for a treating surgeon to use MACI to treat a patient through an open surgical procedure. In August 2024, the FDA approved a supplemental Biologics License Application (“sBLA”) expanding the MACI indication to add instructions for the arthroscopic delivery of MACI to the product’s approved labeling, permitting the repair of single or multiple full-thickness cartilage defects of the knee up to 4 cm2 in size via an arthroscopic approach. MACI Arthro provides a less invasive technique compared to the open arthrotomy approach and allows surgeons to evaluate, prepare and treat the cartilage defect, and deliver the MACI implant, under direct arthroscopic visualization and, should the surgeon so choose, to use specialized and custom-designed instruments (the “MACI Arthro instruments”) through small incisions or portals. The arthroscopic delivery of MACI could increase the ease of MACI’s use for physicians and may reduce both the length of the procedure as well as procedure-induced trauma, which may result in a reduction of a patient’s post-operative pain and accelerate a patient’s recovery. MACI Arthro became commercially available in the United States during the third quarter of 2024 and we began selling the MACI Arthro instruments at that time. In conjunction with the launch of MACI Arthro, we have expanded our target surgeon base from 5,000 to 7,000 to include orthopedic surgeons that perform high volumes of knee cartilage repair surgeries, predominantly through arthroscopic procedures.</w:t>
      </w:r>
    </w:p>
    <w:p>
      <w:pPr>
        <w:spacing w:after="0" w:line="20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also are evaluating the feasibility and potential market opportunity involved in delivering MACI treatment to patients suffering from cartilage damage in the ankle. We believe that this potential lifecycle enhancement and indication expansion for MACI will require conducting an additional randomized clinical trial concerning the product’s use in the ankle and we are on track to initiate a MACI Ankle clinical trial beginning in 2025. If approved, we believe MACI’s label expansion allowing its use to repair cartilage defects in the ankle will be a significant long-term growth driver for the product in the coming years.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2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comprising greater than or equal to 30 percent TBSA. Epicel is regulated by CBER of the FDA under medical device authorities, and is the only FDA-approved cultured epidermal autograft product available for large total surface area burns in both adult and pediatric patients. Epicel was designated as a HUD in 1998 and an HDE application for the product was submitted in 1999. HUDs are devices that are intended for diseases or conditions that affect fewer than 8,000 individuals annually in the U.S., and certain HUDs are restricted by the amount which a manufacturer may charge for its use.</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Epicel is not price-restricted in this manner because on February 18, 2016, the FDA approved our HDE supplement to revise the labeled indications of use for Epicel to specifically include pediatric patients, thus allowing Epicel to be sold for profit. The revised product label also now specifies that the probable benefit of Epicel, mainly related to survival, was demonstrated in two Epicel clinical experience databases and a physician-sponsored study comparing outcomes in patients with large burns treated with Epicel relative to standard care.</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portfolio of commercial-stage products also includes NexoBrid (anacaulase-bcdb), a topically-administered biological orphan product containing proteolytic enzymes, for which the FDA approved a BLA in December 2022 permitting the product’s use for the removal of eschar in adults with deep partial-thickness and/or full thickness thermal burns. Subsequently, in August 2024, the FDA approved a sBLA expanding NexoBrid’s indication to include pediatric patients.</w:t>
      </w:r>
    </w:p>
    <w:p>
      <w:pPr>
        <w:spacing w:after="0" w:line="20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NexoBrid is approved in the European Union (“EU”) and other international markets and has been designated as an orphan biologic in the U.S., EU and other international markets. NexoBrid has the potential to change the standard of care for eschar removal with respect to hospitalized burn patients and treat a significant addressable market in the U.S. With respect to NexoBrid, of the approximately 40,000 people that are hospitalized in the U.S. each year for burn-related injuries, the majority, over 30,000, have thermal burns and will likely require some level of eschar removal. NexoBrid’s FDA approval expands our burn care franchise’s total addressable market, which will permit us to treat a significantly larger segment of hospitalized burn patients than with Epicel alone. The expansion of our target addressable market supports a broader commercial footprint, and we believe that this may help drive both increased NexoBrid use as well as increased Epicel awareness throughout the burn care space. Both our Epicel and NexoBrid products are serviced by our burn care field force, which consists of individual sales and clinical representatives that regularly engage with our target audience. The team is divided into geographical regions and is managed by a senior sales leadership team.</w:t>
      </w:r>
    </w:p>
    <w:p>
      <w:pPr>
        <w:spacing w:after="0" w:line="21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to commercialize NexoBrid in North America. 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consolidated results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w w:val="98"/>
              </w:rPr>
              <w:t>2024 vs. 2023</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4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237,224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164,365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27"/>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0"/>
        </w:trPr>
        <w:tc>
          <w:tcPr>
            <w:tcW w:w="3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172,107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20"/>
        </w:trPr>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27"/>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21,793</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20"/>
        </w:trPr>
        <w:tc>
          <w:tcPr>
            <w:tcW w:w="3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25,548</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20"/>
        </w:trPr>
        <w:tc>
          <w:tcPr>
            <w:tcW w:w="3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169.9 %</w:t>
            </w:r>
          </w:p>
        </w:tc>
        <w:tc>
          <w:tcPr>
            <w:tcW w:w="0" w:type="dxa"/>
            <w:vAlign w:val="bottom"/>
          </w:tcPr>
          <w:p>
            <w:pPr>
              <w:spacing w:after="0"/>
              <w:rPr>
                <w:sz w:val="1"/>
                <w:szCs w:val="1"/>
                <w:color w:val="auto"/>
              </w:rPr>
            </w:pPr>
          </w:p>
        </w:tc>
      </w:tr>
      <w:tr>
        <w:trPr>
          <w:trHeight w:val="220"/>
        </w:trPr>
        <w:tc>
          <w:tcPr>
            <w:tcW w:w="3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0" w:type="dxa"/>
            <w:vAlign w:val="bottom"/>
          </w:tcPr>
          <w:p>
            <w:pPr>
              <w:spacing w:after="0"/>
              <w:rPr>
                <w:sz w:val="1"/>
                <w:szCs w:val="1"/>
                <w:color w:val="auto"/>
              </w:rPr>
            </w:pPr>
          </w:p>
        </w:tc>
      </w:tr>
      <w:tr>
        <w:trPr>
          <w:trHeight w:val="227"/>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20"/>
        </w:trPr>
        <w:tc>
          <w:tcPr>
            <w:tcW w:w="3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13,544</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December 31, 2024 and 2023</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Revenue by product is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5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197,309</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164,800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131,967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32,509</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2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27"/>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188.3 %</w:t>
            </w:r>
          </w:p>
        </w:tc>
        <w:tc>
          <w:tcPr>
            <w:tcW w:w="0" w:type="dxa"/>
            <w:vAlign w:val="bottom"/>
          </w:tcPr>
          <w:p>
            <w:pPr>
              <w:spacing w:after="0"/>
              <w:rPr>
                <w:sz w:val="1"/>
                <w:szCs w:val="1"/>
                <w:color w:val="auto"/>
              </w:rPr>
            </w:pPr>
          </w:p>
        </w:tc>
      </w:tr>
      <w:tr>
        <w:trPr>
          <w:trHeight w:val="22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237,224</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197,516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164,365</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Total revenue increase for the year ended December 31, 2024, compared to 2023, was driven primarily by MACI volume and price growth, in addition to higher Epicel and NexoBrid volume.</w:t>
      </w:r>
    </w:p>
    <w:p>
      <w:pPr>
        <w:spacing w:after="0" w:line="187"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Sales of MACI implants have historically experienced a level of seasonality throughout the year. In the last five years through 2024, MACI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volumes from the first through the fourth quarter on average represented 21% (20%-22% range), 22% (16%-24% range), 23% (21%-26% range) and 34% (33%-38% range) respectively, of total annual volumes. Historically, MACI orders are normally stronger in the fourth quarter due to several factors including the satisfaction by patients of insurance deductible limits and the time of year patients prefer to start rehabilitation. Due to the low incidence and variable occurrence of severe burns, Epicel revenue has inherent variability from quarter-to-quarter and does not exhibit significant seasonality. U.S. sales of NexoBrid began September of 2023 and as such we are still relatively early in its commercial launch, but we do not expect NexoBrid revenue to experience significant seasonality given its emergent use in treating severe burns.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Gross profit increased for the year ended December 31, 2024, compared to the same period in 2023, driven by revenue growth across all products, combined with our primarily fixed manufacturing cost structure, which consists mainly of labor and facility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summarizes research and development expenses, which include materials, professional fees and an allocation of employee-related salary and fringe benefit costs for our research and development projects: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4" w:name="page65"/>
    <w:bookmarkEnd w:id="6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5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5"/>
              </w:rPr>
              <w:t>30.9</w:t>
            </w:r>
          </w:p>
        </w:tc>
        <w:tc>
          <w:tcPr>
            <w:tcW w:w="0" w:type="dxa"/>
            <w:vAlign w:val="bottom"/>
          </w:tcPr>
          <w:p>
            <w:pPr>
              <w:spacing w:after="0"/>
              <w:rPr>
                <w:sz w:val="1"/>
                <w:szCs w:val="1"/>
                <w:color w:val="auto"/>
              </w:rPr>
            </w:pPr>
          </w:p>
        </w:tc>
      </w:tr>
      <w:tr>
        <w:trPr>
          <w:trHeight w:val="22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5"/>
              </w:rPr>
              <w:t>14.1</w:t>
            </w:r>
          </w:p>
        </w:tc>
        <w:tc>
          <w:tcPr>
            <w:tcW w:w="0" w:type="dxa"/>
            <w:vAlign w:val="bottom"/>
          </w:tcPr>
          <w:p>
            <w:pPr>
              <w:spacing w:after="0"/>
              <w:rPr>
                <w:sz w:val="1"/>
                <w:szCs w:val="1"/>
                <w:color w:val="auto"/>
              </w:rPr>
            </w:pPr>
          </w:p>
        </w:tc>
      </w:tr>
      <w:tr>
        <w:trPr>
          <w:trHeight w:val="227"/>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6"/>
              </w:rPr>
              <w:t>(31.5)</w:t>
            </w:r>
          </w:p>
        </w:tc>
        <w:tc>
          <w:tcPr>
            <w:tcW w:w="0" w:type="dxa"/>
            <w:vAlign w:val="bottom"/>
          </w:tcPr>
          <w:p>
            <w:pPr>
              <w:spacing w:after="0"/>
              <w:rPr>
                <w:sz w:val="1"/>
                <w:szCs w:val="1"/>
                <w:color w:val="auto"/>
              </w:rPr>
            </w:pPr>
          </w:p>
        </w:tc>
      </w:tr>
      <w:tr>
        <w:trPr>
          <w:trHeight w:val="22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w w:val="95"/>
              </w:rPr>
              <w:t>17.8</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right="100" w:firstLine="240"/>
        <w:spacing w:after="0" w:line="277"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2024 were $24.8 million, compared to $21.0 million for 2023. The increase is primarily related to MACI arthroscopic development program costs and an increase in headcount and employee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jc w:val="both"/>
        <w:ind w:right="100" w:firstLine="240"/>
        <w:spacing w:after="0" w:line="257"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December 31, 2024 were $142.8 million, compared to $121.0 million for 2023. The increase in selling, general and administrative expenses is primarily due to higher headcount and an increase in employee expenses and stock compensation, the Burlington Lease which commenced in June of 2023, and additional travel, marketing programs and in person events across the commercial organization, including to support the MACI arthroscopic launch.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w:t>
      </w:r>
    </w:p>
    <w:p>
      <w:pPr>
        <w:spacing w:after="0" w:line="249" w:lineRule="exact"/>
        <w:rPr>
          <w:sz w:val="20"/>
          <w:szCs w:val="20"/>
          <w:color w:val="auto"/>
        </w:rPr>
      </w:pPr>
    </w:p>
    <w:p>
      <w:pPr>
        <w:jc w:val="both"/>
        <w:ind w:right="100" w:firstLine="240"/>
        <w:spacing w:after="0" w:line="277" w:lineRule="auto"/>
        <w:rPr>
          <w:sz w:val="20"/>
          <w:szCs w:val="20"/>
          <w:color w:val="auto"/>
        </w:rPr>
      </w:pPr>
      <w:r>
        <w:rPr>
          <w:rFonts w:ascii="Times New Roman" w:cs="Times New Roman" w:eastAsia="Times New Roman" w:hAnsi="Times New Roman"/>
          <w:sz w:val="18"/>
          <w:szCs w:val="18"/>
          <w:color w:val="auto"/>
        </w:rPr>
        <w:t>The change in total other income for the year ended December 31, 2024, was due primarily to fluctuations in the rates of return on our investments in various marketable debt securities and money market funds.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49" w:lineRule="exact"/>
        <w:rPr>
          <w:sz w:val="20"/>
          <w:szCs w:val="20"/>
          <w:color w:val="auto"/>
        </w:rPr>
      </w:pPr>
    </w:p>
    <w:p>
      <w:pPr>
        <w:jc w:val="both"/>
        <w:ind w:right="100" w:firstLine="240"/>
        <w:spacing w:after="0" w:line="262" w:lineRule="auto"/>
        <w:rPr>
          <w:sz w:val="20"/>
          <w:szCs w:val="20"/>
          <w:color w:val="auto"/>
        </w:rPr>
      </w:pPr>
      <w:r>
        <w:rPr>
          <w:rFonts w:ascii="Times New Roman" w:cs="Times New Roman" w:eastAsia="Times New Roman" w:hAnsi="Times New Roman"/>
          <w:sz w:val="18"/>
          <w:szCs w:val="18"/>
          <w:color w:val="auto"/>
        </w:rPr>
        <w:t>For the years ended December 31, 2024 and 2023, we recorded $0.1 million and $0.8 million, respectively, of income tax expense as a result of state income taxes. This is primarily due to the elimination of the option to deduct research and development expenditures immediately in the year incurred and instead amortize such expenditures over five years for tax purposes. We continue to maintain a full valuation allowance on all of our net deferred tax assets.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Non-cash stock-based compensation expense is summarized in the following table: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w w:val="98"/>
              </w:rPr>
              <w:t>2024 vs. 2023</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4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227"/>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27"/>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153"/>
        </w:trPr>
        <w:tc>
          <w:tcPr>
            <w:tcW w:w="344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non-cash stock-based compensation</w:t>
            </w:r>
          </w:p>
        </w:tc>
        <w:tc>
          <w:tcPr>
            <w:tcW w:w="34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36,495</w:t>
            </w:r>
          </w:p>
        </w:tc>
        <w:tc>
          <w:tcPr>
            <w:tcW w:w="42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32,325</w:t>
            </w:r>
          </w:p>
        </w:tc>
        <w:tc>
          <w:tcPr>
            <w:tcW w:w="100" w:type="dxa"/>
            <w:vAlign w:val="bottom"/>
          </w:tcPr>
          <w:p>
            <w:pPr>
              <w:spacing w:after="0"/>
              <w:rPr>
                <w:sz w:val="13"/>
                <w:szCs w:val="13"/>
                <w:color w:val="auto"/>
              </w:rPr>
            </w:pPr>
          </w:p>
        </w:tc>
        <w:tc>
          <w:tcPr>
            <w:tcW w:w="34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37,183</w:t>
            </w:r>
          </w:p>
        </w:tc>
        <w:tc>
          <w:tcPr>
            <w:tcW w:w="100" w:type="dxa"/>
            <w:vAlign w:val="bottom"/>
          </w:tcPr>
          <w:p>
            <w:pPr>
              <w:spacing w:after="0"/>
              <w:rPr>
                <w:sz w:val="13"/>
                <w:szCs w:val="13"/>
                <w:color w:val="auto"/>
              </w:rPr>
            </w:pPr>
          </w:p>
        </w:tc>
        <w:tc>
          <w:tcPr>
            <w:tcW w:w="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1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3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right="100" w:firstLine="240"/>
        <w:spacing w:after="0" w:line="262" w:lineRule="auto"/>
        <w:rPr>
          <w:sz w:val="20"/>
          <w:szCs w:val="20"/>
          <w:color w:val="auto"/>
        </w:rPr>
      </w:pPr>
      <w:r>
        <w:rPr>
          <w:rFonts w:ascii="Times New Roman" w:cs="Times New Roman" w:eastAsia="Times New Roman" w:hAnsi="Times New Roman"/>
          <w:sz w:val="18"/>
          <w:szCs w:val="18"/>
          <w:color w:val="auto"/>
        </w:rPr>
        <w:t>The increase in stock-based compensation expense for the year ended December 31, 2024, is due primarily to fluctuations in stock prices and the mix of service-based options and restricted stock units, which impacts the fair value of the options and restricted stock units awarded and the expense recognized in the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December 31, 2023 and 2022</w:t>
      </w:r>
    </w:p>
    <w:p>
      <w:pPr>
        <w:spacing w:after="0" w:line="251" w:lineRule="exact"/>
        <w:rPr>
          <w:sz w:val="20"/>
          <w:szCs w:val="20"/>
          <w:color w:val="auto"/>
        </w:rPr>
      </w:pPr>
    </w:p>
    <w:p>
      <w:pPr>
        <w:jc w:val="both"/>
        <w:ind w:right="100" w:firstLine="240"/>
        <w:spacing w:after="0" w:line="262" w:lineRule="auto"/>
        <w:rPr>
          <w:sz w:val="20"/>
          <w:szCs w:val="20"/>
          <w:color w:val="auto"/>
        </w:rPr>
      </w:pPr>
      <w:r>
        <w:rPr>
          <w:rFonts w:ascii="Times New Roman" w:cs="Times New Roman" w:eastAsia="Times New Roman" w:hAnsi="Times New Roman"/>
          <w:sz w:val="18"/>
          <w:szCs w:val="18"/>
          <w:color w:val="auto"/>
        </w:rPr>
        <w:t>For a comparison of our results of operations for the fiscal years ended December 31, 2023 and December 31, 2022, see “Part II, Item 7. Management’s Discussion and Analysis of Financial Condition and Results of Operations” of our Annual Report on Form 10-K for the fiscal year ended December 31, 2023, filed with the SEC on February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77" w:right="239" w:bottom="1440" w:gutter="0" w:footer="0" w:header="0"/>
        </w:sectPr>
      </w:pPr>
    </w:p>
    <w:bookmarkStart w:id="65" w:name="page66"/>
    <w:bookmarkEnd w:id="6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80"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7"/>
        </w:trPr>
        <w:tc>
          <w:tcPr>
            <w:tcW w:w="63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17,687</w:t>
            </w:r>
          </w:p>
        </w:tc>
      </w:tr>
      <w:tr>
        <w:trPr>
          <w:trHeight w:val="227"/>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investment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(36,206)</w:t>
            </w:r>
          </w:p>
        </w:tc>
      </w:tr>
      <w:tr>
        <w:trPr>
          <w:trHeight w:val="227"/>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20"/>
        </w:trPr>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(17,474)</w:t>
            </w:r>
          </w:p>
        </w:tc>
      </w:tr>
      <w:tr>
        <w:trPr>
          <w:trHeight w:val="20"/>
        </w:trPr>
        <w:tc>
          <w:tcPr>
            <w:tcW w:w="6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For a discussion of our liquidity and capital resources related to our cash flow activities for the fiscal year ended December 31, 2022, see “Part II, Item 7.</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of our annual report on Form 10-K for the fiscal year 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filed with the SEC on February 29, 2024.</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4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Our cash, cash equivalents, and restricted cash totaled $85.0 million, short-term investments totaled $41.7 million and long-term investments totaled $39.9 million as of December 31, 2024. The $58.2 million of net cash provided by operations in 2024, was primarily the result of net income of $10.4 million, non-cash charges of $36.5 million related to stock compensation expense, $6.7 million in operating lease amortization and $5.5 million in depreciation and amortization expense, partially offset by a net decrease of $0.7 million related to movements in our working capital accounts. The overall decrease in cash from our working capital accounts was primarily driven by an increase in inventory primarily related to supporting NexoBrid commercial availability and an increase in accounts receivable due to higher sales volume, partially offset by an increase in operating lease liabilities due to receipts of tenant improvement allowances which exceeded payments on operating leases amortization.</w:t>
      </w:r>
    </w:p>
    <w:p>
      <w:pPr>
        <w:spacing w:after="0" w:line="213"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Our cash, cash equivalents and restricted cash totaled $86.9 million, short-term investments totaled $40.5 million and long-term investments totaled $25.3 million as of December 31, 2023. The $35.3 million of net cash provided by operations in 2023, was primarily the result of non-cash charges of $32.3 million related to stock compensation expense, $6.1 million in operating lease amortization and $4.6 million in depreciation and amortization expense, offset by a net loss of $3.2 million and a net decrease of $4.1 million related to movements in our working capital accounts. The overall decreases in cash from our working capital accounts were primarily driven by an increase in accounts receivable due to an increase in sales volume, offset by a decrease in inventory due to usage for production needs, an increase of accounts payable and accrued expenses due to timing of payments and receipts of tenant improvement allowances which exceeded payments on operating leases amortization.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2024 was the result of $68.2 million in investment purchases, $64.0 million of property and equipment purchases primarily for construction in process related to the Burlington Lease, partially offset by $53.2 million of investment sales and maturities.</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2023 was the result of $55.2 million in investments purchases, a $7.5 million regulatory milestone payment to MediWound resulting from the FDA’s approval of the NexoBrid BLA, and $20.0 million of property and equipment purchases primarily for construction in process related to the Burlington Lease, partially offset by $79.6 million of investment sales and maturities.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2024 was the result of net proceeds from the exercise of stock options and the employee stock purchase plan of $24.5 million, partially offset by the payment of employee withholding taxes related to the vesting of restricted stock units of $5.5 million.</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2023 was the result of net proceeds from the exercise of stock options and the employee stock purchase plan of $6.0 million, partially offset by the payment of employee withholding taxes related to the vesting of restricted stock units of $2.3 million.</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66" w:name="page67"/>
    <w:bookmarkEnd w:id="66"/>
    <w:p>
      <w:pPr>
        <w:ind w:left="1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37" w:lineRule="exact"/>
        <w:rPr>
          <w:sz w:val="20"/>
          <w:szCs w:val="20"/>
          <w:color w:val="auto"/>
        </w:rPr>
      </w:pPr>
    </w:p>
    <w:p>
      <w:pPr>
        <w:jc w:val="both"/>
        <w:ind w:left="80" w:firstLine="240"/>
        <w:spacing w:after="0" w:line="247" w:lineRule="auto"/>
        <w:rPr>
          <w:sz w:val="20"/>
          <w:szCs w:val="20"/>
          <w:color w:val="auto"/>
        </w:rPr>
      </w:pPr>
      <w:r>
        <w:rPr>
          <w:rFonts w:ascii="Times New Roman" w:cs="Times New Roman" w:eastAsia="Times New Roman" w:hAnsi="Times New Roman"/>
          <w:sz w:val="18"/>
          <w:szCs w:val="18"/>
          <w:color w:val="auto"/>
        </w:rPr>
        <w:t>Since our acquisition of MACI and Epicel in 2014, our primary focus has been to invest in our existing commercial business with the goal of growing revenue. We have raised significant funds in order to advance and complete our product development and product life-cycle management programs and to market and commercialize our products, including NexoBrid. To date, we have financed our operations primarily through cash received through MACI, Epicel and NexoBrid sales, debt, and public and private sales of our equity securities. In the future, we may finance our operations through the sales of equity securities, revolver borrowings or other debt financings, in addition to cash generated from operations.</w:t>
      </w:r>
    </w:p>
    <w:p>
      <w:pPr>
        <w:spacing w:after="0" w:line="202" w:lineRule="exact"/>
        <w:rPr>
          <w:sz w:val="20"/>
          <w:szCs w:val="20"/>
          <w:color w:val="auto"/>
        </w:rPr>
      </w:pPr>
    </w:p>
    <w:p>
      <w:pPr>
        <w:jc w:val="both"/>
        <w:ind w:left="80" w:firstLine="240"/>
        <w:spacing w:after="0" w:line="253" w:lineRule="auto"/>
        <w:rPr>
          <w:sz w:val="20"/>
          <w:szCs w:val="20"/>
          <w:color w:val="auto"/>
        </w:rPr>
      </w:pPr>
      <w:r>
        <w:rPr>
          <w:rFonts w:ascii="Times New Roman" w:cs="Times New Roman" w:eastAsia="Times New Roman" w:hAnsi="Times New Roman"/>
          <w:sz w:val="18"/>
          <w:szCs w:val="18"/>
          <w:color w:val="auto"/>
        </w:rPr>
        <w:t>We believe that our current cash on hand, cash equivalents, investments, and available borrowing capacity will be sufficient to support our current operations through at least 12 months from the issuance of the consolidated financial statements included in this Annual Report on Form 10-K. Our actual cash requirements may differ from projections and will depend on many factors, including the level and pace of future research and development efforts, the scope and results of ongoing and potential clinical trials, the costs involved in filing, prosecuting and enforcing patents, the need for additional manufacturing capacity, competing technological and market developments, global macroeconomic conditions, costs associated with possible acquisitions or development of complementary business activities, and the cost to market our products.</w:t>
      </w:r>
    </w:p>
    <w:p>
      <w:pPr>
        <w:spacing w:after="0" w:line="2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51" w:lineRule="exact"/>
        <w:rPr>
          <w:sz w:val="20"/>
          <w:szCs w:val="20"/>
          <w:color w:val="auto"/>
        </w:rPr>
      </w:pPr>
    </w:p>
    <w:p>
      <w:pPr>
        <w:jc w:val="both"/>
        <w:ind w:left="80" w:firstLine="240"/>
        <w:spacing w:after="0" w:line="254" w:lineRule="auto"/>
        <w:rPr>
          <w:sz w:val="20"/>
          <w:szCs w:val="20"/>
          <w:color w:val="auto"/>
        </w:rPr>
      </w:pPr>
      <w:r>
        <w:rPr>
          <w:rFonts w:ascii="Times New Roman" w:cs="Times New Roman" w:eastAsia="Times New Roman" w:hAnsi="Times New Roman"/>
          <w:sz w:val="18"/>
          <w:szCs w:val="18"/>
          <w:color w:val="222222"/>
        </w:rPr>
        <w:t xml:space="preserve">On July 29, 2022, we entered into a $150.0 million five-year senior secured revolving credit agreement by and among the Company, the other loan parties thereto, the lenders party thereto, and JPMorgan Chase Bank, N.A., as the administrative agent (the “Revolving Credit Agreement”). We have no immediate plans to borrow under the Revolving Credit Agreement, but we may use the facility for working capital needs and other general corporate purposes. 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22222"/>
        </w:rPr>
        <w:t>, there are no outstanding borrowings under the Revolving Credit Agreement, and we are in compliance with all applicable covenant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requirements. See Note 8, “Revolving Credit Agreement” in the accompanying consolidated financial statements for further details.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1" w:lineRule="exact"/>
        <w:rPr>
          <w:sz w:val="20"/>
          <w:szCs w:val="20"/>
          <w:color w:val="auto"/>
        </w:rPr>
      </w:pPr>
    </w:p>
    <w:p>
      <w:pPr>
        <w:jc w:val="both"/>
        <w:ind w:left="80" w:firstLine="240"/>
        <w:spacing w:after="0" w:line="257" w:lineRule="auto"/>
        <w:rPr>
          <w:sz w:val="20"/>
          <w:szCs w:val="20"/>
          <w:color w:val="auto"/>
        </w:rPr>
      </w:pPr>
      <w:r>
        <w:rPr>
          <w:rFonts w:ascii="Times New Roman" w:cs="Times New Roman" w:eastAsia="Times New Roman" w:hAnsi="Times New Roman"/>
          <w:sz w:val="18"/>
          <w:szCs w:val="18"/>
          <w:color w:val="auto"/>
        </w:rPr>
        <w:t>We lease facilities in Ann Arbor, Michigan, Cambridge, Massachusetts and Burlington, Massachusetts. The Cambridge facility includes clean rooms, laboratories for MACI and Epicel manufacturing and office space. We also pay for use of two offsite warehouse spaces and lease equipment. Total remaining obligations related to operating and finance leases are $146.0 million, with $4.4 million of tenant improvement allowances allowed for, as of December 31, 2024.</w:t>
      </w:r>
    </w:p>
    <w:p>
      <w:pPr>
        <w:spacing w:after="0" w:line="208" w:lineRule="exact"/>
        <w:rPr>
          <w:sz w:val="20"/>
          <w:szCs w:val="20"/>
          <w:color w:val="auto"/>
        </w:rPr>
      </w:pPr>
    </w:p>
    <w:p>
      <w:pPr>
        <w:jc w:val="both"/>
        <w:ind w:left="80" w:firstLine="240"/>
        <w:spacing w:after="0" w:line="252" w:lineRule="auto"/>
        <w:rPr>
          <w:sz w:val="20"/>
          <w:szCs w:val="20"/>
          <w:color w:val="auto"/>
        </w:rPr>
      </w:pPr>
      <w:r>
        <w:rPr>
          <w:rFonts w:ascii="Times New Roman" w:cs="Times New Roman" w:eastAsia="Times New Roman" w:hAnsi="Times New Roman"/>
          <w:sz w:val="18"/>
          <w:szCs w:val="18"/>
          <w:color w:val="auto"/>
        </w:rPr>
        <w:t>In April 2023, in connection with the Burlington Lease, we entered into a construction escrow agreement (the “Construction Escrow Agreement”) with the facility’s landlord and an escrow agent. Pursuant to the terms of the Construction Escrow Agreement, in April 2023 we began funding into an escrow account maintained by the escrow agent a portion of our share of tenant improvement construction costs at the facility, which is designated as restricted cash. At the same time, the facility’s landlord began funding a portion of its tenant improvement allowance through a separate escrow account. The Company funded the remaining 50% of its required cost amount, or approximately $28.3 million, with cash on hand, pursuant to the Construction Escrow Agreement in April 2024. Additionally, and in order to support the expansion of our autologous cell manufacturing operations at the new facility in Burlington, we have and continue to invest in the acquisition and installation of certain specialized manufacturing and laboratory equipment.</w:t>
      </w:r>
    </w:p>
    <w:p>
      <w:pPr>
        <w:spacing w:after="0" w:line="213" w:lineRule="exact"/>
        <w:rPr>
          <w:sz w:val="20"/>
          <w:szCs w:val="20"/>
          <w:color w:val="auto"/>
        </w:rPr>
      </w:pPr>
    </w:p>
    <w:p>
      <w:pPr>
        <w:jc w:val="both"/>
        <w:ind w:left="80" w:firstLine="240"/>
        <w:spacing w:after="0" w:line="262" w:lineRule="auto"/>
        <w:rPr>
          <w:sz w:val="20"/>
          <w:szCs w:val="20"/>
          <w:color w:val="auto"/>
        </w:rPr>
      </w:pPr>
      <w:r>
        <w:rPr>
          <w:rFonts w:ascii="Times New Roman" w:cs="Times New Roman" w:eastAsia="Times New Roman" w:hAnsi="Times New Roman"/>
          <w:sz w:val="18"/>
          <w:szCs w:val="18"/>
          <w:color w:val="auto"/>
        </w:rPr>
        <w:t>On July 1, 2023, we renewed our long-term supply agreement with Matricel for the supply of ACI-Maix collagen membranes used in the manufacture of MACI. Under the terms of the Matricel Supply Agreement, we have committed to annual minimum purchase values totaling approximately €12.5 million over the eight-year term.</w:t>
      </w:r>
    </w:p>
    <w:p>
      <w:pPr>
        <w:spacing w:after="0" w:line="203" w:lineRule="exact"/>
        <w:rPr>
          <w:sz w:val="20"/>
          <w:szCs w:val="20"/>
          <w:color w:val="auto"/>
        </w:rPr>
      </w:pPr>
    </w:p>
    <w:p>
      <w:pPr>
        <w:jc w:val="both"/>
        <w:ind w:left="80" w:firstLine="240"/>
        <w:spacing w:after="0" w:line="257" w:lineRule="auto"/>
        <w:rPr>
          <w:sz w:val="20"/>
          <w:szCs w:val="20"/>
          <w:color w:val="auto"/>
        </w:rPr>
      </w:pPr>
      <w:r>
        <w:rPr>
          <w:rFonts w:ascii="Times New Roman" w:cs="Times New Roman" w:eastAsia="Times New Roman" w:hAnsi="Times New Roman"/>
          <w:sz w:val="18"/>
          <w:szCs w:val="18"/>
          <w:color w:val="auto"/>
        </w:rPr>
        <w:t>Our total purchase commitments consist of minimum purchase amounts of raw materials and finished goods used in our cell manufacturing process to manufacture our marketed cell therapy products and total $15.4 million as of December 31, 2024, as well as usage of offsite warehouse space. The total remaining contractual obligations related to the warehouse agreement are $0.9 million as of December 31, 2024. See Note 14, “Commitments and Contingencies” in our accompanying consolidated financial statements for further information.</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material effect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71120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240" w:top="177" w:right="339" w:bottom="1440" w:gutter="0" w:footer="0" w:header="0"/>
        </w:sectPr>
      </w:pPr>
    </w:p>
    <w:bookmarkStart w:id="67" w:name="page68"/>
    <w:bookmarkEnd w:id="6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U.S. generally accepted accounting principles (“GAAP”) requires management to make estimates and assumptions that could materially impact the consolidated financial statements and disclosures based on varying assumptions. We believe our estimates and assumptions are reasonable; however, actual results and the timing of the recognition of such amounts could differ from these estimates.</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is a list of accounting policies that are most significant to the portrayal of our financial condition and results of operations and/or that require management’s most difficult, subjective or complex judgments.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Net Product Sales</w:t>
      </w:r>
    </w:p>
    <w:p>
      <w:pPr>
        <w:spacing w:after="0" w:line="249"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 xml:space="preserve">Revenue from sales to a customer is recognized 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We recognize product revenue from sales to a customer following the five-step model in ASC 606: (i)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 Under this revenue standard, we recognize revenue when our customer obtains control of the promised goods, in an amount that reflects the consideration which we expect to receive in exchange for those goods.</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4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We contract with two specialty pharmacies, Orsini Pharmaceutical Services, Inc. (“Orsini”) and AllCare Plus Pharmacy, Inc. (“AllCare”) to distribute MACI in a manner in which we retain the credit and collection risk from the end customer. We pay each specialty pharmacy a fee in each instance when it dispenses MACI for use in treating a patient. Both Orsini and AllCare perform collection activities to collect payment from customers. In addition, we sell MACI directly to hospitals pursuant to an agreed upon purchase order and to a distributor, DMS Pharmaceutical Group, Inc. (“DMS”) at a contracted rate for the treatment of patients at military facilities throughout the U.S. We engage a third party to provide services in connection with a patient support program to manage patient cases and to ensure that complete and correct billing information is provided to the insurers and hospitals.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product to a patient. We recognize product revenue from sales of all MACI implants upon delivery at which time the customer obtains control of the implant and the claim is billable. The total consideration which we expect to collect in exchange for MACI implants (the “Transaction Price”) may be fixed or variable. Direct sales to hospitals or distributors are recorded at a contracted price, and there are typically no forms of variable consideration.</w:t>
      </w:r>
    </w:p>
    <w:p>
      <w:pPr>
        <w:spacing w:after="0" w:line="20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When we sell MACI through specialty pharmacies, we are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our contractual arrangements. We estimate expected collections for these transactions using the portfolio approach. We record a reduction to revenue at the time of sale for the estimate of the amount of consideration that will not be collected. In addition, potential credit risk exposure has been evaluated for our accounts receivable in accordance with ASC 326</w:t>
      </w:r>
      <w:r>
        <w:rPr>
          <w:rFonts w:ascii="Times New Roman" w:cs="Times New Roman" w:eastAsia="Times New Roman" w:hAnsi="Times New Roman"/>
          <w:sz w:val="18"/>
          <w:szCs w:val="18"/>
          <w:i w:val="1"/>
          <w:iCs w:val="1"/>
          <w:color w:val="auto"/>
        </w:rPr>
        <w:t>, 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We assess risk and determine a loss percentage by pooling accounts receivable based on similar risk characteristics. The loss percentage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calculated through the use of forecasts that are based on current and historical economic and financial information.</w:t>
      </w:r>
    </w:p>
    <w:p>
      <w:pPr>
        <w:spacing w:after="0" w:line="21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They relate primarily to changes in the initial expected reimbursement or collection expectation upon completion of the billing claims process for MACI implants that occurred in a prior year. A 50 basis points change to the estimated uncollectible percentage could result in approximately $0.5 million decrease or increase in the revenue recognized for the year ended December 31,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49"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color w:val="auto"/>
        </w:rPr>
        <w:t xml:space="preserve">We determine if an arrangement is a lease at inception,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Operating lease commitments with a lease term greater than 12 months are recognized as right-of-use (“ROU”) assets and liabilities, on a discounted basis on the balance sheet. Leases with an initial term of 12 months or less are not recorded on the balance sheet. We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8" w:name="page69"/>
    <w:bookmarkEnd w:id="6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primarily enter into lease agreements for manufacturing and office space, warehouse space, and certain equipment. The leases have varying terms, some of which may include options to extend. Certain of our lease agreements include lease payments that are adjusted periodically for an index or rate. The leases are initially measured using the present value of the projected payments adjusted for the index or rate in effect at the commencement date. Our lease agreements do not contain any material residual value guarantees or material restrictive covenants.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ROU assets represent our right to control the use of an explicitly or implicitly identified fixed asset for a period of time and lease liabilities represent our obligation to make lease payments arising from the lease. Control of an underlying asset is conveyed to us if we obtain the rights to direct the use of and to obtain substantially all of the economic benefits from using the underlying asset.</w:t>
      </w:r>
    </w:p>
    <w:p>
      <w:pPr>
        <w:spacing w:after="0" w:line="203" w:lineRule="exact"/>
        <w:rPr>
          <w:sz w:val="20"/>
          <w:szCs w:val="20"/>
          <w:color w:val="auto"/>
        </w:rPr>
      </w:pPr>
    </w:p>
    <w:p>
      <w:pPr>
        <w:jc w:val="both"/>
        <w:ind w:right="20" w:firstLine="240"/>
        <w:spacing w:after="0" w:line="262"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are comprised of fixed payments. Our leases contain non-lease components and activities that do not transfer a good or service to us which were not considered to be components of the contract and therefore were not included in the net ROU assets or lease liabilities.</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lease term for all of our leases include the non-cancellable period of the lease plus any additional periods covered by either an option to extend (or not to terminate) the lease that is reasonably certain to exercise, or an option to extend (or not to terminate) the lease controlled by the lessor.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accounting for stock-based compensation requires us to determine the fair value of common stock issued in the form of stock option awards and restricted stock units. The fair value of restricted stock units held by employees and non-employee directors is determined based on the fair value of our common stock on the date of the grant. We use the value of our common stock at the date of the grant in the calculation of the fair value of our share-based awards. The fair value of stock options held by our employees and non-employee directors is determined using a Black-Scholes option valuation method, which is a valuation technique that is acceptable for share-based payment accounting. Key assumptions in determining fair value include volatility, risk-free interest rate, dividend yield and expected term. The assumptions used in calculating the fair value of stock options represent our best estimates; however, these estimates involve inherent uncertainties and the application of management’s judgment. As a result, if factors change and different assumptions are used, the stock-based compensation expense could be materially different in the future. In addition, we estimate the expected forfeiture rate and only recognize expense for those stock options expected to vest over the service period. We estimate the forfeiture rate considering the historical experience of our stock-based awards. If the actual forfeiture rate is different from the estimate, we adjust the expense accordingly. We record the expense for stock options and restricted stock units using a graded-vesting attribution method.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Valuation Allowance</w:t>
      </w:r>
    </w:p>
    <w:p>
      <w:pPr>
        <w:spacing w:after="0" w:line="23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 valuation allowance is recorded if it is more likely than not that a deferred tax asset will not be realized based on the weight of available evidence, both positive and negative. Due to our three-year cumulative loss position and history of operating losses, a full valuation allowance against our net deferred tax assets was considered necessary. We will continue to monitor our cumulative loss position and forecasts and reevaluate the need for a valuation allowance as it could be reversed in future periods.</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This summary of significant accounting policies should be read in conjunction with our consolidated financial statements and related notes and this discussion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1"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in the accompanying consolidated financial statements located under Item 8 of this Annual Report on Form 10-K for information regarding recently issued accounting standards that may have a significant impact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As of December 31, 2024, we held marketable debt securities, which are classified as available-for-sale and carried at fair value in the accompanying consolidated balance sheet included in this Form 10-K. The fair value of our cash equivalents and marketable securities is subject to changes in market interest rates. Our earnings and cash flows are subject to fluctuations due to changes in interest rates, principally in connection with our investments in marketable debt securities. We believe that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probable near-term changes in interest rates would not materially affect our financial condition, results of operations or cash flows. We do not currently use interest rate derivative instruments or hedging transactions to manage exposure to interest rate changes of our investments. We estimate that a 100 basis point, or 1%, unfavorable change in interest rates would have resulted in approximately a $0.8 million decrease in the fair value of our investment portfolio as of December 31, 2024.</w:t>
      </w:r>
    </w:p>
    <w:p>
      <w:pPr>
        <w:spacing w:after="0" w:line="208"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We are also subject to interest rate risks in connection with our Revolving Credit Agreement, which is variable rate indebtedness. As of December 31, 2024, there were no borrowings outstanding under the Revolving Credit Agreement. To the extent that we have outstanding borrowings under the Revolving Credit Agreement, we may increase our exposure to risk from interest rate fluctuations which may have a negative impact on our earnings and cash flows.</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have evaluated the potential credit risk exposure for our accounts receivable and available-for sale investment securities in accordance with ASC 326</w:t>
      </w:r>
      <w:r>
        <w:rPr>
          <w:rFonts w:ascii="Times New Roman" w:cs="Times New Roman" w:eastAsia="Times New Roman" w:hAnsi="Times New Roman"/>
          <w:sz w:val="17"/>
          <w:szCs w:val="17"/>
          <w:i w:val="1"/>
          <w:iCs w:val="1"/>
          <w:color w:val="auto"/>
        </w:rPr>
        <w:t>,</w:t>
      </w:r>
    </w:p>
    <w:p>
      <w:pPr>
        <w:spacing w:after="0" w:line="13"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See Note 3 and Note 6 in the accompanying consolidated financial statements located under Item 8 of this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10-K for further discussion.</w:t>
      </w:r>
    </w:p>
    <w:p>
      <w:pPr>
        <w:spacing w:after="0" w:line="20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operate in the U.S. only. We are primarily exposed to foreign exchange risk with respect to recognized assets and liabilities due to vendors in countries outside the U.S., which are typically paid in Euros. We do not enter into hedging transactions and do not purchase derivative instruments.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0" w:name="page71"/>
    <w:bookmarkEnd w:id="7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Consolidated Financial Statements and Supplementary Data</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2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0200" w:type="dxa"/>
            <w:vAlign w:val="bottom"/>
            <w:gridSpan w:val="8"/>
            <w:vMerge w:val="restart"/>
          </w:tcPr>
          <w:p>
            <w:pPr>
              <w:spacing w:after="0" w:line="19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E32E1"/>
              </w:rPr>
              <w:t>238</w:t>
            </w:r>
            <w:r>
              <w:rPr>
                <w:rFonts w:ascii="Times New Roman" w:cs="Times New Roman" w:eastAsia="Times New Roman" w:hAnsi="Times New Roman"/>
                <w:sz w:val="18"/>
                <w:szCs w:val="18"/>
                <w:u w:val="single" w:color="auto"/>
                <w:color w:val="0000FF"/>
              </w:rPr>
              <w:t>)</w:t>
            </w: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0200" w:type="dxa"/>
            <w:vAlign w:val="bottom"/>
            <w:gridSpan w:val="8"/>
            <w:vMerge w:val="continue"/>
          </w:tcPr>
          <w:p>
            <w:pPr>
              <w:spacing w:after="0"/>
              <w:rPr>
                <w:sz w:val="14"/>
                <w:szCs w:val="14"/>
                <w:color w:val="auto"/>
              </w:rPr>
            </w:pPr>
          </w:p>
        </w:tc>
        <w:tc>
          <w:tcPr>
            <w:tcW w:w="98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7"/>
                <w:szCs w:val="17"/>
                <w:color w:val="0000FF"/>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6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6060" w:type="dxa"/>
            <w:vAlign w:val="bottom"/>
            <w:gridSpan w:val="2"/>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r>
              <w:rPr>
                <w:rFonts w:ascii="Times New Roman" w:cs="Times New Roman" w:eastAsia="Times New Roman" w:hAnsi="Times New Roman"/>
                <w:sz w:val="18"/>
                <w:szCs w:val="18"/>
                <w:color w:val="000000"/>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Consolidated Statements of Shareholders’ Equity</w:t>
            </w:r>
          </w:p>
        </w:tc>
        <w:tc>
          <w:tcPr>
            <w:tcW w:w="620" w:type="dxa"/>
            <w:vAlign w:val="bottom"/>
          </w:tcPr>
          <w:p>
            <w:pPr>
              <w:spacing w:after="0"/>
              <w:rPr>
                <w:sz w:val="17"/>
                <w:szCs w:val="17"/>
                <w:color w:val="auto"/>
              </w:rPr>
            </w:pPr>
          </w:p>
        </w:tc>
        <w:tc>
          <w:tcPr>
            <w:tcW w:w="6060" w:type="dxa"/>
            <w:vAlign w:val="bottom"/>
            <w:gridSpan w:val="2"/>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680" w:type="dxa"/>
            <w:vAlign w:val="bottom"/>
            <w:gridSpan w:val="2"/>
          </w:tcPr>
          <w:p>
            <w:pPr>
              <w:spacing w:after="0"/>
              <w:rPr>
                <w:sz w:val="17"/>
                <w:szCs w:val="17"/>
                <w:color w:val="auto"/>
              </w:rPr>
            </w:pPr>
          </w:p>
        </w:tc>
        <w:tc>
          <w:tcPr>
            <w:tcW w:w="6680" w:type="dxa"/>
            <w:vAlign w:val="bottom"/>
            <w:gridSpan w:val="3"/>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Notes to Consolidated Financial Statements</w:t>
            </w:r>
          </w:p>
        </w:tc>
        <w:tc>
          <w:tcPr>
            <w:tcW w:w="7080" w:type="dxa"/>
            <w:vAlign w:val="bottom"/>
            <w:gridSpan w:val="4"/>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Vericel Corporation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Vericel Corporation and its subsidiaries (the “Company”) as of December 31, 2024 and 2023, and the related consolidated statements of operations, of comprehensive loss, of shareholders'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21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2" w:name="page73"/>
    <w:bookmarkEnd w:id="7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1"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Allowances Related to MACI Implant Sales Subject to Third Party Reimbursement</w:t>
      </w:r>
    </w:p>
    <w:p>
      <w:pPr>
        <w:spacing w:after="0" w:line="2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when the Company sells MACI implants to patients, the Company is typically reimbursed by a third-party insurer or government payer, subject to a patient co-pay amount. The Company records a reduction of revenue at the time of sale for its estimate of the amount of consideration that will not be collected.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As of December 31, 2024, the allowance for uncollectible consideration was $5.4 million.</w:t>
      </w:r>
    </w:p>
    <w:p>
      <w:pPr>
        <w:spacing w:after="0" w:line="21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relating to contractual allowances related to MACI implant sales subject to third party reimbursement is a critical audit matter are (i) the significant judgment by management when developing the estimates of contractual allowances and (ii) a high degree of auditor judgment, subjectivity and effort in performing procedures related to historical collection experience from the payer.</w:t>
      </w:r>
    </w:p>
    <w:p>
      <w:pPr>
        <w:spacing w:after="0" w:line="187"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relating to MACI implant sales subject to third party reimbursement, as well as the assumptions used to estimate the contractual allowance. These procedures also included, among others, (i) testing management’s process for developing the estimates of contractual allowances; (ii) evaluating the appropriateness of the methodology used by management; (iii) testing the completeness and accuracy of underlying data; and (iv) evaluating the reasonableness of the significant assumptions used by management related to historical collection experience from the payer by testing, on a sample basis, historical collection data, current contracted rates, publicly available rates or government fee schedules.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2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We have served as the Company’s auditor since at least 1996, which is when the Company became subject to SEC reporting requirements. We have not been able to determine the specific year we began serving as auditor of the Company.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77" w:right="379" w:bottom="1440" w:gutter="0" w:footer="0" w:header="0"/>
        </w:sectPr>
      </w:pPr>
    </w:p>
    <w:bookmarkStart w:id="73" w:name="page74"/>
    <w:bookmarkEnd w:id="7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69,088</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40,469</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$10 and $43, respectively)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58,356</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205,631</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41,635</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73,462</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investments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25,283</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45"/>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432,722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353,657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2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23,848</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22,347</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45,749</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81,856</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127,705</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28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 49,628 and 47,829,</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684,778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629,229</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(403,177)</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291,967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225,952</w:t>
            </w:r>
          </w:p>
        </w:tc>
        <w:tc>
          <w:tcPr>
            <w:tcW w:w="0" w:type="dxa"/>
            <w:vAlign w:val="bottom"/>
          </w:tcPr>
          <w:p>
            <w:pPr>
              <w:spacing w:after="0"/>
              <w:rPr>
                <w:sz w:val="1"/>
                <w:szCs w:val="1"/>
                <w:color w:val="auto"/>
              </w:rPr>
            </w:pPr>
          </w:p>
        </w:tc>
      </w:tr>
      <w:tr>
        <w:trPr>
          <w:trHeight w:val="22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432,722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353,657</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77" w:right="399" w:bottom="1440" w:gutter="0" w:footer="0" w:header="0"/>
        </w:sectPr>
      </w:pPr>
    </w:p>
    <w:bookmarkStart w:id="74" w:name="page75"/>
    <w:bookmarkEnd w:id="7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163,698</w:t>
            </w:r>
          </w:p>
        </w:tc>
        <w:tc>
          <w:tcPr>
            <w:tcW w:w="0" w:type="dxa"/>
            <w:vAlign w:val="bottom"/>
          </w:tcPr>
          <w:p>
            <w:pPr>
              <w:spacing w:after="0"/>
              <w:rPr>
                <w:sz w:val="1"/>
                <w:szCs w:val="1"/>
                <w:color w:val="auto"/>
              </w:rPr>
            </w:pPr>
          </w:p>
        </w:tc>
      </w:tr>
      <w:tr>
        <w:trPr>
          <w:trHeight w:val="227"/>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20"/>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164,365</w:t>
            </w:r>
          </w:p>
        </w:tc>
        <w:tc>
          <w:tcPr>
            <w:tcW w:w="0" w:type="dxa"/>
            <w:vAlign w:val="bottom"/>
          </w:tcPr>
          <w:p>
            <w:pPr>
              <w:spacing w:after="0"/>
              <w:rPr>
                <w:sz w:val="1"/>
                <w:szCs w:val="1"/>
                <w:color w:val="auto"/>
              </w:rPr>
            </w:pPr>
          </w:p>
        </w:tc>
      </w:tr>
      <w:tr>
        <w:trPr>
          <w:trHeight w:val="227"/>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54,577</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109,788</w:t>
            </w:r>
          </w:p>
        </w:tc>
        <w:tc>
          <w:tcPr>
            <w:tcW w:w="0" w:type="dxa"/>
            <w:vAlign w:val="bottom"/>
          </w:tcPr>
          <w:p>
            <w:pPr>
              <w:spacing w:after="0"/>
              <w:rPr>
                <w:sz w:val="1"/>
                <w:szCs w:val="1"/>
                <w:color w:val="auto"/>
              </w:rPr>
            </w:pPr>
          </w:p>
        </w:tc>
      </w:tr>
      <w:tr>
        <w:trPr>
          <w:trHeight w:val="22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106,903</w:t>
            </w:r>
          </w:p>
        </w:tc>
        <w:tc>
          <w:tcPr>
            <w:tcW w:w="0" w:type="dxa"/>
            <w:vAlign w:val="bottom"/>
          </w:tcPr>
          <w:p>
            <w:pPr>
              <w:spacing w:after="0"/>
              <w:rPr>
                <w:sz w:val="1"/>
                <w:szCs w:val="1"/>
                <w:color w:val="auto"/>
              </w:rPr>
            </w:pPr>
          </w:p>
        </w:tc>
      </w:tr>
      <w:tr>
        <w:trPr>
          <w:trHeight w:val="220"/>
        </w:trPr>
        <w:tc>
          <w:tcPr>
            <w:tcW w:w="6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126,846</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(17,058)</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27"/>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0"/>
        </w:trPr>
        <w:tc>
          <w:tcPr>
            <w:tcW w:w="6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0" w:type="dxa"/>
            <w:vAlign w:val="bottom"/>
          </w:tcPr>
          <w:p>
            <w:pPr>
              <w:spacing w:after="0"/>
              <w:rPr>
                <w:sz w:val="1"/>
                <w:szCs w:val="1"/>
                <w:color w:val="auto"/>
              </w:rPr>
            </w:pPr>
          </w:p>
        </w:tc>
      </w:tr>
      <w:tr>
        <w:trPr>
          <w:trHeight w:val="227"/>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45"/>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7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8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47,130</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77" w:right="399" w:bottom="1440" w:gutter="0" w:footer="0" w:header="0"/>
        </w:sectPr>
      </w:pPr>
    </w:p>
    <w:bookmarkStart w:id="75" w:name="page76"/>
    <w:bookmarkEnd w:id="7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
        </w:trPr>
        <w:tc>
          <w:tcPr>
            <w:tcW w:w="5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7"/>
        </w:trPr>
        <w:tc>
          <w:tcPr>
            <w:tcW w:w="57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w:t>
            </w:r>
          </w:p>
        </w:tc>
      </w:tr>
      <w:tr>
        <w:trPr>
          <w:trHeight w:val="227"/>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10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(17,533)</w:t>
            </w: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4560" w:type="dxa"/>
            <w:vAlign w:val="bottom"/>
          </w:tcPr>
          <w:p>
            <w:pPr>
              <w:spacing w:after="0"/>
              <w:rPr>
                <w:sz w:val="12"/>
                <w:szCs w:val="12"/>
                <w:color w:val="auto"/>
              </w:rPr>
            </w:pPr>
          </w:p>
        </w:tc>
        <w:tc>
          <w:tcPr>
            <w:tcW w:w="172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560" w:type="dxa"/>
            <w:vAlign w:val="bottom"/>
          </w:tcPr>
          <w:p>
            <w:pPr>
              <w:spacing w:after="0"/>
              <w:rPr>
                <w:sz w:val="16"/>
                <w:szCs w:val="16"/>
                <w:color w:val="auto"/>
              </w:rPr>
            </w:pPr>
          </w:p>
        </w:tc>
        <w:tc>
          <w:tcPr>
            <w:tcW w:w="172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Shareholders’</w:t>
            </w:r>
          </w:p>
        </w:tc>
        <w:tc>
          <w:tcPr>
            <w:tcW w:w="0" w:type="dxa"/>
            <w:vAlign w:val="bottom"/>
          </w:tcPr>
          <w:p>
            <w:pPr>
              <w:spacing w:after="0"/>
              <w:rPr>
                <w:sz w:val="1"/>
                <w:szCs w:val="1"/>
                <w:color w:val="auto"/>
              </w:rPr>
            </w:pPr>
          </w:p>
        </w:tc>
      </w:tr>
      <w:tr>
        <w:trPr>
          <w:trHeight w:val="193"/>
        </w:trPr>
        <w:tc>
          <w:tcPr>
            <w:tcW w:w="4560" w:type="dxa"/>
            <w:vAlign w:val="bottom"/>
          </w:tcPr>
          <w:p>
            <w:pPr>
              <w:spacing w:after="0"/>
              <w:rPr>
                <w:sz w:val="16"/>
                <w:szCs w:val="16"/>
                <w:color w:val="auto"/>
              </w:rPr>
            </w:pPr>
          </w:p>
        </w:tc>
        <w:tc>
          <w:tcPr>
            <w:tcW w:w="7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5"/>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553,902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170,462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(16,709)</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37,183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37,183</w:t>
            </w:r>
          </w:p>
        </w:tc>
        <w:tc>
          <w:tcPr>
            <w:tcW w:w="0" w:type="dxa"/>
            <w:vAlign w:val="bottom"/>
          </w:tcPr>
          <w:p>
            <w:pPr>
              <w:spacing w:after="0"/>
              <w:rPr>
                <w:sz w:val="1"/>
                <w:szCs w:val="1"/>
                <w:color w:val="auto"/>
              </w:rPr>
            </w:pPr>
          </w:p>
        </w:tc>
      </w:tr>
      <w:tr>
        <w:trPr>
          <w:trHeight w:val="192"/>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under the Employee Stock Purchase Plan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227"/>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stock for restricted stock unit vesting</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withheld for employee tax remittance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0" w:type="dxa"/>
            <w:vAlign w:val="bottom"/>
          </w:tcPr>
          <w:p>
            <w:pPr>
              <w:spacing w:after="0"/>
              <w:rPr>
                <w:sz w:val="1"/>
                <w:szCs w:val="1"/>
                <w:color w:val="auto"/>
              </w:rPr>
            </w:pPr>
          </w:p>
        </w:tc>
      </w:tr>
      <w:tr>
        <w:trPr>
          <w:trHeight w:val="193"/>
        </w:trPr>
        <w:tc>
          <w:tcPr>
            <w:tcW w:w="4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Unrealized loss on investments</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593,245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(399,995)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192,272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32,325</w:t>
            </w:r>
          </w:p>
        </w:tc>
        <w:tc>
          <w:tcPr>
            <w:tcW w:w="0" w:type="dxa"/>
            <w:vAlign w:val="bottom"/>
          </w:tcPr>
          <w:p>
            <w:pPr>
              <w:spacing w:after="0"/>
              <w:rPr>
                <w:sz w:val="1"/>
                <w:szCs w:val="1"/>
                <w:color w:val="auto"/>
              </w:rPr>
            </w:pPr>
          </w:p>
        </w:tc>
      </w:tr>
      <w:tr>
        <w:trPr>
          <w:trHeight w:val="192"/>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under the Employee Stock Purchase Plan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0" w:type="dxa"/>
            <w:vAlign w:val="bottom"/>
          </w:tcPr>
          <w:p>
            <w:pPr>
              <w:spacing w:after="0"/>
              <w:rPr>
                <w:sz w:val="1"/>
                <w:szCs w:val="1"/>
                <w:color w:val="auto"/>
              </w:rPr>
            </w:pPr>
          </w:p>
        </w:tc>
      </w:tr>
      <w:tr>
        <w:trPr>
          <w:trHeight w:val="227"/>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stock for restricted stock unit vesting</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withheld for employee tax remittance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r>
        <w:trPr>
          <w:trHeight w:val="193"/>
        </w:trPr>
        <w:tc>
          <w:tcPr>
            <w:tcW w:w="4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Unrealized gain on investments</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629,229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(403,177)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225,952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10,362</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36,495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36,495</w:t>
            </w:r>
          </w:p>
        </w:tc>
        <w:tc>
          <w:tcPr>
            <w:tcW w:w="0" w:type="dxa"/>
            <w:vAlign w:val="bottom"/>
          </w:tcPr>
          <w:p>
            <w:pPr>
              <w:spacing w:after="0"/>
              <w:rPr>
                <w:sz w:val="1"/>
                <w:szCs w:val="1"/>
                <w:color w:val="auto"/>
              </w:rPr>
            </w:pPr>
          </w:p>
        </w:tc>
      </w:tr>
      <w:tr>
        <w:trPr>
          <w:trHeight w:val="192"/>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23,125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23,125</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under the Employee Stock Purchase Plan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0" w:type="dxa"/>
            <w:vAlign w:val="bottom"/>
          </w:tcPr>
          <w:p>
            <w:pPr>
              <w:spacing w:after="0"/>
              <w:rPr>
                <w:sz w:val="1"/>
                <w:szCs w:val="1"/>
                <w:color w:val="auto"/>
              </w:rPr>
            </w:pPr>
          </w:p>
        </w:tc>
      </w:tr>
      <w:tr>
        <w:trPr>
          <w:trHeight w:val="192"/>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stock for restricted stock unit vesting</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withheld for employee tax remittance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(5,462)</w:t>
            </w:r>
          </w:p>
        </w:tc>
        <w:tc>
          <w:tcPr>
            <w:tcW w:w="0" w:type="dxa"/>
            <w:vAlign w:val="bottom"/>
          </w:tcPr>
          <w:p>
            <w:pPr>
              <w:spacing w:after="0"/>
              <w:rPr>
                <w:sz w:val="1"/>
                <w:szCs w:val="1"/>
                <w:color w:val="auto"/>
              </w:rPr>
            </w:pPr>
          </w:p>
        </w:tc>
      </w:tr>
      <w:tr>
        <w:trPr>
          <w:trHeight w:val="193"/>
        </w:trPr>
        <w:tc>
          <w:tcPr>
            <w:tcW w:w="4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Unrealized gain on investments</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49,628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684,778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(392,815)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291,967</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11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00"/>
          </w:cols>
          <w:pgMar w:left="340" w:top="177" w:right="859" w:bottom="144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6"/>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r>
      <w:tr>
        <w:trPr>
          <w:trHeight w:val="25"/>
        </w:trPr>
        <w:tc>
          <w:tcPr>
            <w:tcW w:w="7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7"/>
        </w:trPr>
        <w:tc>
          <w:tcPr>
            <w:tcW w:w="7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 from operating activities: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r>
      <w:tr>
        <w:trPr>
          <w:trHeight w:val="227"/>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37,183</w:t>
            </w:r>
          </w:p>
        </w:tc>
      </w:tr>
      <w:tr>
        <w:trPr>
          <w:trHeight w:val="227"/>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7"/>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7"/>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costs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r>
      <w:tr>
        <w:trPr>
          <w:trHeight w:val="227"/>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 and liabilities,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7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17,687</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(69,554)</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40,944</w:t>
            </w: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7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(79,034)</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(36,206)</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common stock issuance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2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employee's behalf for taxes related to vesting of restricted stock unit awards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0"/>
        </w:trPr>
        <w:tc>
          <w:tcPr>
            <w:tcW w:w="7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w:t>
            </w:r>
          </w:p>
        </w:tc>
      </w:tr>
      <w:tr>
        <w:trPr>
          <w:trHeight w:val="227"/>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86,866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68,541</w:t>
            </w:r>
          </w:p>
        </w:tc>
      </w:tr>
      <w:tr>
        <w:trPr>
          <w:trHeight w:val="245"/>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320" w:top="177" w:right="499" w:bottom="1440" w:gutter="0" w:footer="0" w:header="0"/>
        </w:sectPr>
      </w:pPr>
    </w:p>
    <w:bookmarkStart w:id="78" w:name="page79"/>
    <w:bookmarkEnd w:id="7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67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1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information:</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and operating lease liabilities recognized</w:t>
            </w:r>
          </w:p>
        </w:tc>
        <w:tc>
          <w:tcPr>
            <w:tcW w:w="3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40" w:type="dxa"/>
            <w:vAlign w:val="bottom"/>
            <w:shd w:val="clear" w:color="auto" w:fill="CCEEFF"/>
          </w:tcPr>
          <w:p>
            <w:pPr>
              <w:spacing w:after="0"/>
              <w:rPr>
                <w:sz w:val="19"/>
                <w:szCs w:val="19"/>
                <w:color w:val="auto"/>
              </w:rPr>
            </w:pPr>
          </w:p>
        </w:tc>
        <w:tc>
          <w:tcPr>
            <w:tcW w:w="440" w:type="dxa"/>
            <w:vAlign w:val="bottom"/>
            <w:gridSpan w:val="4"/>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37,960</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r>
      <w:tr>
        <w:trPr>
          <w:trHeight w:val="227"/>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obtained in exchange for financing lease liabilities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7"/>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to property and equipment and intangible assets included in accounts payable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w:t>
            </w:r>
          </w:p>
        </w:tc>
        <w:tc>
          <w:tcPr>
            <w:tcW w:w="100" w:type="dxa"/>
            <w:vAlign w:val="bottom"/>
          </w:tcPr>
          <w:p>
            <w:pPr>
              <w:spacing w:after="0"/>
              <w:rPr>
                <w:sz w:val="19"/>
                <w:szCs w:val="19"/>
                <w:color w:val="auto"/>
              </w:rPr>
            </w:pPr>
          </w:p>
        </w:tc>
      </w:tr>
      <w:tr>
        <w:trPr>
          <w:trHeight w:val="22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information:</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3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40" w:type="dxa"/>
            <w:vAlign w:val="bottom"/>
            <w:shd w:val="clear" w:color="auto" w:fill="CCEEFF"/>
          </w:tcPr>
          <w:p>
            <w:pPr>
              <w:spacing w:after="0"/>
              <w:rPr>
                <w:sz w:val="19"/>
                <w:szCs w:val="19"/>
                <w:color w:val="auto"/>
              </w:rPr>
            </w:pPr>
          </w:p>
        </w:tc>
        <w:tc>
          <w:tcPr>
            <w:tcW w:w="440" w:type="dxa"/>
            <w:vAlign w:val="bottom"/>
            <w:gridSpan w:val="4"/>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r>
      <w:tr>
        <w:trPr>
          <w:trHeight w:val="232"/>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paid</w:t>
            </w:r>
          </w:p>
        </w:tc>
        <w:tc>
          <w:tcPr>
            <w:tcW w:w="380" w:type="dxa"/>
            <w:vAlign w:val="bottom"/>
            <w:gridSpan w:val="2"/>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40" w:type="dxa"/>
            <w:vAlign w:val="bottom"/>
          </w:tcPr>
          <w:p>
            <w:pPr>
              <w:spacing w:after="0"/>
              <w:rPr>
                <w:sz w:val="20"/>
                <w:szCs w:val="20"/>
                <w:color w:val="auto"/>
              </w:rPr>
            </w:pPr>
          </w:p>
        </w:tc>
        <w:tc>
          <w:tcPr>
            <w:tcW w:w="440" w:type="dxa"/>
            <w:vAlign w:val="bottom"/>
            <w:gridSpan w:val="4"/>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20"/>
                <w:szCs w:val="20"/>
                <w:color w:val="auto"/>
              </w:rPr>
            </w:pPr>
          </w:p>
        </w:tc>
        <w:tc>
          <w:tcPr>
            <w:tcW w:w="38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370"/>
        </w:trPr>
        <w:tc>
          <w:tcPr>
            <w:tcW w:w="6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gridSpan w:val="8"/>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
        </w:trPr>
        <w:tc>
          <w:tcPr>
            <w:tcW w:w="67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r>
      <w:tr>
        <w:trPr>
          <w:trHeight w:val="21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amounts within the consolidated balance sheets: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7"/>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74,520</w:t>
            </w:r>
          </w:p>
        </w:tc>
        <w:tc>
          <w:tcPr>
            <w:tcW w:w="40" w:type="dxa"/>
            <w:vAlign w:val="bottom"/>
          </w:tcPr>
          <w:p>
            <w:pPr>
              <w:spacing w:after="0"/>
              <w:rPr>
                <w:sz w:val="19"/>
                <w:szCs w:val="19"/>
                <w:color w:val="auto"/>
              </w:rPr>
            </w:pPr>
          </w:p>
        </w:tc>
        <w:tc>
          <w:tcPr>
            <w:tcW w:w="440" w:type="dxa"/>
            <w:vAlign w:val="bottom"/>
            <w:gridSpan w:val="4"/>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69,088</w:t>
            </w:r>
          </w:p>
        </w:tc>
        <w:tc>
          <w:tcPr>
            <w:tcW w:w="100" w:type="dxa"/>
            <w:vAlign w:val="bottom"/>
          </w:tcPr>
          <w:p>
            <w:pPr>
              <w:spacing w:after="0"/>
              <w:rPr>
                <w:sz w:val="19"/>
                <w:szCs w:val="19"/>
                <w:color w:val="auto"/>
              </w:rPr>
            </w:pPr>
          </w:p>
        </w:tc>
        <w:tc>
          <w:tcPr>
            <w:tcW w:w="3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51,067</w:t>
            </w:r>
          </w:p>
        </w:tc>
      </w:tr>
      <w:tr>
        <w:trPr>
          <w:trHeight w:val="227"/>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period</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85,049</w:t>
            </w:r>
          </w:p>
        </w:tc>
        <w:tc>
          <w:tcPr>
            <w:tcW w:w="4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86,866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51,067</w:t>
            </w:r>
          </w:p>
        </w:tc>
      </w:tr>
      <w:tr>
        <w:trPr>
          <w:trHeight w:val="20"/>
        </w:trPr>
        <w:tc>
          <w:tcPr>
            <w:tcW w:w="6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9" w:name="page80"/>
    <w:bookmarkEnd w:id="7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4" w:lineRule="exact"/>
        <w:rPr>
          <w:sz w:val="20"/>
          <w:szCs w:val="20"/>
          <w:color w:val="auto"/>
        </w:rPr>
      </w:pPr>
    </w:p>
    <w:p>
      <w:pPr>
        <w:jc w:val="both"/>
        <w:ind w:firstLine="240"/>
        <w:spacing w:after="0" w:line="259" w:lineRule="auto"/>
        <w:rPr>
          <w:sz w:val="20"/>
          <w:szCs w:val="20"/>
          <w:color w:val="auto"/>
        </w:rPr>
      </w:pPr>
      <w:r>
        <w:rPr>
          <w:rFonts w:ascii="Times New Roman" w:cs="Times New Roman" w:eastAsia="Times New Roman" w:hAnsi="Times New Roman"/>
          <w:sz w:val="18"/>
          <w:szCs w:val="18"/>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is a leading provider of advanced therapies for the sports medicine and severe burn care markets. Vericel currently markets three commercial-stage products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MACI (autologous cultured chondrocytes on porcine collagen membrane) is an autologous cellularized scaffold product that is indicated for the repair of symptomatic, single or multiple full-thickness cartilage defects of the knee with or without bone involvement in adults. Since MACI’s commercial launch, the product’s FDA-approved labeling has provided for a treating surgeon to use MACI to treat a patient through an open surgical procedure. In August 2024, the U.S. Food &amp; Drug Administration (“FDA”) approved a supplemental Biologics License Application (“sBLA”) expanding the MACI indication to add instructions for the arthroscopic delivery of MACI to the product’s approved labeling. MACI Arthro™ allows surgeons to evaluate and prepare the cartilage defect site as well as deliver the MACI implant through small incisions using custom-designed arthroscopic instruments developed by the Company (“MACI Arthro instruments”). MACI Arthro became commercially available in the United States during the third quarter of 2024 and the Company began selling the MACI Arthro instruments at that time.</w:t>
      </w:r>
    </w:p>
    <w:p>
      <w:pPr>
        <w:spacing w:after="0" w:line="21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Epicel (cultured epidermal autografts) is a permanent skin replacement indicated for the treatment of adult and pediatric patients with deep-dermal or full-thickness burns comprising greater than or equal to 30 percent of a patient’s total body surface area (“TBSA”). The Company also holds an exclusive license from MediWound Ltd. (“MediWound”) for North American rights to NexoBrid (anacaulase-bcdb), a topically administered biological orphan product containing proteolytic enzymes, which is indicated for the removal of eschar in adult and pediatric patients with deep partial-thickness and/or full thickness thermal burns.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life sciences industry including, but not limited to, development by the Company or its competitors of new technological innovations, dependence on key personnel, protection of proprietary technology, commercialization of existing and new products, and compliance with FDA regulations and approval requirements, as well as the ability to grow the Company’s business through appropriate commercial strategies.</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Ongoing Conflicts in the Middle East</w:t>
      </w:r>
    </w:p>
    <w:p>
      <w:pPr>
        <w:spacing w:after="0" w:line="237"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May 2019, the Company entered into exclusive license and supply agreements with MediWound, under which MediWound manufactures and supplies NexoBrid to the U.S. market on a unit price basis. MediWound develops and manufactures NexoBrid, in part, at its facilities in Yavne, Israel.</w:t>
      </w:r>
    </w:p>
    <w:p>
      <w:pPr>
        <w:spacing w:after="0" w:line="18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Company continues to monitor the ongoing conflicts in the Middle East region involving Israel, and the Company is in close communication with MediWound leadership. MediWound’s NexoBrid manufacturing operations are continuing and, as of the date of this disclosure, MediWound does not anticipate a material disruption to its ongoing supply of commercial NexoBrid to the United States. To the extent the conflicts in the Middle East region intensify or expand and MediWound’s facilities in Israel are damaged or destroyed, travel to and from Israel is halted or inhibited, or significant key MediWound operational personnel are called to military service, MediWound’s ability to continue to supply NexoBrid to the U.S. market could be disrupted. As of the date of this report, the Company maintains an ample supply of NexoBrid at its U.S.-based third-party logistics provider.</w:t>
      </w:r>
    </w:p>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222222"/>
        </w:rPr>
        <w:t xml:space="preserve">The accompanying consolidated financial statements have been prepared on a basis which assumes that the Company will continue as a going concern and contemplates the realization of assets and the satisfaction of liabilities and commitments in the normal course of business. As of December 31, 2024, the Company had an accumulated deficit of $392.8 million and had a net income of $10.4 million during the year ended December 31, 2024. The Company had cash and cash equivalents of $74.5 million and investments of $81.6 million as of December 31, 2024. The Company expects that cash from the sales of its products and existing cash, cash equivalents, investments, and available borrowing capacity will be sufficient </w:t>
      </w:r>
      <w:r>
        <w:rPr>
          <w:rFonts w:ascii="Times New Roman" w:cs="Times New Roman" w:eastAsia="Times New Roman" w:hAnsi="Times New Roman"/>
          <w:sz w:val="18"/>
          <w:szCs w:val="18"/>
          <w:color w:val="000000"/>
        </w:rPr>
        <w:t>to support the Company’s current operations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through at least 12 months from the issuance of these consolidated financial statements. If</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revenues decline for a sustained period, the Company may need to access additional capital; however, the Company may not be able to obtain additional financing on acceptable terms or at all. The terms of any additional financing may adversely affect the holdings or the rights of the Company’s shareholders.</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222222"/>
        </w:rPr>
        <w:t>Financial instruments that potentially subject the Company to significant concentration of credit risk consist primarily of cash, cash equivalents and investments in marketable debt securities. The Company may maintain deposits in financial institutions in excess of the insurance coverage offered by the Federal Deposit Insurance Corporation, the loss of which could have a negative effect on its operations and liquidity. The Company believes that it is not exposed to significant credit risk as its deposits, including cash and cash equivalents, are held at multiple high-credit-quality financial institutions. The Company has not experienced any losses on these deposits; however, no assurances can be provided that there will not be losses experienced in the future. The Company believes that the market risk arising from its holdings of these financial instruments is mitigated based on the fact that many of these securities are either government-backed or of high credit rating.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GAAP. The consolidated financial statements include the accounts of the Company and its wholly-owned subsidiaries. All intercompany transactions and accounts have been eliminated in consolidation.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at the date of the consolidated financial statements, and the reported amounts of revenues and expenses during the reporting period. The more significant estimates reflected in the Company’s consolidated financial statements include, but are not limited to, certain judgments regarding revenue recognition, inventory valuation, stock option valuation, lease valuation, deferred tax assets and liabilities and accrued expenses. The Company is not aware of any specific event or circumstance that would require an update to its estimates or judgments reflected in these consolidated financial statements or a revision of the carrying value of its assets or liabilities as of the issuance of these consolidated financial statements. These estimates may change as new events occur and additional information is obtained. Actual results could materially differ from those estimates.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49"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Cash equivalents consist of short-term, highly liquid investments with original maturities of three months or less from the date of purchase and consist primarily of demand deposits, money market funds, U.S. government securities, U.S. government agency bonds and commercial paper.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Restricted cash as of December 31, 2024 and 2023, represents amounts in a construction escrow account. See Note 5, “Leases” for further discussion.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Investments classified as short-term have maturities of less than one year. Investments classified as long-term are those that: (i) have a maturity of greater than one year, and (ii) the Company does not intend to liquidate within the next twelve months, although these funds are available for use and, therefore, are classified as available-for-sale. The Company’s investment strategy is to buy short-duration marketable securities with a high credit rating. As of December 31, 2024 and 2023, all marketable securities held by the Company had remaining contractual maturities of three years or less.</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Unrealized gains are included as a component of accumulated other comprehensive income in the consolidated balance sheets and consolidated statements of shareholders’ equity and a component of total comprehensive income (loss) in the consolidated statements of comprehensive income (loss), until realized. Unrealized losses are evaluated for impairment under ASC 326</w:t>
      </w:r>
      <w:r>
        <w:rPr>
          <w:rFonts w:ascii="Times New Roman" w:cs="Times New Roman" w:eastAsia="Times New Roman" w:hAnsi="Times New Roman"/>
          <w:sz w:val="18"/>
          <w:szCs w:val="18"/>
          <w:i w:val="1"/>
          <w:iCs w:val="1"/>
          <w:color w:val="auto"/>
        </w:rPr>
        <w:t>, Financial Instruments - Credit Losses</w:t>
      </w:r>
      <w:r>
        <w:rPr>
          <w:rFonts w:ascii="Times New Roman" w:cs="Times New Roman" w:eastAsia="Times New Roman" w:hAnsi="Times New Roman"/>
          <w:sz w:val="18"/>
          <w:szCs w:val="18"/>
          <w:color w:val="auto"/>
        </w:rPr>
        <w:t xml:space="preserve"> (“ASC 326”), to determine if the impairment is credit-related or non-credit-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1" w:name="page82"/>
    <w:bookmarkEnd w:id="8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related. Credit-related impairment is recognized as an allowance on the balance sheet with a corresponding adjustment to earnings, and non-credit-related impairment is recognized in other comprehensive income (loss), net of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47"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 xml:space="preserve">The Company determines if an arrangement is a lease at inception,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Operating lease commitments with a lease term greater than 12 months are recognized as right-of-use assets and liabilities, on a discounted basis on the balance sheet. Leases with an initial term of 12 months or less are not recorded on the balance sheet. Certain of the Company’s lease agreements include lease payments that are adjusted periodically for an index or rate. The leases are initially measured using the present value of the projected payments adjusted for the index or rate in effect at the commencement date. In addition to rent, the leases may require the Company to pay additional amounts for taxes, insurance, maintenance and other expenses, which do not transfer a good or service to the Company and are generally referred to as non-lease components. Variable non-lease components are not measured as part of the right-of-use asset and liability. Only when lease components and their associated non-lease components are fixed are they accounted for as a single lease component and are recognized as part of a right-of-use asset and liability. The Company’s lease agreements do not contain any material residual value guarantees or material restrictive covenants.</w:t>
      </w:r>
    </w:p>
    <w:p>
      <w:pPr>
        <w:spacing w:after="0" w:line="215"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has options to renew lease terms for facilities and other assets. Some leases contain clauses for renewal at the Company’s option with renewal terms that generally extend the lease term from 1 to 10 years. The exercise of lease renewal options is generally at the Company’s sole discretion. The Company evaluates renewal and termination options at the lease commencement date to determine if it is reasonably certain to exercise the option on the basis of economic factors. Certain lease agreements contain options to terminate the lease. A portfolio approach is applied to certain lease contracts with similar characteristics.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uses a discount rate to calculate the present value of lease payments in order to determine lease classification and measurement of the lease asset and liability. In the absence of a rate of interest that is readily determinable in the contract, the Company estimates the incremental borrowing rate (“IBR”) for each lease based on the information available at commencement. The IBR reflects the rate of interest that the Company would pay on the lease commencement date to borrow an amount equal to the lease payments on a collateralized basis over a similar term in similar economic environments.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Inventories are measured at the lower of cost or net realizable value. Cost is calculated based upon standard-cost which approximates costs determined on the first-in, first-out method. The Company periodically reviews its inventories for excess or obsolescence and writes down obsolete or other unmarketable inventory to its estimated net realizable value. If the actual net realizable value is less than that estimated by the Company, or if it is determined that inventory utilization will further diminish based on estimates of demand, additional inventory write-downs may be required. In all cases, product inventory is carried at the lower of cost or its estimated net realizable value. Amounts written down are charged to cost of product sales.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Accounts receivable are initially recorded at the contractual amount owed by the customer or based on expected payments from the insurance provider, hospital or patient. Allowances for doubtful accounts are established when the facts and circumstances indicate that a receivable may not be collectible. Potential credit risk exposure has been evaluated for the Company’s accounts receivable in accordance with ASC 326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assesses risk and determines a loss percentage by pooling accounts receivable based on similar risk characteristics. The loss percentage is calculated through the use of forecasts that are based on current and historical economic and financial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Property and equipment are initially measured and recognized at acquisition cost, including any directly attributable cost of preparing the asset for its intended use. After initial measurement, property and equipment are carried at cost less accumulated depreciation. Repair and maintenance costs of property and equipment are expensed as incurred.</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depreciable value of property and equipment is depreciated on a straight-line basis over the useful life of the asset. The useful life of an asset is usually equivalent to its economic life. The useful lives of property and equipment are as follows:</w:t>
      </w:r>
    </w:p>
    <w:p>
      <w:pPr>
        <w:spacing w:after="0" w:line="189" w:lineRule="exact"/>
        <w:rPr>
          <w:sz w:val="20"/>
          <w:szCs w:val="20"/>
          <w:color w:val="auto"/>
        </w:rPr>
      </w:pPr>
    </w:p>
    <w:p>
      <w:pPr>
        <w:ind w:left="960" w:hanging="313"/>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Machinery and equipment: 3 to 10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60" w:hanging="313"/>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fixtures and office equipment: 5 years</w:t>
      </w:r>
    </w:p>
    <w:p>
      <w:pPr>
        <w:spacing w:after="0" w:line="25"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equipment and software: 3 years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shorter of the remaining life of the lease or 15 years</w:t>
      </w:r>
    </w:p>
    <w:p>
      <w:pPr>
        <w:spacing w:after="0" w:line="228"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The costs of assets retired or otherwise disposed of and the accumulated depreciation thereon are removed from the accounts, with any gain or loss realized upon sale or disposal credited or charged to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amortizes its intangible assets on a straight-line basis over their estimated economic lives, unless another amortization method is deemed to be more appropriate. In determining the useful lives of intangible assets, the Company considers the expected use of the assets and the effects of obsolescence, demand, competition, anticipated technological advances, market influence and other economic factors.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evaluates long-lived assets for impairment whenever events or changes in circumstances indicate that the carrying value of an asset may not be fully recoverable. No impairment was identified or recorded during the years ended December 31, 2024, 2023 and 2022.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7"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product revenue from sales to a customer following the five step model in Accounting Standards Codification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Recognition (“</w:t>
      </w:r>
      <w:r>
        <w:rPr>
          <w:rFonts w:ascii="Times New Roman" w:cs="Times New Roman" w:eastAsia="Times New Roman" w:hAnsi="Times New Roman"/>
          <w:sz w:val="18"/>
          <w:szCs w:val="18"/>
          <w:color w:val="auto"/>
        </w:rPr>
        <w:t>ASC 606”): (i) identify contract(s) with a customer; (ii) identify the performance obligations in the contract; (iii) determine the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(iv) allocate the transaction price to the performance obligations in the contract; and (v) recognize revenues when (or as) the Company satisfies the performance obligation. Under this revenue standard, the Company recognizes revenue when its customer obtains control of the promised goods, in an amount that reflects the consideration which the Company expects to receive in exchange for those goods. There are no contractual rights of returns, refunds or similar obligations related to MACI, MACI biopsy kits, MACI Arthro instruments or Epicel; however, in certain limited cases the Company will accept a product return if a surgery is canceled. Revenue is not recognized in certain canceled cases. There are limited contractual rights of returns, refunds, or similar obligations related to NexoBrid.</w:t>
      </w:r>
    </w:p>
    <w:p>
      <w:pPr>
        <w:spacing w:after="0" w:line="21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For MACI, MACI biopsy kits, MACI Arthro instruments, Epicel and NexoBrid, there are no variable pricing arrangements related to warranties or rebates offered to customers. The majority of orders are due within 30 to 90 days of delivery. Shipping and handling fees are included as a component of revenue. The Company recognizes any commission fees as an expense when incurred. These fees are included in selling, general, and administrative expenses. See Note 3, “Revenue” for further discussion on revenues.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These expenditures relate to the development of new products, improvement of existing products, technical support of products and compliance with governmental regulations for the protection of consumers and patients.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4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Company’s accounting for stock-based compensation requires it to determine the fair value of common stock issued in the form of stock option awards and restricted stock units. The fair value of restricted stock units held by employees and non-employee directors is determined based on the fair value of the Company’s common stock on the date of the grant. Compensation expense is recorded for restricted stock units that are expected to vest over the expected vesting period. The fair value of stock options held by employees and non-employee directors is determined using a Black-Scholes option valuation method. Key assumptions in determining fair value include volatility, risk-free interest rate, dividend yield and expected term. The assumptions used in calculating the fair value of stock options represent the Company’s best estimates; however, these estimates involve inherent uncertainties and the application of management’s judgment. As a result, if factors change and different assumptions are used, the stock-based compensation expense could be materially different in the future. In addition, the Company estimates the expected forfeiture rate and only recognizes expense for those stock options expected to vest over the service period. The estimated forfeiture rate considers the historical experience of the Company’s stock-based awards. If the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3" w:name="page84"/>
    <w:bookmarkEnd w:id="8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actual forfeiture rate is different from the estimate, expense is adjusted accordingly. The Company records the expense for stock options and restricted stock units using a graded-vesting attribution method.</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 also has an Employee Stock Purchase Plan (“ESPP”) which is a compensatory plan. Compensation expense is recorded based on the fair value of the purchased options at the grant date, which corresponds to the first day of each purchase period, and is amortized over the purchase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 (Loss)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Comprehensive income (loss) is the change in shareholders’ equity during a period arising from unrealized gains or losses related to the Company’s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Deferred tax assets are recognized for deductible temporary differences and tax credit carryforwards and deferred tax liabilities are recognized for taxable temporary differences. Deferred tax assets are reduced by a valuation allowance when, in the opinion of management, it is more likely than not that some portion or all of the deferred tax assets will not be realized based on the weight of available evidence. When evaluating the realizability of the deferred tax assets, all evidence, both positive and negative, is considered. Items considered when evaluating the need for a valuation allowance include the ability to carry back losses, future reversals of existing temporary differences, tax planning strategies, and expectations of future earnings.</w:t>
      </w:r>
    </w:p>
    <w:p>
      <w:pPr>
        <w:spacing w:after="0" w:line="212"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Company records uncertain tax positions in the consolidated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2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by the weighted-average number of shares of common stock outstanding during the period. Diluted earnings per common share is computed by dividing net income by the weighted-average number of shares of common stock outstanding during the period, plus the potential dilutive effect of other securities if those securities were converted or exercised. During periods in which the Company incurs net losses, both basic and diluted loss per common share is calculated by dividing the net loss by the weighted-average shares of common stock outstanding and potentially dilutive securities are excluded from the calculation because their effect would be antidilutive.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Company’s financial instruments include cash, cash equivalents, accounts receivables, accounts payable and accrued expenses for which the current carrying amounts approximate market value, based upon their short-term nature, deferred compensation plan liability carried at fair value, and marketable debt securities which are classified as available-for-sale and carried at fair value on a settlement date basis.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to improve reportable segment disclosure requirements, primarily through enhanced disclosures about significant segment expenses. The disclosure requirements must be applied retrospectively to all prior periods presented in the financial statements. The effective date for the standard is for fiscal years beginning after December 15, 2023 and interim periods within fiscal years beginning after December 15, 2024, with early adoption permitted. The Company adopted ASU 2023-07 as of December 31, 2024 and the adoption of this standard is disclosed in the footnotes of the Company’s consolidated financial statements.</w:t>
      </w:r>
    </w:p>
    <w:p>
      <w:pPr>
        <w:spacing w:after="0" w:line="210"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No other accounting standards were adopted during the year ended December 31, 2024. The Company considers the applicability and impact of any recent Accounting Standards Updates (“ASU's”) issued by the Financial Accounting Standards Board (“FASB”), as noted below.</w:t>
      </w:r>
    </w:p>
    <w:p>
      <w:pPr>
        <w:spacing w:after="0" w:line="18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 Improvements to Income Tax Disclosures</w:t>
      </w:r>
      <w:r>
        <w:rPr>
          <w:rFonts w:ascii="Times New Roman" w:cs="Times New Roman" w:eastAsia="Times New Roman" w:hAnsi="Times New Roman"/>
          <w:sz w:val="18"/>
          <w:szCs w:val="18"/>
          <w:color w:val="auto"/>
        </w:rPr>
        <w:t>, to provide more detailed income tax disclosure requirements. The guidance requires entities to disclose disaggregated information about their effective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4" w:name="page85"/>
    <w:bookmarkEnd w:id="8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tax rate reconciliation as well as information on income taxes paid. The disclosure requirements will be applied on a prospective basis, with the option to apply it retrospectively. The effective date for the standard is for fiscal years beginning after </w:t>
      </w:r>
      <w:r>
        <w:rPr>
          <w:rFonts w:ascii="Times New Roman" w:cs="Times New Roman" w:eastAsia="Times New Roman" w:hAnsi="Times New Roman"/>
          <w:sz w:val="18"/>
          <w:szCs w:val="18"/>
          <w:i w:val="1"/>
          <w:iCs w:val="1"/>
          <w:color w:val="auto"/>
        </w:rPr>
        <w:t>December 15, 2024,</w:t>
      </w:r>
      <w:r>
        <w:rPr>
          <w:rFonts w:ascii="Times New Roman" w:cs="Times New Roman" w:eastAsia="Times New Roman" w:hAnsi="Times New Roman"/>
          <w:sz w:val="18"/>
          <w:szCs w:val="18"/>
          <w:color w:val="auto"/>
        </w:rPr>
        <w:t xml:space="preserve"> with early adoption permitted. The Company is currently evaluating the impact of this guidance on its related disclosures.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requires new disclosures to disaggregate prescribed natural expenses underlying any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caption. This standard is effective for annual periods in fiscal years beginning after December 15, 2026, and interim periods thereafter, with early adoption permitted, and will be applied on a prospective basis. The Company is currently evaluating the impact of this guidance on the consolidated financial statements and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Product Sales, Net</w:t>
      </w:r>
    </w:p>
    <w:p>
      <w:pPr>
        <w:spacing w:after="0" w:line="237" w:lineRule="exact"/>
        <w:rPr>
          <w:sz w:val="20"/>
          <w:szCs w:val="20"/>
          <w:color w:val="auto"/>
        </w:rPr>
      </w:pPr>
    </w:p>
    <w:p>
      <w:pPr>
        <w:jc w:val="both"/>
        <w:ind w:firstLine="240"/>
        <w:spacing w:after="0" w:line="246" w:lineRule="auto"/>
        <w:rPr>
          <w:sz w:val="20"/>
          <w:szCs w:val="20"/>
          <w:color w:val="auto"/>
        </w:rPr>
      </w:pPr>
      <w:r>
        <w:rPr>
          <w:rFonts w:ascii="Times New Roman" w:cs="Times New Roman" w:eastAsia="Times New Roman" w:hAnsi="Times New Roman"/>
          <w:sz w:val="18"/>
          <w:szCs w:val="18"/>
          <w:color w:val="auto"/>
        </w:rPr>
        <w:t>As disclosed in Note 2, the Company recognizes product revenue from sales of MACI biopsy kits, MACI implants, MACI Arthro instruments, Epicel grafts, and NexoBrid following the five-step model in Accounting Standards Codification 606, Revenue Recognition.</w:t>
      </w: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MACI Biopsy Kits</w:t>
      </w:r>
    </w:p>
    <w:p>
      <w:pPr>
        <w:spacing w:after="0" w:line="24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MACI biopsy kits are sold directly to hospitals and ambulatory surgical centers based on contracted rates set forth in an approved contract or sales order. The Company recognizes MACI kit revenue upon delivery of the biopsy kit, at which time the customer (the facility) is in control of the kit. The kit is used by the treating surgeon to provide a sample of cartilage tissue to the Company, which can later be used to manufacture a MACI implant. The ordering of the kit does not obligate the Company to manufacture an implant nor does the receipt of the cartilage tissue by the Company from the customer following biopsy. The customer’s order of an implant is separate from the process of ordering the biopsy kit. Therefore, the sale of the biopsy kit and any subsequent sale of an implant are distinct contracts and are accounted for separately.</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MACI Arthro Instruments</w:t>
      </w:r>
    </w:p>
    <w:p>
      <w:pPr>
        <w:spacing w:after="0" w:line="23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7"/>
          <w:szCs w:val="17"/>
          <w:color w:val="auto"/>
        </w:rPr>
        <w:t>MACI Arthro instruments are sold directly to hospitals and ambulatory surgical centers based upon rates set forth in price lists. The Company recognizes revenue from the sale of MACI Arthro instruments upon delivery of the instruments, at which time the customer (the facility) is in control of the instruments.</w:t>
      </w:r>
    </w:p>
    <w:p>
      <w:pPr>
        <w:jc w:val="both"/>
        <w:spacing w:after="0" w:line="246" w:lineRule="auto"/>
        <w:rPr>
          <w:sz w:val="20"/>
          <w:szCs w:val="20"/>
          <w:color w:val="auto"/>
        </w:rPr>
      </w:pPr>
      <w:r>
        <w:rPr>
          <w:rFonts w:ascii="Times New Roman" w:cs="Times New Roman" w:eastAsia="Times New Roman" w:hAnsi="Times New Roman"/>
          <w:sz w:val="18"/>
          <w:szCs w:val="18"/>
          <w:color w:val="auto"/>
        </w:rPr>
        <w:t>MACI Arthro instruments can be used by an orthopedic surgeon to deliver MACI to a treated patient using an arthroscopic approach. The customer’s order of a MACI implant is separate from the process of ordering the MACI Arthro instruments. Therefore, the sale of the MACI Arthro instruments and any sale of an implant are distinct and are accounted for separately.</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4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each specialty pharmacy a fee in each instance when it dispenses MACI for use in treating a patient. Both Orsini and AllCare perform collection activities to collect payment from customers. In addition, the Company sells MACI directly to hospitals pursuant to an agreed upon purchase order and to a distributor, DMS Pharmaceutical Group, Inc. (“DMS”) at a contracted rate for the treatment of patients at military facilities throughout the U.S. The Company engages a third party to provide services in connection with a patient support program to manage patient cases and to ensure that complete and correct billing information is provided to the insurers and hospitals.</w:t>
      </w:r>
    </w:p>
    <w:p>
      <w:pPr>
        <w:spacing w:after="0" w:line="21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a MACI implant to a patient. The Company recognizes product revenue from sales of all MACI implants upon delivery at which time the customer obtains control of the implant and the claim is billable. The total consideration that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5" w:name="page86"/>
    <w:bookmarkEnd w:id="8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7"/>
          <w:szCs w:val="17"/>
          <w:color w:val="auto"/>
        </w:rPr>
        <w:t xml:space="preserve">When the Company sells MACI through its specialty pharmacies,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Times New Roman" w:cs="Times New Roman" w:eastAsia="Times New Roman" w:hAnsi="Times New Roman"/>
          <w:sz w:val="17"/>
          <w:szCs w:val="17"/>
          <w:i w:val="1"/>
          <w:iCs w:val="1"/>
          <w:color w:val="auto"/>
        </w:rPr>
        <w:t>ASC 326, Financial Instruments - Credit Losses</w:t>
      </w:r>
      <w:r>
        <w:rPr>
          <w:rFonts w:ascii="Times New Roman" w:cs="Times New Roman" w:eastAsia="Times New Roman" w:hAnsi="Times New Roman"/>
          <w:sz w:val="17"/>
          <w:szCs w:val="17"/>
          <w:color w:val="auto"/>
        </w:rPr>
        <w:t>. The Company assesses risk and determines a loss percentage by pooling accounts receivable based on similar risk characteristics. The loss percentage is calculated through the use of forecasts that are based on current and historical economic and financial information. This loss percentage was applied to the accounts receivables as of December 31, 2024. The total allowance for uncollectible consideration was $5.4 million and $5.6 million as of December 31, 2024, and 2023, respectively. Changes to the estimate of the amount of consideration that will not be collected could have a material impact on the revenue recognized. A 50 basis points change to the estimated uncollectible percentage could result in an approximately $0.5 million decrease or increase in the revenue recognized for the year ended December 31, 2024.</w:t>
      </w:r>
    </w:p>
    <w:p>
      <w:pPr>
        <w:spacing w:after="0" w:line="20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year.</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Epicel</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sells Epicel directly to hospitals and burn centers based on contracted rates stated in an approved contract or purchase order. Similar to MACI, there is no obligation to manufacture Epicel grafts upon receipt of a skin biopsy, and Vericel has no contractual right to receive payment until the product is delivered to the hospital. The Company recognizes product revenue from sales of Epicel upon delivery to the hospital, at which time the customer is in control of the Epicel grafts and the claim is billable to the hospital.</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NexoBrid</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 entered into exclusive license and supply agreements with MediWound in May 2019, pursuant to which MediWound will manufacture and supply NexoBrid on a unit price basis, which may be increased pursuant to the terms of the agreements.</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December 2022, the FDA approved a BLA for NexoBrid, granting a license for its commercial use in the U.S. NexoBrid is a topically-administered biological orphan product containing proteolytic enzymes, which is indicated for the removal of eschar in adults with deep partial-thickness and/or full thickness thermal burns. In August 2024, the FDA additionally approved NexoBrid for pediatric use.</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sells NexoBrid to specialty distributors. These customers subsequently resell NexoBrid to hospitals and burn centers. Product revenue is recorded net of reserves for specialty distributor fees, prompt payment or other discounts and allowances for returns, as applicable. The Company recognizes product revenue from sales of NexoBrid when the specialty distributors take control of the product, which typically occurs upon delivery to the specialty distributors.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6" w:name="page87"/>
    <w:bookmarkEnd w:id="8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and Customer</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and descriptions below show the products from which the Company generated its revenue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8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7"/>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MACI implants, kits, and instruments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20" w:type="dxa"/>
            <w:vAlign w:val="bottom"/>
            <w:gridSpan w:val="2"/>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based on contracted rate sold through a specialty pharmacy </w:t>
            </w:r>
            <w:r>
              <w:rPr>
                <w:rFonts w:ascii="Times New Roman" w:cs="Times New Roman" w:eastAsia="Times New Roman" w:hAnsi="Times New Roman"/>
                <w:sz w:val="23"/>
                <w:szCs w:val="23"/>
                <w:color w:val="auto"/>
                <w:vertAlign w:val="superscript"/>
              </w:rPr>
              <w:t>(a)</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141,806</w:t>
            </w:r>
          </w:p>
        </w:tc>
        <w:tc>
          <w:tcPr>
            <w:tcW w:w="4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105,948</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81,388</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subject to third party reimbursement sold through a specialty pharmacy </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0" w:type="dxa"/>
            <w:vAlign w:val="bottom"/>
          </w:tcPr>
          <w:p>
            <w:pPr>
              <w:spacing w:after="0"/>
              <w:rPr>
                <w:sz w:val="1"/>
                <w:szCs w:val="1"/>
                <w:color w:val="auto"/>
              </w:rPr>
            </w:pPr>
          </w:p>
        </w:tc>
      </w:tr>
      <w:tr>
        <w:trPr>
          <w:trHeight w:val="227"/>
        </w:trPr>
        <w:tc>
          <w:tcPr>
            <w:tcW w:w="6820" w:type="dxa"/>
            <w:vAlign w:val="bottom"/>
            <w:gridSpan w:val="2"/>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sold direct based on contracted rates </w:t>
            </w:r>
            <w:r>
              <w:rPr>
                <w:rFonts w:ascii="Times New Roman" w:cs="Times New Roman" w:eastAsia="Times New Roman" w:hAnsi="Times New Roman"/>
                <w:sz w:val="23"/>
                <w:szCs w:val="23"/>
                <w:color w:val="auto"/>
                <w:vertAlign w:val="superscript"/>
              </w:rPr>
              <w:t>(c)</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24,261</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sold direct subject to third-party reimbursement </w:t>
            </w:r>
            <w:r>
              <w:rPr>
                <w:rFonts w:ascii="Times New Roman" w:cs="Times New Roman" w:eastAsia="Times New Roman" w:hAnsi="Times New Roman"/>
                <w:sz w:val="23"/>
                <w:szCs w:val="23"/>
                <w:color w:val="auto"/>
                <w:vertAlign w:val="superscript"/>
              </w:rPr>
              <w:t>(d)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227"/>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Biopsy kits and instruments - direct bill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Change in estimates related to prior periods </w:t>
            </w:r>
            <w:r>
              <w:rPr>
                <w:rFonts w:ascii="Times New Roman" w:cs="Times New Roman" w:eastAsia="Times New Roman" w:hAnsi="Times New Roman"/>
                <w:sz w:val="23"/>
                <w:szCs w:val="23"/>
                <w:color w:val="auto"/>
                <w:vertAlign w:val="superscript"/>
              </w:rPr>
              <w:t>(e)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0"/>
        </w:trPr>
        <w:tc>
          <w:tcPr>
            <w:tcW w:w="6820" w:type="dxa"/>
            <w:vAlign w:val="bottom"/>
            <w:gridSpan w:val="2"/>
          </w:tcPr>
          <w:p>
            <w:pPr>
              <w:ind w:left="420"/>
              <w:spacing w:after="0"/>
              <w:rPr>
                <w:sz w:val="20"/>
                <w:szCs w:val="20"/>
                <w:color w:val="auto"/>
              </w:rPr>
            </w:pPr>
            <w:r>
              <w:rPr>
                <w:rFonts w:ascii="Times New Roman" w:cs="Times New Roman" w:eastAsia="Times New Roman" w:hAnsi="Times New Roman"/>
                <w:sz w:val="18"/>
                <w:szCs w:val="18"/>
                <w:i w:val="1"/>
                <w:iCs w:val="1"/>
                <w:color w:val="auto"/>
              </w:rPr>
              <w:t>Total MACI implants, kits, and instruments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131,967</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Epicel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 bill (hospital)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w:t>
            </w:r>
          </w:p>
        </w:tc>
        <w:tc>
          <w:tcPr>
            <w:tcW w:w="0" w:type="dxa"/>
            <w:vAlign w:val="bottom"/>
          </w:tcPr>
          <w:p>
            <w:pPr>
              <w:spacing w:after="0"/>
              <w:rPr>
                <w:sz w:val="1"/>
                <w:szCs w:val="1"/>
                <w:color w:val="auto"/>
              </w:rPr>
            </w:pPr>
          </w:p>
        </w:tc>
      </w:tr>
      <w:tr>
        <w:trPr>
          <w:trHeight w:val="267"/>
        </w:trPr>
        <w:tc>
          <w:tcPr>
            <w:tcW w:w="6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6820" w:type="dxa"/>
            <w:vAlign w:val="bottom"/>
            <w:tcBorders>
              <w:bottom w:val="single" w:sz="8" w:color="CCEEFF"/>
            </w:tcBorders>
            <w:gridSpan w:val="2"/>
          </w:tcPr>
          <w:p>
            <w:pPr>
              <w:ind w:left="20"/>
              <w:spacing w:after="0" w:line="226" w:lineRule="exact"/>
              <w:rPr>
                <w:sz w:val="20"/>
                <w:szCs w:val="20"/>
                <w:color w:val="auto"/>
              </w:rPr>
            </w:pPr>
            <w:r>
              <w:rPr>
                <w:rFonts w:ascii="Times New Roman" w:cs="Times New Roman" w:eastAsia="Times New Roman" w:hAnsi="Times New Roman"/>
                <w:sz w:val="18"/>
                <w:szCs w:val="18"/>
                <w:i w:val="1"/>
                <w:iCs w:val="1"/>
                <w:color w:val="auto"/>
              </w:rPr>
              <w:t xml:space="preserve">NexoBrid </w:t>
            </w:r>
            <w:r>
              <w:rPr>
                <w:rFonts w:ascii="Times New Roman" w:cs="Times New Roman" w:eastAsia="Times New Roman" w:hAnsi="Times New Roman"/>
                <w:sz w:val="23"/>
                <w:szCs w:val="23"/>
                <w:i w:val="1"/>
                <w:iCs w:val="1"/>
                <w:color w:val="auto"/>
                <w:vertAlign w:val="superscript"/>
              </w:rPr>
              <w:t>(f)</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45"/>
        </w:trPr>
        <w:tc>
          <w:tcPr>
            <w:tcW w:w="6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237,224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164,365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4225" cy="2540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254000"/>
                    </a:xfrm>
                    <a:prstGeom prst="rect">
                      <a:avLst/>
                    </a:prstGeom>
                    <a:noFill/>
                  </pic:spPr>
                </pic:pic>
              </a:graphicData>
            </a:graphic>
          </wp:anchor>
        </w:drawing>
      </w:r>
    </w:p>
    <w:p>
      <w:pPr>
        <w:spacing w:after="0" w:line="184" w:lineRule="exact"/>
        <w:rPr>
          <w:sz w:val="20"/>
          <w:szCs w:val="20"/>
          <w:color w:val="auto"/>
        </w:rPr>
      </w:pPr>
    </w:p>
    <w:p>
      <w:pPr>
        <w:ind w:left="180" w:right="180" w:hanging="156"/>
        <w:spacing w:after="0" w:line="293" w:lineRule="auto"/>
        <w:tabs>
          <w:tab w:leader="none" w:pos="213"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140" w:lineRule="exact"/>
        <w:rPr>
          <w:rFonts w:ascii="Times New Roman" w:cs="Times New Roman" w:eastAsia="Times New Roman" w:hAnsi="Times New Roman"/>
          <w:sz w:val="14"/>
          <w:szCs w:val="14"/>
          <w:color w:val="auto"/>
        </w:rPr>
      </w:pPr>
    </w:p>
    <w:p>
      <w:pPr>
        <w:ind w:left="180" w:right="160" w:hanging="156"/>
        <w:spacing w:after="0" w:line="293" w:lineRule="auto"/>
        <w:tabs>
          <w:tab w:leader="none" w:pos="22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pharmacy does not have a direct contract with the underlying payer and are subject to third-party reimbursement. The amount of reimbursement is established based on publicly available rates, fee schedules or past payer precedents.</w:t>
      </w:r>
    </w:p>
    <w:p>
      <w:pPr>
        <w:spacing w:after="0" w:line="140" w:lineRule="exact"/>
        <w:rPr>
          <w:rFonts w:ascii="Times New Roman" w:cs="Times New Roman" w:eastAsia="Times New Roman" w:hAnsi="Times New Roman"/>
          <w:sz w:val="14"/>
          <w:szCs w:val="14"/>
          <w:color w:val="auto"/>
        </w:rPr>
      </w:pPr>
    </w:p>
    <w:p>
      <w:pPr>
        <w:ind w:left="180" w:right="260" w:hanging="156"/>
        <w:spacing w:after="0" w:line="293" w:lineRule="auto"/>
        <w:tabs>
          <w:tab w:leader="none" w:pos="213"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Also represents direct sales under a contract to specialty distributor DMS.</w:t>
      </w:r>
    </w:p>
    <w:p>
      <w:pPr>
        <w:spacing w:after="0" w:line="140" w:lineRule="exact"/>
        <w:rPr>
          <w:rFonts w:ascii="Times New Roman" w:cs="Times New Roman" w:eastAsia="Times New Roman" w:hAnsi="Times New Roman"/>
          <w:sz w:val="14"/>
          <w:szCs w:val="14"/>
          <w:color w:val="auto"/>
        </w:rPr>
      </w:pPr>
    </w:p>
    <w:p>
      <w:pPr>
        <w:ind w:left="180" w:right="360" w:hanging="156"/>
        <w:spacing w:after="0" w:line="293" w:lineRule="auto"/>
        <w:tabs>
          <w:tab w:leader="none" w:pos="22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140" w:lineRule="exact"/>
        <w:rPr>
          <w:rFonts w:ascii="Times New Roman" w:cs="Times New Roman" w:eastAsia="Times New Roman" w:hAnsi="Times New Roman"/>
          <w:sz w:val="14"/>
          <w:szCs w:val="14"/>
          <w:color w:val="auto"/>
        </w:rPr>
      </w:pPr>
    </w:p>
    <w:p>
      <w:pPr>
        <w:ind w:left="180" w:right="60" w:hanging="156"/>
        <w:spacing w:after="0" w:line="293" w:lineRule="auto"/>
        <w:tabs>
          <w:tab w:leader="none" w:pos="213"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changes in estimates related to implants sold through Orsini or AllCare and relate to changes to the initial expected reimbursement or collection expectations upon completion of the billing claims process. The change in estimates is a result of additional information, changes in collection expectations or actual cash collections received in the current period.</w:t>
      </w:r>
    </w:p>
    <w:p>
      <w:pPr>
        <w:spacing w:after="0" w:line="140" w:lineRule="exact"/>
        <w:rPr>
          <w:rFonts w:ascii="Times New Roman" w:cs="Times New Roman" w:eastAsia="Times New Roman" w:hAnsi="Times New Roman"/>
          <w:sz w:val="14"/>
          <w:szCs w:val="14"/>
          <w:color w:val="auto"/>
        </w:rPr>
      </w:pPr>
    </w:p>
    <w:p>
      <w:pPr>
        <w:jc w:val="both"/>
        <w:ind w:left="180" w:right="240" w:hanging="156"/>
        <w:spacing w:after="0" w:line="293" w:lineRule="auto"/>
        <w:tabs>
          <w:tab w:leader="none" w:pos="19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U.S. commercial revenue of NexoBrid for the years ended December 31, 2024 and 2023. In the year ended December 31, 2022, represents revenue based on a percentage of gross profits for sales of NexoBrid to the U.S. Biomedical Advanced Research and Development Authority (“BARDA”), pursuant to the license agreement between the Company and MediWound.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-1607185</wp:posOffset>
            </wp:positionV>
            <wp:extent cx="7134225" cy="2457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-1268095</wp:posOffset>
            </wp:positionV>
            <wp:extent cx="7134225" cy="2457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-929640</wp:posOffset>
            </wp:positionV>
            <wp:extent cx="7134225" cy="2457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-590550</wp:posOffset>
            </wp:positionV>
            <wp:extent cx="7134225" cy="2457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-251460</wp:posOffset>
            </wp:positionV>
            <wp:extent cx="7134225" cy="2457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245745"/>
                    </a:xfrm>
                    <a:prstGeom prst="rect">
                      <a:avLst/>
                    </a:prstGeom>
                    <a:noFill/>
                  </pic:spPr>
                </pic:pic>
              </a:graphicData>
            </a:graphic>
          </wp:anchor>
        </w:drawing>
      </w:r>
    </w:p>
    <w:p>
      <w:pPr>
        <w:spacing w:after="0" w:line="3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total revenue and accounts receivable concentrations from a single customer consisted of the following:</w:t>
      </w:r>
    </w:p>
    <w:p>
      <w:pPr>
        <w:spacing w:after="0" w:line="285"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For the year ended and as of</w:t>
            </w: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220"/>
        </w:trPr>
        <w:tc>
          <w:tcPr>
            <w:tcW w:w="6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Pr>
          <w:p>
            <w:pPr>
              <w:spacing w:after="0"/>
              <w:rPr>
                <w:sz w:val="19"/>
                <w:szCs w:val="19"/>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7"/>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7" w:name="page88"/>
    <w:bookmarkEnd w:id="8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Selected Balance Sheet Components</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20"/>
        </w:trPr>
        <w:tc>
          <w:tcPr>
            <w:tcW w:w="7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inventory</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78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32,531</w:t>
            </w:r>
          </w:p>
        </w:tc>
        <w:tc>
          <w:tcPr>
            <w:tcW w:w="0" w:type="dxa"/>
            <w:vAlign w:val="bottom"/>
          </w:tcPr>
          <w:p>
            <w:pPr>
              <w:spacing w:after="0"/>
              <w:rPr>
                <w:sz w:val="1"/>
                <w:szCs w:val="1"/>
                <w:color w:val="auto"/>
              </w:rPr>
            </w:pPr>
          </w:p>
        </w:tc>
      </w:tr>
      <w:tr>
        <w:trPr>
          <w:trHeight w:val="220"/>
        </w:trPr>
        <w:tc>
          <w:tcPr>
            <w:tcW w:w="7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63,841</w:t>
            </w: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(22,206)</w:t>
            </w:r>
          </w:p>
        </w:tc>
        <w:tc>
          <w:tcPr>
            <w:tcW w:w="0" w:type="dxa"/>
            <w:vAlign w:val="bottom"/>
          </w:tcPr>
          <w:p>
            <w:pPr>
              <w:spacing w:after="0"/>
              <w:rPr>
                <w:sz w:val="1"/>
                <w:szCs w:val="1"/>
                <w:color w:val="auto"/>
              </w:rPr>
            </w:pPr>
          </w:p>
        </w:tc>
      </w:tr>
      <w:tr>
        <w:trPr>
          <w:trHeight w:val="220"/>
        </w:trPr>
        <w:tc>
          <w:tcPr>
            <w:tcW w:w="7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103,161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41,635</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was $4.9 million, $4.0 million and $4.0 million, respectively.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80"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 (in</w:t>
            </w: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gridSpan w:val="2"/>
            <w:vMerge w:val="continue"/>
          </w:tcPr>
          <w:p>
            <w:pPr>
              <w:spacing w:after="0"/>
              <w:rPr>
                <w:sz w:val="11"/>
                <w:szCs w:val="11"/>
                <w:color w:val="auto"/>
              </w:rPr>
            </w:pPr>
          </w:p>
        </w:tc>
        <w:tc>
          <w:tcPr>
            <w:tcW w:w="1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220" w:type="dxa"/>
            <w:vAlign w:val="bottom"/>
          </w:tcPr>
          <w:p>
            <w:pPr>
              <w:spacing w:after="0"/>
              <w:rPr>
                <w:sz w:val="11"/>
                <w:szCs w:val="11"/>
                <w:color w:val="auto"/>
              </w:rPr>
            </w:pPr>
          </w:p>
        </w:tc>
        <w:tc>
          <w:tcPr>
            <w:tcW w:w="74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74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2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3"/>
        </w:trPr>
        <w:tc>
          <w:tcPr>
            <w:tcW w:w="1640" w:type="dxa"/>
            <w:vAlign w:val="bottom"/>
            <w:gridSpan w:val="2"/>
            <w:vMerge w:val="continue"/>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7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 license</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Amortization expense for the years ended December 31, 2024 and 2023 was $0.6 million and $0.6 million, respectively. There was no amortization expense recognized during the year ended December 31, 2022. The NexoBrid intangible asset is amortized to cost of product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8" w:name="page89"/>
    <w:bookmarkEnd w:id="8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amortization expense of intangible assets as of December 31, 2024 is estimated to be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1"/>
        </w:trPr>
        <w:tc>
          <w:tcPr>
            <w:tcW w:w="78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gridSpan w:val="3"/>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 related compensation</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related accruals</w:t>
            </w:r>
          </w:p>
        </w:tc>
        <w:tc>
          <w:tcPr>
            <w:tcW w:w="38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reimbursement-related liabilities</w:t>
            </w:r>
          </w:p>
        </w:tc>
        <w:tc>
          <w:tcPr>
            <w:tcW w:w="3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8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accrued expenses</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17,065</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leases facilities in Ann Arbor, Michigan, Cambridge, Massachusetts and Burlington, Massachusetts. The Ann Arbor facility includes office space, and the Cambridge facility includes clean rooms, laboratories for MACI and Epicel manufacturing and office space. The Company also leases offsite warehouse space and certain equipment.</w:t>
      </w:r>
    </w:p>
    <w:p>
      <w:pPr>
        <w:spacing w:after="0" w:line="20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On January 28, 2022, the Company entered into a lease agreement (as amended, the “Burlington Lease”) to lease approximately 126,000 square feet of manufacturing, laboratory and office space in Burlington, Massachusetts (the “Premises”), which has been under construction. The Burlington facility is substantially complete, and the Company is currently utilizing the facility’s office space. The remaining tenant improvements to the manufacturing suites and related equipment remain ongoing and will be placed in service when they are ready for their intended uses. Once validated, the facility’s manufacturing component will eventually become the primary manufacturing facility for MACI and Epicel.</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April 2023, in connection with the Burlington Lease, the Company entered into a construction escrow agreement (the “Construction Escrow Agreement”) with the facility’s landlord and an escrow agent. Pursuant to the terms of the Construction Escrow Agreement, in April 2023, the Company began funding, into an escrow account maintained by the escrow agent, a portion of its share of tenant improvement construction costs at the facility, which are designated as restricted cash. At the same time, the facility’s landlord began funding a portion of its tenant improvement allowance through a separate escrow account. The Company funded the remaining 50% of its required cost amount, or approximately $28.3 million, with cash on hand, pursuant to the Construction Escrow Agreement in April 2024.</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term of the Burlington Lease began on June 1, 2023 (the “Commencement Date”), when the Company gained control of and commenced tenant improvement work at the Premises. The Company’s obligation to pay rent for the Premises began on July 1, 2024 (the “Rent Commencement Date”). The initial term of the Lease is 144 months following the Rent Commencement Date. The Company has a one-time option to extend the term of the Lease for an additional 10 years, exercisable under certain conditions and at a market rate determined in accordance with the Burlington Lease.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73" w:lineRule="auto"/>
        <w:rPr>
          <w:sz w:val="20"/>
          <w:szCs w:val="20"/>
          <w:color w:val="auto"/>
        </w:rPr>
      </w:pPr>
      <w:r>
        <w:rPr>
          <w:rFonts w:ascii="Times New Roman" w:cs="Times New Roman" w:eastAsia="Times New Roman" w:hAnsi="Times New Roman"/>
          <w:sz w:val="17"/>
          <w:szCs w:val="17"/>
          <w:color w:val="auto"/>
        </w:rPr>
        <w:t>The annual base rent of the Burlington Lease is initially $57 per square foot per year, subject to annual increases of 2.5%. Monthly contractual payments are expected to range from $0.6 million to $0.8 million. Additionally, the Company is responsible for reimbursing the landlord for the Company’s share of the Premises’ property taxes and certain other operating expenses. The Burlington Lease also provides for a tenant improvement allowance from the landlord in an amount equal to $200 per square foot of the Premises, or approximately $24.4 million. The tenant improvement allowance has been and continues to be used towards the design and construction of the tenant improvements made to the Premises, subject to the terms set forth in the Burlington Lease.</w:t>
      </w:r>
    </w:p>
    <w:p>
      <w:pPr>
        <w:spacing w:after="0" w:line="19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Company was not involved in the initial construction of the core and shell of the building. On June 1, 2023, the Company gained control of the Premises to begin construction of its tenant improvements. As such, the corresponding right-of-use asset and lease liability of $35.5 million was recorded on the Company’s consolidated balance sheet. As there was not an implicit rate within the lease available, the Company estimated the incremental borrowing rate of 7.7%, based on the rate of interest the Company would have to pay to borrow a similar amount on a collateralized basis over a similar term. The lease term of 13.1 years does not include the lease extension option, as the Company is not reasonably certain to exercise that option. The Company has determined that certain improvements to the Premises are landlord-owned improvements and costs incurred for these improvements are accounted for as a variable lease payment. In the years ended December 31, 2024 and 2023, the Company recorded a right-of-use asset related to landlord-owned improvements incurred of approximately $3.6 million and $2.0 million, respectively.</w:t>
      </w:r>
    </w:p>
    <w:p>
      <w:pPr>
        <w:spacing w:after="0" w:line="21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January 2022, in connection with the execution of the Burlington Lease, the Company issued a letter of credit collateralized by cash deposits of approximately $6.0 million. Subsequent to the execution of the Revolving Credit Agreement on July 29, 2022 (see Note 8, “Revolving Credit Agreement” for further details), the letter of credit is issued under the sub-facility limit of the Revolving Credit Agreement. Such letter of credit shall be reduced to approximately $4.2 million and $1.8 million at the conclusion of the third and sixth lease years, respectively, provided certain conditions set forth in the Burlington Lease are satisfied.</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2024, lease expense of $0.3 million, and for the years ended December 31, 2023 and 2022, lease expense of less than $0.1 million, was recorded related to short-term leases. For the years ended December 31, 2024, 2023 and 2022, the Company recognized $12.7 million, $10.3 million and $6.9 million, respectively, of operating lease expense. For the years ended December 31, 2024, 2023 and 2022, the Company recognized less than $0.1 million of financing lease expense.</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Operating and finance lease assets and liabilities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600" w:type="dxa"/>
            <w:vAlign w:val="bottom"/>
            <w:gridSpan w:val="2"/>
            <w:vMerge w:val="continue"/>
          </w:tcPr>
          <w:p>
            <w:pPr>
              <w:spacing w:after="0"/>
              <w:rPr>
                <w:sz w:val="16"/>
                <w:szCs w:val="16"/>
                <w:color w:val="auto"/>
              </w:rPr>
            </w:pPr>
          </w:p>
        </w:tc>
        <w:tc>
          <w:tcPr>
            <w:tcW w:w="63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1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9"/>
                <w:szCs w:val="19"/>
                <w:color w:val="auto"/>
              </w:rPr>
            </w:pPr>
          </w:p>
        </w:tc>
        <w:tc>
          <w:tcPr>
            <w:tcW w:w="6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73,462</w:t>
            </w:r>
          </w:p>
        </w:tc>
        <w:tc>
          <w:tcPr>
            <w:tcW w:w="0" w:type="dxa"/>
            <w:vAlign w:val="bottom"/>
          </w:tcPr>
          <w:p>
            <w:pPr>
              <w:spacing w:after="0"/>
              <w:rPr>
                <w:sz w:val="1"/>
                <w:szCs w:val="1"/>
                <w:color w:val="auto"/>
              </w:rPr>
            </w:pPr>
          </w:p>
        </w:tc>
      </w:tr>
      <w:tr>
        <w:trPr>
          <w:trHeight w:val="227"/>
        </w:trPr>
        <w:tc>
          <w:tcPr>
            <w:tcW w:w="1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6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70,784</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73,462</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600" w:type="dxa"/>
            <w:vAlign w:val="bottom"/>
            <w:gridSpan w:val="2"/>
            <w:vMerge w:val="continue"/>
          </w:tcPr>
          <w:p>
            <w:pPr>
              <w:spacing w:after="0"/>
              <w:rPr>
                <w:sz w:val="15"/>
                <w:szCs w:val="15"/>
                <w:color w:val="auto"/>
              </w:rPr>
            </w:pPr>
          </w:p>
        </w:tc>
        <w:tc>
          <w:tcPr>
            <w:tcW w:w="6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6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80" w:type="dxa"/>
            <w:vAlign w:val="bottom"/>
          </w:tcPr>
          <w:p>
            <w:pPr>
              <w:spacing w:after="0"/>
              <w:rPr>
                <w:sz w:val="19"/>
                <w:szCs w:val="19"/>
                <w:color w:val="auto"/>
              </w:rPr>
            </w:pPr>
          </w:p>
        </w:tc>
        <w:tc>
          <w:tcPr>
            <w:tcW w:w="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0" w:type="dxa"/>
            <w:vAlign w:val="bottom"/>
          </w:tcPr>
          <w:p>
            <w:pPr>
              <w:spacing w:after="0"/>
              <w:rPr>
                <w:sz w:val="1"/>
                <w:szCs w:val="1"/>
                <w:color w:val="auto"/>
              </w:rPr>
            </w:pPr>
          </w:p>
        </w:tc>
      </w:tr>
      <w:tr>
        <w:trPr>
          <w:trHeight w:val="227"/>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100" w:type="dxa"/>
            <w:vAlign w:val="bottom"/>
            <w:shd w:val="clear" w:color="auto" w:fill="CCEEFF"/>
          </w:tcPr>
          <w:p>
            <w:pPr>
              <w:spacing w:after="0"/>
              <w:rPr>
                <w:sz w:val="19"/>
                <w:szCs w:val="19"/>
                <w:color w:val="auto"/>
              </w:rPr>
            </w:pPr>
          </w:p>
        </w:tc>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100" w:type="dxa"/>
            <w:vAlign w:val="bottom"/>
            <w:shd w:val="clear" w:color="auto" w:fill="CCEEFF"/>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100" w:type="dxa"/>
            <w:vAlign w:val="bottom"/>
          </w:tcPr>
          <w:p>
            <w:pPr>
              <w:spacing w:after="0"/>
              <w:rPr>
                <w:sz w:val="19"/>
                <w:szCs w:val="19"/>
                <w:color w:val="auto"/>
              </w:rPr>
            </w:pP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81,856</w:t>
            </w: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Total leased liabilities</w:t>
            </w: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99,536</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88,043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received for amounts included in the measurement of the Company’s operating lease liabilities was $1.4 million for the year ended December 31,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the Company’s operating lease liabilities was $1.7 million and $5.3 million for the years 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respectively.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2024 are as follows: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0" w:name="page91"/>
    <w:bookmarkEnd w:id="9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80" w:type="dxa"/>
            <w:vAlign w:val="bottom"/>
          </w:tcPr>
          <w:p>
            <w:pPr>
              <w:spacing w:after="0"/>
              <w:rPr>
                <w:sz w:val="16"/>
                <w:szCs w:val="16"/>
                <w:color w:val="auto"/>
              </w:rPr>
            </w:pPr>
          </w:p>
        </w:tc>
        <w:tc>
          <w:tcPr>
            <w:tcW w:w="16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0" w:type="dxa"/>
            <w:vAlign w:val="bottom"/>
          </w:tcPr>
          <w:p>
            <w:pPr>
              <w:spacing w:after="0"/>
              <w:rPr>
                <w:sz w:val="1"/>
                <w:szCs w:val="1"/>
                <w:color w:val="auto"/>
              </w:rPr>
            </w:pP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0" w:type="dxa"/>
            <w:vAlign w:val="bottom"/>
          </w:tcPr>
          <w:p>
            <w:pPr>
              <w:spacing w:after="0"/>
              <w:rPr>
                <w:sz w:val="1"/>
                <w:szCs w:val="1"/>
                <w:color w:val="auto"/>
              </w:rPr>
            </w:pPr>
          </w:p>
        </w:tc>
      </w:tr>
      <w:tr>
        <w:trPr>
          <w:trHeight w:val="22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w:t>
            </w:r>
          </w:p>
        </w:tc>
        <w:tc>
          <w:tcPr>
            <w:tcW w:w="0" w:type="dxa"/>
            <w:vAlign w:val="bottom"/>
          </w:tcPr>
          <w:p>
            <w:pPr>
              <w:spacing w:after="0"/>
              <w:rPr>
                <w:sz w:val="1"/>
                <w:szCs w:val="1"/>
                <w:color w:val="auto"/>
              </w:rPr>
            </w:pP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14,859</w:t>
            </w:r>
          </w:p>
        </w:tc>
        <w:tc>
          <w:tcPr>
            <w:tcW w:w="0" w:type="dxa"/>
            <w:vAlign w:val="bottom"/>
          </w:tcPr>
          <w:p>
            <w:pPr>
              <w:spacing w:after="0"/>
              <w:rPr>
                <w:sz w:val="1"/>
                <w:szCs w:val="1"/>
                <w:color w:val="auto"/>
              </w:rPr>
            </w:pPr>
          </w:p>
        </w:tc>
      </w:tr>
      <w:tr>
        <w:trPr>
          <w:trHeight w:val="22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w:t>
            </w:r>
          </w:p>
        </w:tc>
        <w:tc>
          <w:tcPr>
            <w:tcW w:w="0" w:type="dxa"/>
            <w:vAlign w:val="bottom"/>
          </w:tcPr>
          <w:p>
            <w:pPr>
              <w:spacing w:after="0"/>
              <w:rPr>
                <w:sz w:val="1"/>
                <w:szCs w:val="1"/>
                <w:color w:val="auto"/>
              </w:rPr>
            </w:pPr>
          </w:p>
        </w:tc>
      </w:tr>
      <w:tr>
        <w:trPr>
          <w:trHeight w:val="227"/>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73,558</w:t>
            </w:r>
          </w:p>
        </w:tc>
        <w:tc>
          <w:tcPr>
            <w:tcW w:w="0" w:type="dxa"/>
            <w:vAlign w:val="bottom"/>
          </w:tcPr>
          <w:p>
            <w:pPr>
              <w:spacing w:after="0"/>
              <w:rPr>
                <w:sz w:val="1"/>
                <w:szCs w:val="1"/>
                <w:color w:val="auto"/>
              </w:rPr>
            </w:pPr>
          </w:p>
        </w:tc>
      </w:tr>
      <w:tr>
        <w:trPr>
          <w:trHeight w:val="220"/>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146,024</w:t>
            </w:r>
          </w:p>
        </w:tc>
        <w:tc>
          <w:tcPr>
            <w:tcW w:w="0" w:type="dxa"/>
            <w:vAlign w:val="bottom"/>
          </w:tcPr>
          <w:p>
            <w:pPr>
              <w:spacing w:after="0"/>
              <w:rPr>
                <w:sz w:val="1"/>
                <w:szCs w:val="1"/>
                <w:color w:val="auto"/>
              </w:rPr>
            </w:pPr>
          </w:p>
        </w:tc>
      </w:tr>
      <w:tr>
        <w:trPr>
          <w:trHeight w:val="227"/>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tenant improvement allowances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0" w:type="dxa"/>
            <w:vAlign w:val="bottom"/>
          </w:tcPr>
          <w:p>
            <w:pPr>
              <w:spacing w:after="0"/>
              <w:rPr>
                <w:sz w:val="1"/>
                <w:szCs w:val="1"/>
                <w:color w:val="auto"/>
              </w:rPr>
            </w:pPr>
          </w:p>
        </w:tc>
      </w:tr>
      <w:tr>
        <w:trPr>
          <w:trHeight w:val="227"/>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(42,069)</w:t>
            </w:r>
          </w:p>
        </w:tc>
        <w:tc>
          <w:tcPr>
            <w:tcW w:w="0" w:type="dxa"/>
            <w:vAlign w:val="bottom"/>
          </w:tcPr>
          <w:p>
            <w:pPr>
              <w:spacing w:after="0"/>
              <w:rPr>
                <w:sz w:val="1"/>
                <w:szCs w:val="1"/>
                <w:color w:val="auto"/>
              </w:rPr>
            </w:pPr>
          </w:p>
        </w:tc>
      </w:tr>
      <w:tr>
        <w:trPr>
          <w:trHeight w:val="220"/>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98,850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99,536</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Lease terms and discount rates are as follows:</w:t>
            </w: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50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gridSpan w:val="2"/>
          </w:tcPr>
          <w:p>
            <w:pPr>
              <w:spacing w:after="0"/>
              <w:rPr>
                <w:sz w:val="16"/>
                <w:szCs w:val="16"/>
                <w:color w:val="auto"/>
              </w:rPr>
            </w:pPr>
          </w:p>
        </w:tc>
        <w:tc>
          <w:tcPr>
            <w:tcW w:w="1160" w:type="dxa"/>
            <w:vAlign w:val="bottom"/>
            <w:tcBorders>
              <w:top w:val="single" w:sz="8" w:color="auto"/>
            </w:tcBorders>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7"/>
        </w:trPr>
        <w:tc>
          <w:tcPr>
            <w:tcW w:w="50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0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3"/>
          </w:tcPr>
          <w:p>
            <w:pPr>
              <w:jc w:val="center"/>
              <w:ind w:left="772"/>
              <w:spacing w:after="0"/>
              <w:rPr>
                <w:sz w:val="20"/>
                <w:szCs w:val="20"/>
                <w:color w:val="auto"/>
              </w:rPr>
            </w:pPr>
            <w:r>
              <w:rPr>
                <w:rFonts w:ascii="Times New Roman" w:cs="Times New Roman" w:eastAsia="Times New Roman" w:hAnsi="Times New Roman"/>
                <w:sz w:val="18"/>
                <w:szCs w:val="18"/>
                <w:color w:val="auto"/>
                <w:w w:val="97"/>
              </w:rPr>
              <w:t>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center"/>
              <w:ind w:right="313"/>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7"/>
        </w:trPr>
        <w:tc>
          <w:tcPr>
            <w:tcW w:w="5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7"/>
              </w:rPr>
              <w:t>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31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7"/>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313"/>
              <w:spacing w:after="0"/>
              <w:rPr>
                <w:sz w:val="20"/>
                <w:szCs w:val="20"/>
                <w:color w:val="auto"/>
              </w:rPr>
            </w:pPr>
            <w:r>
              <w:rPr>
                <w:rFonts w:ascii="Times New Roman" w:cs="Times New Roman" w:eastAsia="Times New Roman" w:hAnsi="Times New Roman"/>
                <w:sz w:val="18"/>
                <w:szCs w:val="18"/>
                <w:color w:val="auto"/>
                <w:w w:val="95"/>
              </w:rPr>
              <w:t>6.8%</w:t>
            </w:r>
          </w:p>
        </w:tc>
        <w:tc>
          <w:tcPr>
            <w:tcW w:w="0" w:type="dxa"/>
            <w:vAlign w:val="bottom"/>
          </w:tcPr>
          <w:p>
            <w:pPr>
              <w:spacing w:after="0"/>
              <w:rPr>
                <w:sz w:val="1"/>
                <w:szCs w:val="1"/>
                <w:color w:val="auto"/>
              </w:rPr>
            </w:pPr>
          </w:p>
        </w:tc>
      </w:tr>
      <w:tr>
        <w:trPr>
          <w:trHeight w:val="232"/>
        </w:trPr>
        <w:tc>
          <w:tcPr>
            <w:tcW w:w="5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3"/>
          </w:tcPr>
          <w:p>
            <w:pPr>
              <w:jc w:val="center"/>
              <w:ind w:left="77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center"/>
              <w:ind w:right="313"/>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49" w:lineRule="exact"/>
        <w:rPr>
          <w:sz w:val="20"/>
          <w:szCs w:val="20"/>
          <w:color w:val="auto"/>
        </w:rPr>
      </w:pPr>
    </w:p>
    <w:p>
      <w:pPr>
        <w:jc w:val="both"/>
        <w:ind w:right="100" w:firstLine="240"/>
        <w:spacing w:after="0" w:line="263" w:lineRule="auto"/>
        <w:rPr>
          <w:sz w:val="20"/>
          <w:szCs w:val="20"/>
          <w:color w:val="auto"/>
        </w:rPr>
      </w:pPr>
      <w:r>
        <w:rPr>
          <w:rFonts w:ascii="Times New Roman" w:cs="Times New Roman" w:eastAsia="Times New Roman" w:hAnsi="Times New Roman"/>
          <w:sz w:val="18"/>
          <w:szCs w:val="18"/>
          <w:color w:val="auto"/>
        </w:rPr>
        <w:t xml:space="preserve">Marketable debt securities held by the Company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and carried at fair value in the accompanying consolidated balance sheets on a settlement date basis. The following tables summarize the gross unrealized gains and losses of the Company’s marketable securities:</w:t>
      </w:r>
    </w:p>
    <w:p>
      <w:pPr>
        <w:spacing w:after="0" w:line="329"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5"/>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0"/>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9"/>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80" w:type="dxa"/>
            <w:vAlign w:val="bottom"/>
          </w:tcPr>
          <w:p>
            <w:pPr>
              <w:spacing w:after="0"/>
              <w:rPr>
                <w:sz w:val="16"/>
                <w:szCs w:val="16"/>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5"/>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r>
      <w:tr>
        <w:trPr>
          <w:trHeight w:val="22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20"/>
        </w:trPr>
        <w:tc>
          <w:tcPr>
            <w:tcW w:w="3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w:t>
            </w: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4"/>
        </w:trPr>
        <w:tc>
          <w:tcPr>
            <w:tcW w:w="34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Classified as: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2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r>
      <w:tr>
        <w:trPr>
          <w:trHeight w:val="22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r>
      <w:tr>
        <w:trPr>
          <w:trHeight w:val="220"/>
        </w:trPr>
        <w:tc>
          <w:tcPr>
            <w:tcW w:w="3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w:t>
            </w:r>
          </w:p>
        </w:tc>
      </w:tr>
      <w:tr>
        <w:trPr>
          <w:trHeight w:val="20"/>
        </w:trPr>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77" w:right="239" w:bottom="144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6"/>
                <w:szCs w:val="16"/>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5"/>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0" w:type="dxa"/>
            <w:vAlign w:val="bottom"/>
          </w:tcPr>
          <w:p>
            <w:pPr>
              <w:spacing w:after="0"/>
              <w:rPr>
                <w:sz w:val="1"/>
                <w:szCs w:val="1"/>
                <w:color w:val="auto"/>
              </w:rPr>
            </w:pPr>
          </w:p>
        </w:tc>
      </w:tr>
      <w:tr>
        <w:trPr>
          <w:trHeight w:val="22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w:t>
            </w:r>
          </w:p>
        </w:tc>
        <w:tc>
          <w:tcPr>
            <w:tcW w:w="0" w:type="dxa"/>
            <w:vAlign w:val="bottom"/>
          </w:tcPr>
          <w:p>
            <w:pPr>
              <w:spacing w:after="0"/>
              <w:rPr>
                <w:sz w:val="1"/>
                <w:szCs w:val="1"/>
                <w:color w:val="auto"/>
              </w:rPr>
            </w:pPr>
          </w:p>
        </w:tc>
      </w:tr>
      <w:tr>
        <w:trPr>
          <w:trHeight w:val="22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2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0" w:type="dxa"/>
            <w:vAlign w:val="bottom"/>
          </w:tcPr>
          <w:p>
            <w:pPr>
              <w:spacing w:after="0"/>
              <w:rPr>
                <w:sz w:val="1"/>
                <w:szCs w:val="1"/>
                <w:color w:val="auto"/>
              </w:rPr>
            </w:pPr>
          </w:p>
        </w:tc>
      </w:tr>
      <w:tr>
        <w:trPr>
          <w:trHeight w:val="245"/>
        </w:trPr>
        <w:tc>
          <w:tcPr>
            <w:tcW w:w="34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Classified as: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40,469</w:t>
            </w:r>
          </w:p>
        </w:tc>
        <w:tc>
          <w:tcPr>
            <w:tcW w:w="0" w:type="dxa"/>
            <w:vAlign w:val="bottom"/>
          </w:tcPr>
          <w:p>
            <w:pPr>
              <w:spacing w:after="0"/>
              <w:rPr>
                <w:sz w:val="1"/>
                <w:szCs w:val="1"/>
                <w:color w:val="auto"/>
              </w:rPr>
            </w:pPr>
          </w:p>
        </w:tc>
      </w:tr>
      <w:tr>
        <w:trPr>
          <w:trHeight w:val="227"/>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25,283</w:t>
            </w:r>
          </w:p>
        </w:tc>
        <w:tc>
          <w:tcPr>
            <w:tcW w:w="0" w:type="dxa"/>
            <w:vAlign w:val="bottom"/>
          </w:tcPr>
          <w:p>
            <w:pPr>
              <w:spacing w:after="0"/>
              <w:rPr>
                <w:sz w:val="1"/>
                <w:szCs w:val="1"/>
                <w:color w:val="auto"/>
              </w:rPr>
            </w:pPr>
          </w:p>
        </w:tc>
      </w:tr>
      <w:tr>
        <w:trPr>
          <w:trHeight w:val="245"/>
        </w:trPr>
        <w:tc>
          <w:tcPr>
            <w:tcW w:w="34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have been no impairments of the Company’s assets measured and carried at fair value during the years ended December 31, 2024 or 2023.</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2" w:name="page93"/>
    <w:bookmarkEnd w:id="9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Restricted Stock Units and Equity Incentive Plans</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has historically had various stock incentive plans and agreements that provide for the issuance of non-qualified and incentive stock options and restricted stock units as well as other equity awards. Such awards may be granted by the Company’s Board of Directors to certain of the Company’s employees, directors and consultants.</w:t>
      </w:r>
    </w:p>
    <w:p>
      <w:pPr>
        <w:spacing w:after="0" w:line="20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Options granted to employees and non-employees under these plans expire no later than ten years from the date of grant. Options and restricted stock units generally become exercisable or vest over a four year period (other than options and restricted stock units awarded annually to non-employee directors, which generally vest over one year, and options and restricted stock units awarded to non-employee directors upon initial appointment to the Vericel Board of Directors, which generally vest over a three year period), under a graded-vesting methodology for stock options and annually on the anniversary grant date for restricted stock units, following the date of grant. The Company generally issues new shares upon the exercise of stock options or vesting of restricted stock units.</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Vericel Corporation 2022 Omnibus Incentive Plan (“2022 Plan”) was approved on April 27, 2022, and provides incentives through the grant of stock options, stock appreciation rights, restricted stock awards and restricted stock units. The exercise price of stock options granted under the 2022 Plan shall not be less than the fair market value of the Company’s common stock on the date of grant. The 2022 Plan replaced the 1992 Stock Option Plan, the 2001 Stock Option Plan, the Amended and Restated 2004 Equity Incentive Plan, the 2009 Second Amended and Restated Omnibus Incentive Plan, the 2017 Omnibus Incentive Plan, and the Amended and Restated 2019 Omnibus Incentive Plan (collectively the “Prior Plans”), and no new grants have been granted under the Prior Plans after approval of the 2022 Plan. However, the expiration or forfeiture of options previously granted under the Prior Plans will increase the number of shares available for issuance under the 2022 Plan.</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2024, there were 1,189,503 shares available for future grant under the 2022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24"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Non-cash stock-based compensation expense (service-based stock options, restricted stock units and employee stock purchase plan) is summarized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4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7"/>
        </w:trPr>
        <w:tc>
          <w:tcPr>
            <w:tcW w:w="5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0" w:type="dxa"/>
            <w:vAlign w:val="bottom"/>
          </w:tcPr>
          <w:p>
            <w:pPr>
              <w:spacing w:after="0"/>
              <w:rPr>
                <w:sz w:val="1"/>
                <w:szCs w:val="1"/>
                <w:color w:val="auto"/>
              </w:rPr>
            </w:pPr>
          </w:p>
        </w:tc>
      </w:tr>
      <w:tr>
        <w:trPr>
          <w:trHeight w:val="227"/>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0" w:type="dxa"/>
            <w:vAlign w:val="bottom"/>
          </w:tcPr>
          <w:p>
            <w:pPr>
              <w:spacing w:after="0"/>
              <w:rPr>
                <w:sz w:val="1"/>
                <w:szCs w:val="1"/>
                <w:color w:val="auto"/>
              </w:rPr>
            </w:pPr>
          </w:p>
        </w:tc>
      </w:tr>
      <w:tr>
        <w:trPr>
          <w:trHeight w:val="227"/>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0" w:type="dxa"/>
            <w:vAlign w:val="bottom"/>
          </w:tcPr>
          <w:p>
            <w:pPr>
              <w:spacing w:after="0"/>
              <w:rPr>
                <w:sz w:val="1"/>
                <w:szCs w:val="1"/>
                <w:color w:val="auto"/>
              </w:rPr>
            </w:pPr>
          </w:p>
        </w:tc>
      </w:tr>
      <w:tr>
        <w:trPr>
          <w:trHeight w:val="220"/>
        </w:trPr>
        <w:tc>
          <w:tcPr>
            <w:tcW w:w="5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Service-Based Stock Options</w:t>
      </w:r>
    </w:p>
    <w:p>
      <w:pPr>
        <w:spacing w:after="0" w:line="224"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fair value of each service-based stock option grant for the reported periods is estimated on the date of the grant using the Black-Scholes option-pricing model using the assumptions noted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Service-Based Stock Options</w:t>
            </w: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32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jc w:val="center"/>
              <w:ind w:right="8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jc w:val="center"/>
              <w:ind w:right="8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7"/>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7"/>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- 62.5%</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- 66.7%</w:t>
            </w:r>
          </w:p>
        </w:tc>
        <w:tc>
          <w:tcPr>
            <w:tcW w:w="16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63.8 - 75.3%</w:t>
            </w:r>
          </w:p>
        </w:tc>
        <w:tc>
          <w:tcPr>
            <w:tcW w:w="0" w:type="dxa"/>
            <w:vAlign w:val="bottom"/>
          </w:tcPr>
          <w:p>
            <w:pPr>
              <w:spacing w:after="0"/>
              <w:rPr>
                <w:sz w:val="1"/>
                <w:szCs w:val="1"/>
                <w:color w:val="auto"/>
              </w:rPr>
            </w:pPr>
          </w:p>
        </w:tc>
      </w:tr>
      <w:tr>
        <w:trPr>
          <w:trHeight w:val="227"/>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- 4.7%</w:t>
            </w:r>
          </w:p>
        </w:tc>
        <w:tc>
          <w:tcPr>
            <w:tcW w:w="16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1.50 -4.4%</w:t>
            </w:r>
          </w:p>
        </w:tc>
        <w:tc>
          <w:tcPr>
            <w:tcW w:w="0" w:type="dxa"/>
            <w:vAlign w:val="bottom"/>
          </w:tcPr>
          <w:p>
            <w:pPr>
              <w:spacing w:after="0"/>
              <w:rPr>
                <w:sz w:val="1"/>
                <w:szCs w:val="1"/>
                <w:color w:val="auto"/>
              </w:rPr>
            </w:pPr>
          </w:p>
        </w:tc>
      </w:tr>
      <w:tr>
        <w:trPr>
          <w:trHeight w:val="227"/>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940" w:type="dxa"/>
            <w:vAlign w:val="bottom"/>
          </w:tcPr>
          <w:p>
            <w:pPr>
              <w:spacing w:after="0"/>
              <w:rPr>
                <w:sz w:val="19"/>
                <w:szCs w:val="19"/>
                <w:color w:val="auto"/>
              </w:rPr>
            </w:pPr>
          </w:p>
        </w:tc>
        <w:tc>
          <w:tcPr>
            <w:tcW w:w="1220" w:type="dxa"/>
            <w:vAlign w:val="bottom"/>
          </w:tcPr>
          <w:p>
            <w:pPr>
              <w:jc w:val="center"/>
              <w:ind w:right="876"/>
              <w:spacing w:after="0"/>
              <w:rPr>
                <w:sz w:val="20"/>
                <w:szCs w:val="20"/>
                <w:color w:val="auto"/>
              </w:rPr>
            </w:pPr>
            <w:r>
              <w:rPr>
                <w:rFonts w:ascii="Times New Roman" w:cs="Times New Roman" w:eastAsia="Times New Roman" w:hAnsi="Times New Roman"/>
                <w:sz w:val="18"/>
                <w:szCs w:val="18"/>
                <w:color w:val="auto"/>
                <w:w w:val="97"/>
              </w:rPr>
              <w:t>5.5</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Pr>
          <w:p>
            <w:pPr>
              <w:jc w:val="center"/>
              <w:ind w:right="856"/>
              <w:spacing w:after="0"/>
              <w:rPr>
                <w:sz w:val="20"/>
                <w:szCs w:val="20"/>
                <w:color w:val="auto"/>
              </w:rPr>
            </w:pPr>
            <w:r>
              <w:rPr>
                <w:rFonts w:ascii="Times New Roman" w:cs="Times New Roman" w:eastAsia="Times New Roman" w:hAnsi="Times New Roman"/>
                <w:sz w:val="18"/>
                <w:szCs w:val="18"/>
                <w:color w:val="auto"/>
                <w:w w:val="97"/>
              </w:rPr>
              <w:t>5.5</w:t>
            </w:r>
          </w:p>
        </w:tc>
        <w:tc>
          <w:tcPr>
            <w:tcW w:w="16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5.3 - 6.3</w:t>
            </w:r>
          </w:p>
        </w:tc>
        <w:tc>
          <w:tcPr>
            <w:tcW w:w="0" w:type="dxa"/>
            <w:vAlign w:val="bottom"/>
          </w:tcPr>
          <w:p>
            <w:pPr>
              <w:spacing w:after="0"/>
              <w:rPr>
                <w:sz w:val="1"/>
                <w:szCs w:val="1"/>
                <w:color w:val="auto"/>
              </w:rPr>
            </w:pPr>
          </w:p>
        </w:tc>
      </w:tr>
      <w:tr>
        <w:trPr>
          <w:trHeight w:val="227"/>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2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$28.05</w:t>
            </w:r>
          </w:p>
        </w:tc>
        <w:tc>
          <w:tcPr>
            <w:tcW w:w="16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$18.85</w:t>
            </w:r>
          </w:p>
        </w:tc>
        <w:tc>
          <w:tcPr>
            <w:tcW w:w="16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for service-based stock options for the indicated periods: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ind w:left="209"/>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58"/>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Service-Based Stock Options</w:t>
            </w:r>
          </w:p>
        </w:tc>
        <w:tc>
          <w:tcPr>
            <w:tcW w:w="17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3"/>
                <w:szCs w:val="13"/>
                <w:color w:val="auto"/>
              </w:rPr>
            </w:pPr>
          </w:p>
        </w:tc>
        <w:tc>
          <w:tcPr>
            <w:tcW w:w="1440" w:type="dxa"/>
            <w:vAlign w:val="bottom"/>
          </w:tcPr>
          <w:p>
            <w:pPr>
              <w:jc w:val="right"/>
              <w:ind w:right="155"/>
              <w:spacing w:after="0" w:line="158"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1380" w:type="dxa"/>
            <w:vAlign w:val="bottom"/>
          </w:tcPr>
          <w:p>
            <w:pPr>
              <w:jc w:val="center"/>
              <w:ind w:left="209"/>
              <w:spacing w:after="0" w:line="158"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81"/>
              <w:spacing w:after="0" w:line="158"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3"/>
        </w:trPr>
        <w:tc>
          <w:tcPr>
            <w:tcW w:w="4820" w:type="dxa"/>
            <w:vAlign w:val="bottom"/>
            <w:gridSpan w:val="2"/>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6"/>
                <w:szCs w:val="16"/>
                <w:color w:val="auto"/>
              </w:rPr>
            </w:pPr>
          </w:p>
        </w:tc>
        <w:tc>
          <w:tcPr>
            <w:tcW w:w="1380" w:type="dxa"/>
            <w:vAlign w:val="bottom"/>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27"/>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6,716,686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88,387</w:t>
            </w:r>
          </w:p>
        </w:tc>
        <w:tc>
          <w:tcPr>
            <w:tcW w:w="0" w:type="dxa"/>
            <w:vAlign w:val="bottom"/>
          </w:tcPr>
          <w:p>
            <w:pPr>
              <w:spacing w:after="0"/>
              <w:rPr>
                <w:sz w:val="1"/>
                <w:szCs w:val="1"/>
                <w:color w:val="auto"/>
              </w:rPr>
            </w:pPr>
          </w:p>
        </w:tc>
      </w:tr>
      <w:tr>
        <w:trPr>
          <w:trHeight w:val="227"/>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(1,544,653)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5,764,107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137,365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4,381,393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of December 31, 2024, 5,615,834 shares are vested and expected to vest. As of December 31, 2024, there was approximately $18.7 million of total unrecognized compensation cost related to non-vested service-based stock options granted under the 2022 Plan and the Prior Plans. That cost is expected to be recognized over a weighted-average period of 2.6 years.</w:t>
      </w:r>
    </w:p>
    <w:p>
      <w:pPr>
        <w:spacing w:after="0" w:line="17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total intrinsic value of stock options exercised for the years ended December 31, 2024, 2023, and 2022 was $50.1 million, $7.5 million and $5.4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for restricted stock units for the indicated periods:</w:t>
      </w:r>
    </w:p>
    <w:p>
      <w:pPr>
        <w:spacing w:after="0" w:line="119"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7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Weighted-Average Grant</w:t>
            </w:r>
          </w:p>
        </w:tc>
        <w:tc>
          <w:tcPr>
            <w:tcW w:w="0" w:type="dxa"/>
            <w:vAlign w:val="bottom"/>
          </w:tcPr>
          <w:p>
            <w:pPr>
              <w:spacing w:after="0"/>
              <w:rPr>
                <w:sz w:val="1"/>
                <w:szCs w:val="1"/>
                <w:color w:val="auto"/>
              </w:rPr>
            </w:pPr>
          </w:p>
        </w:tc>
      </w:tr>
      <w:tr>
        <w:trPr>
          <w:trHeight w:val="192"/>
        </w:trPr>
        <w:tc>
          <w:tcPr>
            <w:tcW w:w="4100" w:type="dxa"/>
            <w:vAlign w:val="bottom"/>
            <w:gridSpan w:val="2"/>
            <w:vMerge w:val="continue"/>
          </w:tcPr>
          <w:p>
            <w:pPr>
              <w:spacing w:after="0"/>
              <w:rPr>
                <w:sz w:val="16"/>
                <w:szCs w:val="16"/>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0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6"/>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930,936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1,135,261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weighted-average grant-date fair value of restricted stock units granted during the years ended December 31, 2024, 2023, and 2022 was $48.20, $30.36 and $33.71, respectively.</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At December 31, 2024 the total unrecognized compensation cost related to the restricted stock units was $27.0 million, and the weighted-average period over which that cost is expected to be recognized was 2.7 years. The total fair value of restricted stock units vested in the years ended December 31, 2024 and 2023 was $15.7 million and $6.8 million respectively.</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Employees are able to purchase stock under the ESPP. The ESPP allows for the issuance of an aggregate of 1.0 million shares of common stock of which 889,342 have been issued since the inception of the benefit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Revolving Credit Agreement</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July 29, 2022, the Company, as borrower, entered into a $150.0 million five-year senior secured revolving credit agreement by and among the Company, the other loan parties thereto, the lenders party thereto, and JPMorgan Chase Bank, N.A., as the administrative agent (the “Revolving Credit Agreement”). The Revolving Credit Agreement includes a $15.0 million sub-facility for the issuance of letters of credit, of which the Company is utilizing approximately $6.2 million. Amounts available under the Revolving Credit Agreement are for the working capital needs and other general corporate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4" w:name="page95"/>
    <w:bookmarkEnd w:id="9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purposes of the Company. The Company incurred and capitalized approximately $1.1 million of debt issuance costs related to the Revolving Credit Agreement.</w:t>
      </w:r>
    </w:p>
    <w:p>
      <w:pPr>
        <w:spacing w:after="0" w:line="18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Outstanding borrowings under the Revolving Credit Agreement bear interest, with pricing based from time to time at the Company’s election at (i) the Secured Overnight Financing Rate (“SOFR”) plus 0.10% plus a spread ranging from 1.25% to 2.50% as determined by the Company’s Total Net Leverage Ratio (as defined in the Revolving Credit Agreement) or (ii) the alternative base rate (as defined in the Revolving Credit Agreement) plus a spread ranging from 0.25% to 1.50% as determined by the Company’s Total Net Leverage Ratio. The Revolving Credit Agreement also includes a commitment fee, which ranges from 0.20% to 0.25% as determined by the Company’s Total Net Leverage Ratio.</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is permitted to voluntarily prepay borrowings under the Revolving Credit Agreement, in whole or in part, without premium or penalty. On any business day on which the total amount of outstanding Revolving Loans (as defined in the Revolving Credit Agreement) and letters of credit exceeds the total Revolving Commitments (as defined in the Revolving Credit Agreement), the Company must prepay the Revolving Loans in an amount equal to such excess. As of December 31, 2024, there are no outstanding borrowings under the Revolving Credit Agreement.</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Revolving Credit Agreement contains a number of affirmative, negative, reporting and financial covenants, in each case subject to certain exceptions and materiality thresholds. The Revolving Credit Agreement requires the Company to be in quarterly compliance, measured on a trailing four quarter basis, with a financial covenant. The maximum Total Net Leverage Ratio (as defined in the Revolving Credit Agreement is 3.50 to 1.00. The Company may elect to increase the maximum Total Net Leverage Ratio to 4.00 to 1.00 for a period of four consecutive quarters in connection with a Permitted Acquisition (as defined in the Revolving Credit Agreement).</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Revolving Credit Agreement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Obligations under the Revolving Credit Agreement are secured by first priority liens over substantially all of the assets of Vericel Corporation, excluding certain subsidiaries (subject to customary exclusions set forth in the Revolving Credit Agreement and the other transaction documents).</w:t>
      </w:r>
    </w:p>
    <w:p>
      <w:pPr>
        <w:spacing w:after="0" w:line="185" w:lineRule="exact"/>
        <w:rPr>
          <w:sz w:val="20"/>
          <w:szCs w:val="20"/>
          <w:color w:val="auto"/>
        </w:rPr>
      </w:pPr>
    </w:p>
    <w:p>
      <w:pPr>
        <w:ind w:left="220" w:hanging="213"/>
        <w:spacing w:after="0"/>
        <w:tabs>
          <w:tab w:leader="none" w:pos="2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Common Share</w:t>
      </w:r>
    </w:p>
    <w:p>
      <w:pPr>
        <w:spacing w:after="0" w:line="250"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net income (loss) per common share is presented below:</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9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52"/>
        </w:trPr>
        <w:tc>
          <w:tcPr>
            <w:tcW w:w="5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5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47,130</w:t>
            </w:r>
          </w:p>
        </w:tc>
        <w:tc>
          <w:tcPr>
            <w:tcW w:w="0" w:type="dxa"/>
            <w:vAlign w:val="bottom"/>
          </w:tcPr>
          <w:p>
            <w:pPr>
              <w:spacing w:after="0"/>
              <w:rPr>
                <w:sz w:val="1"/>
                <w:szCs w:val="1"/>
                <w:color w:val="auto"/>
              </w:rPr>
            </w:pPr>
          </w:p>
        </w:tc>
      </w:tr>
      <w:tr>
        <w:trPr>
          <w:trHeight w:val="227"/>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51,679</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Diluted income (loss) per common share</w:t>
            </w:r>
          </w:p>
        </w:tc>
        <w:tc>
          <w:tcPr>
            <w:tcW w:w="380" w:type="dxa"/>
            <w:vAlign w:val="bottom"/>
            <w:tcBorders>
              <w:bottom w:val="single" w:sz="8" w:color="auto"/>
            </w:tcBorders>
          </w:tcPr>
          <w:p>
            <w:pPr>
              <w:jc w:val="right"/>
              <w:ind w:right="1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7"/>
                <w:szCs w:val="17"/>
                <w:color w:val="auto"/>
              </w:rPr>
            </w:pPr>
          </w:p>
        </w:tc>
        <w:tc>
          <w:tcPr>
            <w:tcW w:w="380" w:type="dxa"/>
            <w:vAlign w:val="bottom"/>
            <w:tcBorders>
              <w:bottom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9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loss per common share:</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0" w:type="dxa"/>
            <w:vAlign w:val="bottom"/>
          </w:tcPr>
          <w:p>
            <w:pPr>
              <w:spacing w:after="0"/>
              <w:rPr>
                <w:sz w:val="1"/>
                <w:szCs w:val="1"/>
                <w:color w:val="auto"/>
              </w:rPr>
            </w:pPr>
          </w:p>
        </w:tc>
      </w:tr>
      <w:tr>
        <w:trPr>
          <w:trHeight w:val="232"/>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20" w:lineRule="exact"/>
        <w:rPr>
          <w:sz w:val="20"/>
          <w:szCs w:val="20"/>
          <w:color w:val="auto"/>
        </w:rPr>
      </w:pPr>
    </w:p>
    <w:p>
      <w:pPr>
        <w:ind w:left="640" w:hanging="313"/>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5"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w:t>
      </w:r>
    </w:p>
    <w:p>
      <w:pPr>
        <w:ind w:left="640" w:right="20" w:hanging="313"/>
        <w:spacing w:after="0" w:line="255"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8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commercial paper, corporate notes, U.S. government securities, and U.S. government agency bonds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deferred compensation plan liabilities are recorded at the value of the amount owed to the plan participants, with changes in value recognized as compensation expense. The calculation of the deferred compensation plan obligation is derived from observable market data by reference to hypothetical investments selected by the participants. There were no transfers into or out of Level 3 from December 31, 2022 to December 31, 2024.</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valuation of the Company’s financial assets and liabilities that are measured at fair value on a recurring basis:</w:t>
      </w:r>
    </w:p>
    <w:p>
      <w:pPr>
        <w:sectPr>
          <w:pgSz w:w="11900" w:h="16838" w:orient="portrait"/>
          <w:cols w:equalWidth="0" w:num="1">
            <w:col w:w="11240"/>
          </w:cols>
          <w:pgMar w:left="320" w:top="177" w:right="339" w:bottom="1440" w:gutter="0" w:footer="0" w:header="0"/>
        </w:sectPr>
      </w:pPr>
    </w:p>
    <w:p>
      <w:pPr>
        <w:spacing w:after="0" w:line="37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1927860</wp:posOffset>
            </wp:positionH>
            <wp:positionV relativeFrom="paragraph">
              <wp:posOffset>31750</wp:posOffset>
            </wp:positionV>
            <wp:extent cx="25247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31750</wp:posOffset>
            </wp:positionV>
            <wp:extent cx="25584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58415" cy="8255"/>
                    </a:xfrm>
                    <a:prstGeom prst="rect">
                      <a:avLst/>
                    </a:prstGeom>
                    <a:noFill/>
                  </pic:spPr>
                </pic:pic>
              </a:graphicData>
            </a:graphic>
          </wp:anchor>
        </w:drawing>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30" w:lineRule="exact"/>
        <w:rPr>
          <w:sz w:val="20"/>
          <w:szCs w:val="20"/>
          <w:color w:val="auto"/>
        </w:rPr>
      </w:pPr>
    </w:p>
    <w:p>
      <w:pPr>
        <w:sectPr>
          <w:pgSz w:w="11900" w:h="16838" w:orient="portrait"/>
          <w:cols w:equalWidth="0" w:num="2">
            <w:col w:w="7840" w:space="720"/>
            <w:col w:w="2680"/>
          </w:cols>
          <w:pgMar w:left="320" w:top="177" w:right="3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7"/>
        </w:trPr>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27"/>
        </w:trPr>
        <w:tc>
          <w:tcPr>
            <w:tcW w:w="2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920" w:type="dxa"/>
            <w:vAlign w:val="bottom"/>
            <w:gridSpan w:val="2"/>
            <w:shd w:val="clear" w:color="auto" w:fill="CCEEFF"/>
          </w:tcPr>
          <w:p>
            <w:pPr>
              <w:ind w:left="120"/>
              <w:spacing w:after="0" w:line="226"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920" w:type="dxa"/>
            <w:vAlign w:val="bottom"/>
            <w:gridSpan w:val="2"/>
            <w:shd w:val="clear" w:color="auto" w:fill="CCEEFF"/>
          </w:tcPr>
          <w:p>
            <w:pPr>
              <w:ind w:left="120"/>
              <w:spacing w:after="0" w:line="226" w:lineRule="exact"/>
              <w:rPr>
                <w:sz w:val="20"/>
                <w:szCs w:val="20"/>
                <w:color w:val="auto"/>
              </w:rPr>
            </w:pPr>
            <w:r>
              <w:rPr>
                <w:rFonts w:ascii="Times New Roman" w:cs="Times New Roman" w:eastAsia="Times New Roman" w:hAnsi="Times New Roman"/>
                <w:sz w:val="18"/>
                <w:szCs w:val="18"/>
                <w:color w:val="auto"/>
              </w:rPr>
              <w:t xml:space="preserve">U.S. government agency bonds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920" w:type="dxa"/>
            <w:vAlign w:val="bottom"/>
            <w:gridSpan w:val="2"/>
          </w:tcPr>
          <w:p>
            <w:pPr>
              <w:ind w:left="140"/>
              <w:spacing w:after="0" w:line="226" w:lineRule="exact"/>
              <w:rPr>
                <w:sz w:val="20"/>
                <w:szCs w:val="20"/>
                <w:color w:val="auto"/>
              </w:rPr>
            </w:pPr>
            <w:r>
              <w:rPr>
                <w:rFonts w:ascii="Times New Roman" w:cs="Times New Roman" w:eastAsia="Times New Roman" w:hAnsi="Times New Roman"/>
                <w:sz w:val="18"/>
                <w:szCs w:val="18"/>
                <w:color w:val="auto"/>
              </w:rPr>
              <w:t xml:space="preserve">U.S. government securities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2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7"/>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73"/>
        </w:trPr>
        <w:tc>
          <w:tcPr>
            <w:tcW w:w="2920" w:type="dxa"/>
            <w:vAlign w:val="bottom"/>
            <w:gridSpan w:val="2"/>
          </w:tcPr>
          <w:p>
            <w:pPr>
              <w:ind w:left="120"/>
              <w:spacing w:after="0" w:line="174" w:lineRule="exact"/>
              <w:rPr>
                <w:sz w:val="20"/>
                <w:szCs w:val="20"/>
                <w:color w:val="auto"/>
              </w:rPr>
            </w:pPr>
            <w:r>
              <w:rPr>
                <w:rFonts w:ascii="Times New Roman" w:cs="Times New Roman" w:eastAsia="Times New Roman" w:hAnsi="Times New Roman"/>
                <w:sz w:val="18"/>
                <w:szCs w:val="18"/>
                <w:color w:val="auto"/>
              </w:rPr>
              <w:t>Deferred compensation plan</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0"/>
        </w:trPr>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2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firstLine="247"/>
        <w:spacing w:after="0" w:line="219" w:lineRule="auto"/>
        <w:tabs>
          <w:tab w:leader="none" w:pos="40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Approximately $16.2 million of U.S. government securities as of December 31, 2024, and approximately $23.9 million of U.S. government securities and $1.2 million of commercial paper as of December 31, 2023, had an original maturity of 90 days or less and were recorded as a cash equivalent.</w:t>
      </w:r>
    </w:p>
    <w:p>
      <w:pPr>
        <w:spacing w:after="0" w:line="235"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fair values of the cash equivalents and marketable securities are based on observable market prices. The Company’s accounts receivables, accounts payable and accrued expenses are valued at 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96" w:name="page97"/>
    <w:bookmarkEnd w:id="9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loss before income taxes are summarized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78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7"/>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w:t>
            </w:r>
          </w:p>
        </w:tc>
        <w:tc>
          <w:tcPr>
            <w:tcW w:w="0" w:type="dxa"/>
            <w:vAlign w:val="bottom"/>
          </w:tcPr>
          <w:p>
            <w:pPr>
              <w:spacing w:after="0"/>
              <w:rPr>
                <w:sz w:val="1"/>
                <w:szCs w:val="1"/>
                <w:color w:val="auto"/>
              </w:rPr>
            </w:pPr>
          </w:p>
        </w:tc>
      </w:tr>
      <w:tr>
        <w:trPr>
          <w:trHeight w:val="227"/>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5"/>
        </w:trPr>
        <w:tc>
          <w:tcPr>
            <w:tcW w:w="5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 reconciliation of income taxes computed using the U.S. federal statutory rate to the taxes reported in the consolidated statements of operations is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7"/>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10,510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(2,368)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gridSpan w:val="2"/>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(15,988)</w:t>
            </w:r>
          </w:p>
        </w:tc>
        <w:tc>
          <w:tcPr>
            <w:tcW w:w="0" w:type="dxa"/>
            <w:vAlign w:val="bottom"/>
          </w:tcPr>
          <w:p>
            <w:pPr>
              <w:spacing w:after="0"/>
              <w:rPr>
                <w:sz w:val="1"/>
                <w:szCs w:val="1"/>
                <w:color w:val="auto"/>
              </w:rPr>
            </w:pPr>
          </w:p>
        </w:tc>
      </w:tr>
      <w:tr>
        <w:trPr>
          <w:trHeight w:val="227"/>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computed at federal statutory rate</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rPr>
                <w:sz w:val="1"/>
                <w:szCs w:val="1"/>
                <w:color w:val="auto"/>
              </w:rPr>
            </w:pPr>
          </w:p>
        </w:tc>
      </w:tr>
      <w:tr>
        <w:trPr>
          <w:trHeight w:val="227"/>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44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stock-based compensation</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(6,547)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27"/>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and state rate change</w:t>
            </w:r>
          </w:p>
        </w:tc>
        <w:tc>
          <w:tcPr>
            <w:tcW w:w="44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orphan drug credits</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7"/>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adjustment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7,374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(4,603)</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2,466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3,343</w:t>
            </w:r>
          </w:p>
        </w:tc>
        <w:tc>
          <w:tcPr>
            <w:tcW w:w="0" w:type="dxa"/>
            <w:vAlign w:val="bottom"/>
          </w:tcPr>
          <w:p>
            <w:pPr>
              <w:spacing w:after="0"/>
              <w:rPr>
                <w:sz w:val="1"/>
                <w:szCs w:val="1"/>
                <w:color w:val="auto"/>
              </w:rPr>
            </w:pPr>
          </w:p>
        </w:tc>
      </w:tr>
      <w:tr>
        <w:trPr>
          <w:trHeight w:val="245"/>
        </w:trPr>
        <w:tc>
          <w:tcPr>
            <w:tcW w:w="5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Reported income taxes</w:t>
            </w: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gridSpan w:val="2"/>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Deferred tax assets (liabilities) consist of the following:</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5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60" w:type="dxa"/>
            <w:vAlign w:val="bottom"/>
            <w:gridSpan w:val="6"/>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5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50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3"/>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15,481</w:t>
            </w:r>
          </w:p>
        </w:tc>
        <w:tc>
          <w:tcPr>
            <w:tcW w:w="20" w:type="dxa"/>
            <w:vAlign w:val="bottom"/>
          </w:tcPr>
          <w:p>
            <w:pPr>
              <w:spacing w:after="0"/>
              <w:rPr>
                <w:sz w:val="19"/>
                <w:szCs w:val="19"/>
                <w:color w:val="auto"/>
              </w:rPr>
            </w:pPr>
          </w:p>
        </w:tc>
        <w:tc>
          <w:tcPr>
            <w:tcW w:w="48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benefits and stock-based compensation</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24,812</w:t>
            </w:r>
          </w:p>
        </w:tc>
        <w:tc>
          <w:tcPr>
            <w:tcW w:w="0" w:type="dxa"/>
            <w:vAlign w:val="bottom"/>
          </w:tcPr>
          <w:p>
            <w:pPr>
              <w:spacing w:after="0"/>
              <w:rPr>
                <w:sz w:val="1"/>
                <w:szCs w:val="1"/>
                <w:color w:val="auto"/>
              </w:rPr>
            </w:pPr>
          </w:p>
        </w:tc>
      </w:tr>
      <w:tr>
        <w:trPr>
          <w:trHeight w:val="227"/>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27"/>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20,849</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reserve</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0" w:type="dxa"/>
            <w:vAlign w:val="bottom"/>
          </w:tcPr>
          <w:p>
            <w:pPr>
              <w:spacing w:after="0"/>
              <w:rPr>
                <w:sz w:val="1"/>
                <w:szCs w:val="1"/>
                <w:color w:val="auto"/>
              </w:rPr>
            </w:pPr>
          </w:p>
        </w:tc>
      </w:tr>
      <w:tr>
        <w:trPr>
          <w:trHeight w:val="227"/>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 credit carryforward</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0"/>
        </w:trPr>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73,795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70,667</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(45,153)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(49,755)</w:t>
            </w:r>
          </w:p>
        </w:tc>
        <w:tc>
          <w:tcPr>
            <w:tcW w:w="0" w:type="dxa"/>
            <w:vAlign w:val="bottom"/>
          </w:tcPr>
          <w:p>
            <w:pPr>
              <w:spacing w:after="0"/>
              <w:rPr>
                <w:sz w:val="1"/>
                <w:szCs w:val="1"/>
                <w:color w:val="auto"/>
              </w:rPr>
            </w:pPr>
          </w:p>
        </w:tc>
      </w:tr>
      <w:tr>
        <w:trPr>
          <w:trHeight w:val="220"/>
        </w:trPr>
        <w:tc>
          <w:tcPr>
            <w:tcW w:w="5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28,642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20,912</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(18,056)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(10,586)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20"/>
        </w:trPr>
        <w:tc>
          <w:tcPr>
            <w:tcW w:w="55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net deferred tax liabilities</w:t>
            </w:r>
          </w:p>
        </w:tc>
        <w:tc>
          <w:tcPr>
            <w:tcW w:w="4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rPr>
              <w:t>(28,642)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(20,912)</w:t>
            </w:r>
          </w:p>
        </w:tc>
        <w:tc>
          <w:tcPr>
            <w:tcW w:w="0" w:type="dxa"/>
            <w:vAlign w:val="bottom"/>
          </w:tcPr>
          <w:p>
            <w:pPr>
              <w:spacing w:after="0"/>
              <w:rPr>
                <w:sz w:val="1"/>
                <w:szCs w:val="1"/>
                <w:color w:val="auto"/>
              </w:rPr>
            </w:pPr>
          </w:p>
        </w:tc>
      </w:tr>
      <w:tr>
        <w:trPr>
          <w:trHeight w:val="245"/>
        </w:trPr>
        <w:tc>
          <w:tcPr>
            <w:tcW w:w="55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deferred tax assets and liabilities</w:t>
            </w: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7" w:name="page98"/>
    <w:bookmarkEnd w:id="9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As of December 31, 2024, the Company had U.S. federal net operating loss carryforwards of $56.6 million, of which $10.9 million begin to expire in 2033 and the remainder do not expire but are subject to 80% limitation. As of December 31, 2024, the Company had state net operating loss carryforwards of $54.9 million that begin to expire in 2027. The projected annual limitation on the use of the net operating losses that existed prior to September 17, 2014 resulting from the Company’s change in control in 2014 per Section 382 of the Internal Revenue Code is $0.8 million. As a result, a significant portion of the net operating losses and tax credit carryforwards will expire prior to their utilization, regardless of the level of future profitability. As of December 31, 2024, the Company’s U.S. federal tax credit carryforwards available to offset future profits are $10.9 million. These credit carryforwards expire between 2027 and 2044.</w:t>
      </w:r>
    </w:p>
    <w:p>
      <w:pPr>
        <w:spacing w:after="0" w:line="213"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accordance with the accounting guidance for income taxes, the Company estimates whether recoverability of its deferred tax assets is “more likely than not”, based on forecasts of taxable income in the related tax jurisdictions. In this estimate, the Company uses historical results, projected future operating results based upon approved business plans, eligible carry forward periods, tax planning opportunities and other relevant considerations. Based on these factors, including historical losses incurred by the Company, a full valuation allowance for the deferred tax assets, including the deferred tax assets for the aforementioned net operating losses and credits has been provided, since they are not more likely than not to be realized. If sufficient positive evidence exists in future periods to support a release of some or all of the valuation allowance, such a release would likely have a material impact on the Company’s results of operations. The change in the valuation allowance was a decrease of $4.6 million and an increase of $2.5 million for the years ended December 31, 2024 and 2023, respectively.</w:t>
      </w:r>
    </w:p>
    <w:p>
      <w:pPr>
        <w:spacing w:after="0" w:line="21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Company assesses uncertain tax positions in accordance with the guidance for accounting for uncertain tax positions. This pronouncement prescribes a recognition threshold and measurement methodology for recording within the consolidated financial statements uncertain tax positions taken, or expected to be taken, in the Company’s income tax returns. To the extent the uncertain tax positions do not meet the “more likely than not” threshold, the Company derecognizes such positions. To the extent the uncertain tax positions meet the “more likely than not” threshold, the Company measures and records the highest probable benefit, and establishes appropriate reserves for benefits that exceed the amount likely to be sustained upon examination. The Company currently has not recorded any uncertain tax positions and does not anticipate that unrecognized tax benefits will significantly increase or decrease within the next twelve months.</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files U.S. federal and state income tax returns with varying statutes of limitations. During the year ended December 31, 2020, examinations by U.S. tax authorities were completed for 2017 and 2018. The Company is currently under examination by U.S. tax authorities for the tax year ended December 31, 2021. Due to the Company’s net operating loss carryforwards, federal income tax returns from incorporation are still subject to examination. The Company files in several state tax jurisdictions and is subject to examination in years ranging from incorporation to 2024.</w:t>
      </w:r>
    </w:p>
    <w:p>
      <w:pPr>
        <w:spacing w:after="0" w:line="204" w:lineRule="exact"/>
        <w:rPr>
          <w:sz w:val="20"/>
          <w:szCs w:val="20"/>
          <w:color w:val="auto"/>
        </w:rPr>
      </w:pPr>
    </w:p>
    <w:p>
      <w:pPr>
        <w:ind w:left="240" w:right="9160" w:hanging="233"/>
        <w:spacing w:after="0" w:line="512" w:lineRule="auto"/>
        <w:tabs>
          <w:tab w:leader="none" w:pos="26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401(k) Plan</w:t>
      </w:r>
    </w:p>
    <w:p>
      <w:pPr>
        <w:spacing w:after="0" w:line="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has a 401(k) savings plan that allows participating employees to contribute a portion of their salary, subject to annual limits and minimum qualifications. The Board may, at its sole discretion, approve Company matching contributions to the plan. The Company made contributions of $1.3 million, $1.2 million and $1.1 million for the years ended December 31, 2024, 2023 and 2022, respectively.</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Non-Qualified Deferred Compensation Plan</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Company has a deferred compensation plan which is a non-qualified deferred compensation plan that is intended to comply with Section 409A of the Code, for its non-employee directors, a select group of executive officers, senior management and highly compensated employees of the Company. Eligible employees may elect to contribute up to 75% of their annual base salary and 100% of their annual bonus, restricted stock units and/or director fees earned to the deferred compensation plan, and such employee contributions are 100% vested. The calculation of the deferred compensation plan obligation is derived from observable market data by reference to hypothetical investments selected by the participants. The deferred compensation plan obligations are payable in cash upon retirement, termination of employment and/or certain other times in lump-sum distribution or in installments, as elected by the participant in accordance with the plan. As of December 31, 2024 the deferred compensation plan liabilities total $0.3 million and are recorded in other long-term liabilities.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NexoBrid License and Supply Agreements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On May 6, 2019, the Company entered into exclusive license and supply agreements with MediWound to commercialize NexoBrid in North America. NexoBrid is a topically-administered biological orphan product containing proteolytic enzymes,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8" w:name="page99"/>
    <w:bookmarkEnd w:id="9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which the FDA approved a BLA in December 2022 permitting the product’s use for the removal of eschar in adults with deep partial-thickness and/or full thickness thermal burns. Subsequently, in August 2024, the FDA approved a supplemental BLA expanding NexoBrid’s indication to include pediatric patients.</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Pursuant to the terms of the license agreement, following the FDA approval of NexoBrid, MediWound transferred the BLA to Vericel. NexoBrid is approved in the European Union (“EU”) and other international markets and has been designated as an orphan biologic in the U.S., EU and other international markets.</w:t>
      </w:r>
    </w:p>
    <w:p>
      <w:pPr>
        <w:spacing w:after="0" w:line="20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May 2019, the Company paid MediWound $17.5 million in consideration for the license, which was recorded as research and development expense during 2019. The FDA’s December 2022 approval of NexoBrid resulted in the achievement of a $7.5 million regulatory milestone payment pursuant to the terms of the license agreement. The Company recorded the $7.5 million milestone for the licensing rights to commercially sell NexoBrid in the U.S. as an intangible asset as of December 31, 2022 (see Note 4, “Selected Balance Sheet Components” for further details). The $7.5 million milestone payment was paid to MediWound in February of 2023.</w:t>
      </w:r>
    </w:p>
    <w:p>
      <w:pPr>
        <w:spacing w:after="0" w:line="21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Additionally, the Company is obligated to pay MediWound up to $125.0 million, which is contingent upon meeting certain sales milestones. The first sales milestone payment of $7.5 million would be triggered when annual net sales of NexoBrid or improvements to NexoBrid in North America exceed $75.0 million. As of December 31, 2024, the sales milestone payments are not yet probable and therefore, not recorded as a liability. The Company pays MediWound tiered royalties on net sales ranging from mid-high single-digit to mid-teen percentages, subject to customary reductions. Pursuant to the terms of the Company’s supply agreement with MediWound, MediWound is manufacturing, and will continue to manufacture NexoBrid for the Company on a unit price basis, which may be increased pursuant to the terms of the supply agreement. MediWound is obligated to supply the Company with NexoBrid for sale in North America on an exclusive basis for the first five years of the term of the supply agreement. Under the supply agreement, the Company possesses the option to extend the initial term of the agreement by an additional 24 months, which it did in May 2022. After the initial term, the Company may extend the supply agreement on an annual basis for up to 10 additional years, at its sole discretion. Under the supply agreement, the Company is permitted to establish an alternate source of supply in certain circumstances, including the event of a supply failure.</w:t>
      </w:r>
    </w:p>
    <w:p>
      <w:pPr>
        <w:spacing w:after="0" w:line="21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Additionally, beginning in 2020, BARDA procured quantities of NexoBrid from MediWound for use as a medical countermeasure in the event of a mass casualty emergency in the U.S. involving thermal burns. The initial, quarterly, procurement of NexoBrid by BARDA under its agreement with MediWound was completed during the third quarter of 2022. As a part of BARDA’s commitment to procure NexoBrid, the Company received a percentage of gross profit for sales directly to BARDA. As of December 31, 2024, the Company did not hold a direct contract or distribution agreement with BARDA, or take title to the product procured by BARDA.</w:t>
      </w:r>
    </w:p>
    <w:p>
      <w:pPr>
        <w:spacing w:after="0" w:line="208" w:lineRule="exact"/>
        <w:rPr>
          <w:sz w:val="20"/>
          <w:szCs w:val="20"/>
          <w:color w:val="auto"/>
        </w:rPr>
      </w:pPr>
    </w:p>
    <w:p>
      <w:pPr>
        <w:ind w:left="240" w:right="8440" w:hanging="233"/>
        <w:spacing w:after="0" w:line="528" w:lineRule="auto"/>
        <w:tabs>
          <w:tab w:leader="none" w:pos="266"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spacing w:after="0" w:line="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From time-to-time, the Company could be a party to various legal proceedings arising in the ordinary course of business. The costs and outcome of litigation, regulatory, investigatory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consolidated financial statements.</w:t>
      </w:r>
    </w:p>
    <w:p>
      <w:pPr>
        <w:spacing w:after="0" w:line="21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of December 31, 2024, the Company had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9" w:name="page100"/>
    <w:bookmarkEnd w:id="9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Manufacturing and Supply Agreements</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Matricel — </w:t>
      </w:r>
      <w:r>
        <w:rPr>
          <w:rFonts w:ascii="Times New Roman" w:cs="Times New Roman" w:eastAsia="Times New Roman" w:hAnsi="Times New Roman"/>
          <w:sz w:val="18"/>
          <w:szCs w:val="18"/>
          <w:color w:val="auto"/>
        </w:rPr>
        <w:t>On July 1, 2023, the Company renewed its long-term supply agreement with Matricel GmbH (“Matricel”) for the supply of ACI-Maix collagen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membranes used in the manufacture of MACI (the “Matricel Supply Agreement”). In the event Matricel is unable to supply the membranes, the Company may license the technology and procure the membranes from another source. The Matricel Supply Agreement provides that Matricel shall supply the ACI-Maix membranes exclusively to the Company during the term of the agreement. The Matricel Supply Agreement is effective until December 31, 2030, with an option to extend its term for three additional years to December 31, 2033. Thereafter, the Matricel Supply Agreement may be renewed for additional three-year periods. Under the terms of the Matricel Supply Agreement, the Company has committed to annual minimum purchase values totaling approximately €12.5 million over the eight-year term.</w:t>
      </w:r>
    </w:p>
    <w:p>
      <w:pPr>
        <w:spacing w:after="0" w:line="187"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Manufacture, Supply and Other Agreements — </w:t>
      </w:r>
      <w:r>
        <w:rPr>
          <w:rFonts w:ascii="Times New Roman" w:cs="Times New Roman" w:eastAsia="Times New Roman" w:hAnsi="Times New Roman"/>
          <w:sz w:val="18"/>
          <w:szCs w:val="18"/>
          <w:color w:val="auto"/>
        </w:rPr>
        <w:t>The Company has entered into various agreements relating to the manufacture of its products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supply of certain components. If the manufacturing or supply agreements expire or are otherwise terminated, the Company may not be able to identify and obtain ancillary materials that are necessary to develop its products and such expiration and termination could have a material effect on the Company’s business.</w:t>
      </w:r>
    </w:p>
    <w:p>
      <w:pPr>
        <w:spacing w:after="0" w:line="20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Company’s purchase commitments consist of minimum purchase amounts of raw materials and finished goods used in the Company’s cell manufacturing process to manufacture its marketed cell therapy products. In addition, the Company also pays for usage of offsite warehouse space.</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Future minimum purchase commitments related to the Company’s contractual obligations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 (In thousands)</w:t>
            </w:r>
          </w:p>
        </w:tc>
        <w:tc>
          <w:tcPr>
            <w:tcW w:w="22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98"/>
              <w:spacing w:after="0" w:line="127"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3"/>
        </w:trPr>
        <w:tc>
          <w:tcPr>
            <w:tcW w:w="3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7"/>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27"/>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Warehouse operating agreement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00" w:name="page101"/>
    <w:bookmarkEnd w:id="10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operates its business primarily in the U.S. in one reportable segment - the research, product development, manufacture and distribution of cellular therapies and specialty biologics for use in the treatment of specific conditions. The Company is managed on a consolidated basis. The accounting policies, as described in Note 2, “Summary of Significant Accounting Policies” apply to the reportable segment.</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Company’s Chief Executive Officer was determined to be the Company’s chief operating decision maker (“CODM”). The CODM reviews and evaluates revenue, expenses and consolidated net income (loss), consistent with what is reported on the consolidated statement of operations, for purposes of assessing performance, making operating decisions, allocating resources, and planning and forecasting for future periods.</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Company’s revenues are generated in the U.S. and the Company’s long-lived assets, which consist primarily of property and equipment and right-of use assets, are located in U.S.</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additional to the significant expense categories within the Company’s consolidated statements of operations, see below for disaggregated amounts that comprise selling, general and administrative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40" w:type="dxa"/>
            <w:vAlign w:val="bottom"/>
          </w:tcPr>
          <w:p>
            <w:pPr>
              <w:spacing w:after="0"/>
              <w:rPr>
                <w:sz w:val="16"/>
                <w:szCs w:val="16"/>
                <w:color w:val="auto"/>
              </w:rPr>
            </w:pP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0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60,649</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45,977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40" w:type="dxa"/>
            <w:vAlign w:val="bottom"/>
          </w:tcPr>
          <w:p>
            <w:pPr>
              <w:spacing w:after="0"/>
              <w:rPr>
                <w:sz w:val="20"/>
                <w:szCs w:val="20"/>
                <w:color w:val="auto"/>
              </w:rPr>
            </w:pPr>
          </w:p>
        </w:tc>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4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142,791</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120,998</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311"/>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2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40" w:type="dxa"/>
            <w:vAlign w:val="bottom"/>
            <w:tcBorders>
              <w:bottom w:val="single" w:sz="8" w:color="9A9A9A"/>
            </w:tcBorders>
          </w:tcPr>
          <w:p>
            <w:pPr>
              <w:spacing w:after="0"/>
              <w:rPr>
                <w:sz w:val="9"/>
                <w:szCs w:val="9"/>
                <w:color w:val="auto"/>
              </w:rPr>
            </w:pPr>
          </w:p>
        </w:tc>
        <w:tc>
          <w:tcPr>
            <w:tcW w:w="45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01" w:name="page102"/>
    <w:bookmarkEnd w:id="10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Management of the Company, with the participation of the Company’s Chief Executive Officer (“CEO”) and Chief Financial Officer (“CFO”), has evaluated the effectiveness of the Company’s disclosure controls and procedures as defined in Rules 13a-15(e) and 15d-15(e) under the Securities and Exchange Act of 1934, as amended (the “Exchange Act”). Based on that evaluation, the Company’s CEO and CFO (its “Certifying Officers”) concluded that the Company’s disclosure controls and procedures were effective as of the period covered by this report.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Rules 13a-15(f) and 15d-15(f) under the Exchange Act). Our internal control over financial reporting is a process designed under the supervision of our CEO and CFO to provide reasonable assurance regarding the reliability of financial reporting and the preparation of our consolidated financial statements for external purposes in accordance with generally accepted accounting principles.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 xml:space="preserve">Management of the Company evaluated the effectiveness of our internal control over financial reporting using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(2013). Based on this evaluation, management concluded that our internal control over financial reporting was effective as of December 31, 2024.</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PricewaterhouseCoopers LLP, an independent registered public accounting firm, as attested to in their report which appears in Item 8 of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During the three months ended December 31, 2024, there were no material changes made in our internal control over financial reporting (as such term is defined in Rules 13a-15(f) and 15d-15(f) of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02" w:name="page103"/>
    <w:bookmarkEnd w:id="10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4"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with respect to our 2025 Annual Meeting of Shareholders to be filed with the SEC no later than 120 days after the close of our year ended December 31, 2024,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4"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information required with respect to this item will be incorporated herein by reference to our Definitive Proxy Statement for our 2025 Annual Meeting of Shareholders or an amendment of this report to be filed with the SEC no later than 120 days after the close of our year ended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Shareholder Matters</w:t>
      </w:r>
    </w:p>
    <w:p>
      <w:pPr>
        <w:spacing w:after="0" w:line="224"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information required with respect to this item will be incorporated herein by reference to our Definitive Proxy Statement for our 2025 Annual Meeting of Shareholders or an amendment of this report to be filed with the SEC no later than 120 days after the close of our year ended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4"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information required with respect to this item will be incorporated herein by reference to our Definitive Proxy Statement for our 2025 Annual Meeting of Shareholders or an amendment of this report to be filed with the SEC no later than 120 days after the close of our year ended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4"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information required with respect to this item will be incorporated herein by reference to our Definitive Proxy Statement for our 2025 Annual Meeting of Shareholders or an amendment of this report to be filed with the SEC no later than 120 days after the close of our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03" w:name="page104"/>
    <w:bookmarkEnd w:id="10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 and Financial Statement Schedules</w:t>
      </w:r>
    </w:p>
    <w:p>
      <w:pPr>
        <w:spacing w:after="0" w:line="224" w:lineRule="exact"/>
        <w:rPr>
          <w:sz w:val="20"/>
          <w:szCs w:val="20"/>
          <w:color w:val="auto"/>
        </w:rPr>
      </w:pPr>
    </w:p>
    <w:p>
      <w:pPr>
        <w:ind w:left="480" w:hanging="233"/>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19" w:lineRule="exact"/>
        <w:rPr>
          <w:rFonts w:ascii="Times New Roman" w:cs="Times New Roman" w:eastAsia="Times New Roman" w:hAnsi="Times New Roman"/>
          <w:sz w:val="18"/>
          <w:szCs w:val="18"/>
          <w:color w:val="auto"/>
        </w:rPr>
      </w:pPr>
    </w:p>
    <w:p>
      <w:pPr>
        <w:ind w:left="820" w:hanging="173"/>
        <w:spacing w:after="0"/>
        <w:tabs>
          <w:tab w:leader="none" w:pos="8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Financial Statements (see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w:t>
      </w:r>
    </w:p>
    <w:p>
      <w:pPr>
        <w:spacing w:after="0" w:line="25" w:lineRule="exact"/>
        <w:rPr>
          <w:rFonts w:ascii="Times New Roman" w:cs="Times New Roman" w:eastAsia="Times New Roman" w:hAnsi="Times New Roman"/>
          <w:sz w:val="18"/>
          <w:szCs w:val="18"/>
          <w:color w:val="auto"/>
        </w:rPr>
      </w:pPr>
    </w:p>
    <w:p>
      <w:pPr>
        <w:ind w:left="820" w:hanging="173"/>
        <w:spacing w:after="0"/>
        <w:tabs>
          <w:tab w:leader="none" w:pos="82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information is included in the Consolidated Financial Statements or Notes thereto.</w:t>
      </w:r>
    </w:p>
    <w:p>
      <w:pPr>
        <w:spacing w:after="0" w:line="17" w:lineRule="exact"/>
        <w:rPr>
          <w:rFonts w:ascii="Times New Roman" w:cs="Times New Roman" w:eastAsia="Times New Roman" w:hAnsi="Times New Roman"/>
          <w:sz w:val="17"/>
          <w:szCs w:val="17"/>
          <w:color w:val="auto"/>
        </w:rPr>
      </w:pPr>
    </w:p>
    <w:p>
      <w:pPr>
        <w:ind w:left="820" w:hanging="173"/>
        <w:spacing w:after="0"/>
        <w:tabs>
          <w:tab w:leader="none" w:pos="8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Exhibit Index</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77" w:right="1440" w:bottom="1440" w:gutter="0" w:footer="0" w:header="0"/>
        </w:sectPr>
      </w:pPr>
    </w:p>
    <w:bookmarkStart w:id="104" w:name="page105"/>
    <w:bookmarkEnd w:id="10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40" w:type="dxa"/>
        <w:tblCellMar>
          <w:top w:w="0" w:type="dxa"/>
          <w:left w:w="0" w:type="dxa"/>
          <w:bottom w:w="0" w:type="dxa"/>
          <w:right w:w="0" w:type="dxa"/>
        </w:tblCellMar>
      </w:tblPr>
      <w:tr>
        <w:trPr>
          <w:trHeight w:val="236"/>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17"/>
          </w:tcPr>
          <w:p>
            <w:pPr>
              <w:ind w:left="460"/>
              <w:spacing w:after="0"/>
              <w:rPr>
                <w:sz w:val="20"/>
                <w:szCs w:val="20"/>
                <w:color w:val="auto"/>
              </w:rPr>
            </w:pPr>
            <w:r>
              <w:rPr>
                <w:rFonts w:ascii="Times New Roman" w:cs="Times New Roman" w:eastAsia="Times New Roman" w:hAnsi="Times New Roman"/>
                <w:sz w:val="18"/>
                <w:szCs w:val="18"/>
                <w:b w:val="1"/>
                <w:bCs w:val="1"/>
                <w:color w:val="auto"/>
                <w:w w:val="97"/>
              </w:rPr>
              <w:t>EXHIBIT INDEX</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53"/>
        </w:trPr>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80" w:type="dxa"/>
            <w:vAlign w:val="bottom"/>
            <w:gridSpan w:val="27"/>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240"/>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80" w:type="dxa"/>
            <w:vAlign w:val="bottom"/>
            <w:gridSpan w:val="27"/>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02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60" w:type="dxa"/>
            <w:vAlign w:val="bottom"/>
            <w:tcBorders>
              <w:top w:val="single" w:sz="8" w:color="auto"/>
            </w:tcBorders>
            <w:gridSpan w:val="27"/>
            <w:shd w:val="clear" w:color="auto" w:fill="CCEEFF"/>
          </w:tcPr>
          <w:p>
            <w:pPr>
              <w:spacing w:after="0" w:line="180"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Restated Articles of Incorporation of the Company.</w:t>
              </w:r>
            </w:hyperlink>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8"/>
              </w:rPr>
              <w:t>December 17, 2009</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29"/>
          </w:tcPr>
          <w:p>
            <w:pPr>
              <w:spacing w:after="0" w:line="187"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Certificate of Amendment to Restated Articles of Incorporation of</w:t>
              </w:r>
            </w:hyperlink>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333-160044</w:t>
            </w:r>
          </w:p>
        </w:tc>
        <w:tc>
          <w:tcPr>
            <w:tcW w:w="8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31, 2010</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25"/>
          </w:tcPr>
          <w:p>
            <w:pPr>
              <w:spacing w:after="0" w:line="140"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the Company dated February 9, 2010.</w:t>
              </w:r>
            </w:hyperlink>
          </w:p>
        </w:tc>
        <w:tc>
          <w:tcPr>
            <w:tcW w:w="8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29"/>
            <w:shd w:val="clear" w:color="auto" w:fill="CCEEFF"/>
          </w:tcPr>
          <w:p>
            <w:pPr>
              <w:spacing w:after="0" w:line="187"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Certificate of Amendment to Restated Articles of Incorporation of</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March 25, 2011</w:t>
            </w: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600" w:type="dxa"/>
            <w:vAlign w:val="bottom"/>
            <w:tcBorders>
              <w:top w:val="single" w:sz="8" w:color="0000FF"/>
              <w:bottom w:val="single" w:sz="8" w:color="0000FF"/>
            </w:tcBorders>
            <w:gridSpan w:val="8"/>
            <w:shd w:val="clear" w:color="auto" w:fill="CCEEFF"/>
          </w:tcPr>
          <w:p>
            <w:pPr>
              <w:spacing w:after="0" w:line="140"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the Company dated March 22, 2011.</w:t>
              </w:r>
            </w:hyperlink>
          </w:p>
        </w:tc>
        <w:tc>
          <w:tcPr>
            <w:tcW w:w="22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28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7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6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82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960" w:type="dxa"/>
            <w:vAlign w:val="bottom"/>
            <w:tcBorders>
              <w:top w:val="single" w:sz="8" w:color="CCEEFF"/>
            </w:tcBorders>
            <w:gridSpan w:val="29"/>
          </w:tcPr>
          <w:p>
            <w:pPr>
              <w:spacing w:after="0" w:line="187"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Certificate of Amendment to the Restated Articles of Incorporation</w:t>
              </w:r>
            </w:hyperlink>
          </w:p>
        </w:tc>
        <w:tc>
          <w:tcPr>
            <w:tcW w:w="820" w:type="dxa"/>
            <w:vAlign w:val="bottom"/>
            <w:tcBorders>
              <w:top w:val="single" w:sz="8" w:color="CCEEFF"/>
            </w:tcBorders>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Borders>
              <w:top w:val="single" w:sz="8" w:color="CCEEFF"/>
            </w:tcBorders>
          </w:tcPr>
          <w:p>
            <w:pPr>
              <w:spacing w:after="0"/>
              <w:rPr>
                <w:sz w:val="16"/>
                <w:szCs w:val="16"/>
                <w:color w:val="auto"/>
              </w:rPr>
            </w:pPr>
          </w:p>
        </w:tc>
        <w:tc>
          <w:tcPr>
            <w:tcW w:w="164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November 24, 2014</w:t>
            </w:r>
          </w:p>
        </w:tc>
        <w:tc>
          <w:tcPr>
            <w:tcW w:w="0" w:type="dxa"/>
            <w:vAlign w:val="bottom"/>
          </w:tcPr>
          <w:p>
            <w:pPr>
              <w:spacing w:after="0"/>
              <w:rPr>
                <w:sz w:val="1"/>
                <w:szCs w:val="1"/>
                <w:color w:val="auto"/>
              </w:rPr>
            </w:pPr>
          </w:p>
        </w:tc>
      </w:tr>
      <w:tr>
        <w:trPr>
          <w:trHeight w:val="153"/>
        </w:trPr>
        <w:tc>
          <w:tcPr>
            <w:tcW w:w="1020" w:type="dxa"/>
            <w:vAlign w:val="bottom"/>
            <w:tcBorders>
              <w:top w:val="single" w:sz="8" w:color="CCEEFF"/>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tcBorders>
            <w:gridSpan w:val="26"/>
          </w:tcPr>
          <w:p>
            <w:pPr>
              <w:spacing w:after="0" w:line="140"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of the Company, dated November 21, 2014.</w:t>
              </w:r>
            </w:hyperlink>
          </w:p>
        </w:tc>
        <w:tc>
          <w:tcPr>
            <w:tcW w:w="180" w:type="dxa"/>
            <w:vAlign w:val="bottom"/>
            <w:gridSpan w:val="3"/>
          </w:tcPr>
          <w:p>
            <w:pPr>
              <w:spacing w:after="0"/>
              <w:rPr>
                <w:sz w:val="13"/>
                <w:szCs w:val="13"/>
                <w:color w:val="auto"/>
              </w:rPr>
            </w:pPr>
          </w:p>
        </w:tc>
        <w:tc>
          <w:tcPr>
            <w:tcW w:w="820" w:type="dxa"/>
            <w:vAlign w:val="bottom"/>
            <w:tcBorders>
              <w:top w:val="single" w:sz="8" w:color="CCEEFF"/>
            </w:tcBorders>
            <w:gridSpan w:val="2"/>
            <w:vMerge w:val="continue"/>
          </w:tcPr>
          <w:p>
            <w:pPr>
              <w:spacing w:after="0"/>
              <w:rPr>
                <w:sz w:val="13"/>
                <w:szCs w:val="13"/>
                <w:color w:val="auto"/>
              </w:rPr>
            </w:pPr>
          </w:p>
        </w:tc>
        <w:tc>
          <w:tcPr>
            <w:tcW w:w="1040" w:type="dxa"/>
            <w:vAlign w:val="bottom"/>
            <w:tcBorders>
              <w:top w:val="single" w:sz="8" w:color="CCEEFF"/>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top w:val="single" w:sz="8" w:color="CCEEFF"/>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Borders>
              <w:top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02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3.5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960" w:type="dxa"/>
            <w:vAlign w:val="bottom"/>
            <w:gridSpan w:val="29"/>
            <w:shd w:val="clear" w:color="auto" w:fill="CCEEFF"/>
          </w:tcPr>
          <w:p>
            <w:pPr>
              <w:spacing w:after="0" w:line="187"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Amended and restated bylaws.</w:t>
              </w:r>
            </w:hyperlink>
          </w:p>
        </w:tc>
        <w:tc>
          <w:tcPr>
            <w:tcW w:w="820" w:type="dxa"/>
            <w:vAlign w:val="bottom"/>
            <w:gridSpan w:val="2"/>
            <w:shd w:val="clear" w:color="auto" w:fill="CCEEFF"/>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November 12, 2010</w:t>
            </w: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180" w:type="dxa"/>
            <w:vAlign w:val="bottom"/>
            <w:tcBorders>
              <w:top w:val="single" w:sz="8" w:color="0000FF"/>
            </w:tcBorders>
            <w:gridSpan w:val="4"/>
          </w:tcPr>
          <w:p>
            <w:pPr>
              <w:spacing w:after="0" w:line="187"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Description of Capital Stock.</w:t>
              </w:r>
            </w:hyperlink>
          </w:p>
        </w:tc>
        <w:tc>
          <w:tcPr>
            <w:tcW w:w="2780" w:type="dxa"/>
            <w:vAlign w:val="bottom"/>
            <w:tcBorders>
              <w:top w:val="single" w:sz="8" w:color="CCEEFF"/>
            </w:tcBorders>
            <w:gridSpan w:val="25"/>
          </w:tcPr>
          <w:p>
            <w:pPr>
              <w:spacing w:after="0"/>
              <w:rPr>
                <w:sz w:val="16"/>
                <w:szCs w:val="16"/>
                <w:color w:val="auto"/>
              </w:rPr>
            </w:pPr>
          </w:p>
        </w:tc>
        <w:tc>
          <w:tcPr>
            <w:tcW w:w="820" w:type="dxa"/>
            <w:vAlign w:val="bottom"/>
            <w:tcBorders>
              <w:top w:val="single" w:sz="8" w:color="CCEEFF"/>
            </w:tcBorders>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4.5</w:t>
            </w:r>
          </w:p>
        </w:tc>
        <w:tc>
          <w:tcPr>
            <w:tcW w:w="80" w:type="dxa"/>
            <w:vAlign w:val="bottom"/>
            <w:tcBorders>
              <w:top w:val="single" w:sz="8" w:color="CCEEFF"/>
            </w:tcBorders>
          </w:tcPr>
          <w:p>
            <w:pPr>
              <w:spacing w:after="0"/>
              <w:rPr>
                <w:sz w:val="16"/>
                <w:szCs w:val="16"/>
                <w:color w:val="auto"/>
              </w:rPr>
            </w:pPr>
          </w:p>
        </w:tc>
        <w:tc>
          <w:tcPr>
            <w:tcW w:w="164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February 25, 2020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29"/>
            <w:shd w:val="clear" w:color="auto" w:fill="CCEEFF"/>
          </w:tcPr>
          <w:p>
            <w:pPr>
              <w:spacing w:after="0" w:line="187"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Indemnification Agreement entered into between the</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August 31, 2010</w:t>
            </w: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80" w:type="dxa"/>
            <w:vAlign w:val="bottom"/>
            <w:tcBorders>
              <w:top w:val="single" w:sz="8" w:color="0000FF"/>
              <w:bottom w:val="single" w:sz="8" w:color="0000FF"/>
            </w:tcBorders>
            <w:gridSpan w:val="6"/>
            <w:shd w:val="clear" w:color="auto" w:fill="CCEEFF"/>
          </w:tcPr>
          <w:p>
            <w:pPr>
              <w:spacing w:after="0" w:line="140"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Company and each of its directors.</w:t>
              </w:r>
            </w:hyperlink>
          </w:p>
        </w:tc>
        <w:tc>
          <w:tcPr>
            <w:tcW w:w="190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82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10.2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29"/>
          </w:tcPr>
          <w:p>
            <w:pPr>
              <w:spacing w:after="0" w:line="187"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Senior Executive Incentive Bonus Plan.</w:t>
              </w:r>
            </w:hyperlink>
          </w:p>
        </w:tc>
        <w:tc>
          <w:tcPr>
            <w:tcW w:w="820" w:type="dxa"/>
            <w:vAlign w:val="bottom"/>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tcPr>
          <w:p>
            <w:pPr>
              <w:spacing w:after="0"/>
              <w:rPr>
                <w:sz w:val="16"/>
                <w:szCs w:val="16"/>
                <w:color w:val="auto"/>
              </w:rPr>
            </w:pPr>
          </w:p>
        </w:tc>
        <w:tc>
          <w:tcPr>
            <w:tcW w:w="10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5"/>
              </w:rPr>
              <w:t>10.3</w:t>
            </w:r>
          </w:p>
        </w:tc>
        <w:tc>
          <w:tcPr>
            <w:tcW w:w="80" w:type="dxa"/>
            <w:vAlign w:val="bottom"/>
          </w:tcPr>
          <w:p>
            <w:pPr>
              <w:spacing w:after="0"/>
              <w:rPr>
                <w:sz w:val="16"/>
                <w:szCs w:val="16"/>
                <w:color w:val="auto"/>
              </w:rPr>
            </w:pPr>
          </w:p>
        </w:tc>
        <w:tc>
          <w:tcPr>
            <w:tcW w:w="16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March 25, 2011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29"/>
            <w:shd w:val="clear" w:color="auto" w:fill="CCEEFF"/>
          </w:tcPr>
          <w:p>
            <w:pPr>
              <w:spacing w:after="0" w:line="187"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Asset Purchase Agreement, dated as of April 19, 2014, by and</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23, 2014</w:t>
            </w: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0000FF"/>
              <w:bottom w:val="single" w:sz="8" w:color="0000FF"/>
            </w:tcBorders>
            <w:gridSpan w:val="5"/>
            <w:shd w:val="clear" w:color="auto" w:fill="CCEEFF"/>
          </w:tcPr>
          <w:p>
            <w:pPr>
              <w:spacing w:after="0" w:line="140"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between the Company and Sanofi.</w:t>
              </w:r>
            </w:hyperlink>
          </w:p>
        </w:tc>
        <w:tc>
          <w:tcPr>
            <w:tcW w:w="6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60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76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82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10.4 #</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960" w:type="dxa"/>
            <w:vAlign w:val="bottom"/>
            <w:tcBorders>
              <w:top w:val="single" w:sz="8" w:color="CCEEFF"/>
            </w:tcBorders>
            <w:gridSpan w:val="29"/>
          </w:tcPr>
          <w:p>
            <w:pPr>
              <w:spacing w:after="0" w:line="187"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Second Amended and Restated 2009 Omnibus Incentive Plan.</w:t>
              </w:r>
            </w:hyperlink>
          </w:p>
        </w:tc>
        <w:tc>
          <w:tcPr>
            <w:tcW w:w="820" w:type="dxa"/>
            <w:vAlign w:val="bottom"/>
            <w:tcBorders>
              <w:top w:val="single" w:sz="8" w:color="CCEEFF"/>
            </w:tcBorders>
            <w:gridSpan w:val="2"/>
          </w:tcPr>
          <w:p>
            <w:pPr>
              <w:jc w:val="center"/>
              <w:ind w:right="120"/>
              <w:spacing w:after="0" w:line="187" w:lineRule="exact"/>
              <w:rPr>
                <w:sz w:val="20"/>
                <w:szCs w:val="20"/>
                <w:color w:val="auto"/>
              </w:rPr>
            </w:pPr>
            <w:r>
              <w:rPr>
                <w:rFonts w:ascii="Times New Roman" w:cs="Times New Roman" w:eastAsia="Times New Roman" w:hAnsi="Times New Roman"/>
                <w:sz w:val="18"/>
                <w:szCs w:val="18"/>
                <w:color w:val="auto"/>
                <w:w w:val="98"/>
              </w:rPr>
              <w:t>Sch. 14A</w:t>
            </w:r>
          </w:p>
        </w:tc>
        <w:tc>
          <w:tcPr>
            <w:tcW w:w="104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8"/>
              </w:rPr>
              <w:t>Appendix II</w:t>
            </w:r>
          </w:p>
        </w:tc>
        <w:tc>
          <w:tcPr>
            <w:tcW w:w="164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October 21, 2014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29"/>
            <w:shd w:val="clear" w:color="auto" w:fill="CCEEFF"/>
          </w:tcPr>
          <w:p>
            <w:pPr>
              <w:spacing w:after="0" w:line="187"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Lease Agreement, dated October 21, 2020, by and between the</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24, 2021</w:t>
            </w:r>
          </w:p>
        </w:tc>
        <w:tc>
          <w:tcPr>
            <w:tcW w:w="0" w:type="dxa"/>
            <w:vAlign w:val="bottom"/>
          </w:tcPr>
          <w:p>
            <w:pPr>
              <w:spacing w:after="0"/>
              <w:rPr>
                <w:sz w:val="1"/>
                <w:szCs w:val="1"/>
                <w:color w:val="auto"/>
              </w:rPr>
            </w:pPr>
          </w:p>
        </w:tc>
      </w:tr>
      <w:tr>
        <w:trPr>
          <w:trHeight w:val="153"/>
        </w:trPr>
        <w:tc>
          <w:tcPr>
            <w:tcW w:w="102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480" w:type="dxa"/>
            <w:vAlign w:val="bottom"/>
            <w:tcBorders>
              <w:top w:val="single" w:sz="8" w:color="0000FF"/>
            </w:tcBorders>
            <w:gridSpan w:val="21"/>
            <w:shd w:val="clear" w:color="auto" w:fill="CCEEFF"/>
          </w:tcPr>
          <w:p>
            <w:pPr>
              <w:spacing w:after="0" w:line="140"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Company and Up 64 Sidney Street, LLC, as amended.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gridSpan w:val="5"/>
            <w:shd w:val="clear" w:color="auto" w:fill="CCEEFF"/>
          </w:tcPr>
          <w:p>
            <w:pPr>
              <w:spacing w:after="0"/>
              <w:rPr>
                <w:sz w:val="13"/>
                <w:szCs w:val="13"/>
                <w:color w:val="auto"/>
              </w:rPr>
            </w:pPr>
          </w:p>
        </w:tc>
        <w:tc>
          <w:tcPr>
            <w:tcW w:w="820" w:type="dxa"/>
            <w:vAlign w:val="bottom"/>
            <w:tcBorders>
              <w:top w:val="single" w:sz="8" w:color="CCEEFF"/>
            </w:tcBorders>
            <w:gridSpan w:val="2"/>
            <w:vMerge w:val="continue"/>
            <w:shd w:val="clear" w:color="auto" w:fill="CCEEFF"/>
          </w:tcPr>
          <w:p>
            <w:pPr>
              <w:spacing w:after="0"/>
              <w:rPr>
                <w:sz w:val="13"/>
                <w:szCs w:val="13"/>
                <w:color w:val="auto"/>
              </w:rPr>
            </w:pPr>
          </w:p>
        </w:tc>
        <w:tc>
          <w:tcPr>
            <w:tcW w:w="104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29"/>
          </w:tcPr>
          <w:p>
            <w:pPr>
              <w:spacing w:after="0" w:line="187"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Lease Agreement, dated January 28, 2022, by and between the</w:t>
              </w:r>
            </w:hyperlink>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May 4, 2022</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11"/>
          </w:tcPr>
          <w:p>
            <w:pPr>
              <w:spacing w:after="0" w:line="140"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Company and NDB Property Owner 2, L.P.</w:t>
              </w:r>
            </w:hyperlink>
          </w:p>
        </w:tc>
        <w:tc>
          <w:tcPr>
            <w:tcW w:w="1000" w:type="dxa"/>
            <w:vAlign w:val="bottom"/>
            <w:tcBorders>
              <w:top w:val="single" w:sz="8" w:color="0000FF"/>
            </w:tcBorders>
            <w:gridSpan w:val="4"/>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5"/>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29"/>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First Amendment to the Lease Agreement by and between the</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2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400" w:type="dxa"/>
            <w:vAlign w:val="bottom"/>
            <w:tcBorders>
              <w:top w:val="single" w:sz="8" w:color="0000FF"/>
            </w:tcBorders>
            <w:gridSpan w:val="18"/>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Company and NDB Property Owner 2, L.P., dated November</w:t>
            </w:r>
          </w:p>
        </w:tc>
        <w:tc>
          <w:tcPr>
            <w:tcW w:w="560" w:type="dxa"/>
            <w:vAlign w:val="bottom"/>
            <w:tcBorders>
              <w:top w:val="single" w:sz="8" w:color="CCEEFF"/>
            </w:tcBorders>
            <w:gridSpan w:val="11"/>
            <w:shd w:val="clear" w:color="auto" w:fill="CCEEFF"/>
          </w:tcPr>
          <w:p>
            <w:pPr>
              <w:jc w:val="right"/>
              <w:ind w:right="420"/>
              <w:spacing w:after="0" w:line="154" w:lineRule="exact"/>
              <w:rPr>
                <w:sz w:val="20"/>
                <w:szCs w:val="20"/>
                <w:color w:val="auto"/>
              </w:rPr>
            </w:pPr>
            <w:r>
              <w:rPr>
                <w:rFonts w:ascii="Times New Roman" w:cs="Times New Roman" w:eastAsia="Times New Roman" w:hAnsi="Times New Roman"/>
                <w:sz w:val="17"/>
                <w:szCs w:val="17"/>
                <w:color w:val="0000FF"/>
                <w:w w:val="93"/>
              </w:rPr>
              <w:t>6,</w:t>
            </w:r>
          </w:p>
        </w:tc>
        <w:tc>
          <w:tcPr>
            <w:tcW w:w="7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0000FF"/>
              <w:bottom w:val="single" w:sz="8" w:color="0000FF"/>
            </w:tcBorders>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0000FF"/>
                <w:w w:val="93"/>
              </w:rPr>
              <w:t>2024.</w:t>
            </w:r>
          </w:p>
        </w:tc>
        <w:tc>
          <w:tcPr>
            <w:tcW w:w="1080" w:type="dxa"/>
            <w:vAlign w:val="bottom"/>
            <w:tcBorders>
              <w:top w:val="single" w:sz="8" w:color="0000FF"/>
              <w:bottom w:val="single" w:sz="8" w:color="CCEEFF"/>
            </w:tcBorders>
            <w:shd w:val="clear" w:color="auto" w:fill="CCEEFF"/>
          </w:tcPr>
          <w:p>
            <w:pPr>
              <w:spacing w:after="0"/>
              <w:rPr>
                <w:sz w:val="16"/>
                <w:szCs w:val="16"/>
                <w:color w:val="auto"/>
              </w:rPr>
            </w:pPr>
          </w:p>
        </w:tc>
        <w:tc>
          <w:tcPr>
            <w:tcW w:w="60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26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520" w:type="dxa"/>
            <w:vAlign w:val="bottom"/>
            <w:tcBorders>
              <w:top w:val="single" w:sz="8" w:color="0000FF"/>
              <w:bottom w:val="single" w:sz="8" w:color="CCEEFF"/>
            </w:tcBorders>
            <w:shd w:val="clear" w:color="auto" w:fill="CCEEFF"/>
          </w:tcPr>
          <w:p>
            <w:pPr>
              <w:spacing w:after="0"/>
              <w:rPr>
                <w:sz w:val="16"/>
                <w:szCs w:val="16"/>
                <w:color w:val="auto"/>
              </w:rPr>
            </w:pPr>
          </w:p>
        </w:tc>
        <w:tc>
          <w:tcPr>
            <w:tcW w:w="220" w:type="dxa"/>
            <w:vAlign w:val="bottom"/>
            <w:tcBorders>
              <w:top w:val="single" w:sz="8" w:color="0000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6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10.8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29"/>
          </w:tcPr>
          <w:p>
            <w:pPr>
              <w:spacing w:after="0" w:line="187"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Vericel Corporation 2015 Employee Stock Purchase Plan.</w:t>
              </w:r>
            </w:hyperlink>
          </w:p>
        </w:tc>
        <w:tc>
          <w:tcPr>
            <w:tcW w:w="820" w:type="dxa"/>
            <w:vAlign w:val="bottom"/>
            <w:gridSpan w:val="2"/>
          </w:tcPr>
          <w:p>
            <w:pPr>
              <w:jc w:val="center"/>
              <w:ind w:right="120"/>
              <w:spacing w:after="0" w:line="187" w:lineRule="exact"/>
              <w:rPr>
                <w:sz w:val="20"/>
                <w:szCs w:val="20"/>
                <w:color w:val="auto"/>
              </w:rPr>
            </w:pPr>
            <w:r>
              <w:rPr>
                <w:rFonts w:ascii="Times New Roman" w:cs="Times New Roman" w:eastAsia="Times New Roman" w:hAnsi="Times New Roman"/>
                <w:sz w:val="18"/>
                <w:szCs w:val="18"/>
                <w:color w:val="auto"/>
                <w:w w:val="98"/>
              </w:rPr>
              <w:t>Sch. 14A</w:t>
            </w:r>
          </w:p>
        </w:tc>
        <w:tc>
          <w:tcPr>
            <w:tcW w:w="10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16"/>
                <w:szCs w:val="16"/>
                <w:color w:val="auto"/>
              </w:rPr>
            </w:pPr>
          </w:p>
        </w:tc>
        <w:tc>
          <w:tcPr>
            <w:tcW w:w="1120" w:type="dxa"/>
            <w:vAlign w:val="bottom"/>
            <w:gridSpan w:val="2"/>
          </w:tcPr>
          <w:p>
            <w:pPr>
              <w:jc w:val="center"/>
              <w:ind w:right="80"/>
              <w:spacing w:after="0" w:line="187" w:lineRule="exact"/>
              <w:rPr>
                <w:sz w:val="20"/>
                <w:szCs w:val="20"/>
                <w:color w:val="auto"/>
              </w:rPr>
            </w:pPr>
            <w:r>
              <w:rPr>
                <w:rFonts w:ascii="Times New Roman" w:cs="Times New Roman" w:eastAsia="Times New Roman" w:hAnsi="Times New Roman"/>
                <w:sz w:val="18"/>
                <w:szCs w:val="18"/>
                <w:color w:val="auto"/>
                <w:w w:val="98"/>
              </w:rPr>
              <w:t>Appendix I</w:t>
            </w:r>
          </w:p>
        </w:tc>
        <w:tc>
          <w:tcPr>
            <w:tcW w:w="16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March 25, 2015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29"/>
            <w:shd w:val="clear" w:color="auto" w:fill="CCEEFF"/>
          </w:tcPr>
          <w:p>
            <w:pPr>
              <w:spacing w:after="0" w:line="187"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First Amendment to Executive Employment Agreement by and</w:t>
              </w:r>
            </w:hyperlink>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2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10.9 #</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520" w:type="dxa"/>
            <w:vAlign w:val="bottom"/>
            <w:tcBorders>
              <w:top w:val="single" w:sz="8" w:color="0000FF"/>
            </w:tcBorders>
            <w:gridSpan w:val="23"/>
            <w:shd w:val="clear" w:color="auto" w:fill="CCEEFF"/>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between Dominick C. Colangelo and the Company, dated</w:t>
              </w:r>
            </w:hyperlink>
          </w:p>
        </w:tc>
        <w:tc>
          <w:tcPr>
            <w:tcW w:w="440" w:type="dxa"/>
            <w:vAlign w:val="bottom"/>
            <w:tcBorders>
              <w:top w:val="single" w:sz="8" w:color="CCEEFF"/>
            </w:tcBorders>
            <w:gridSpan w:val="6"/>
            <w:shd w:val="clear" w:color="auto" w:fill="CCEEFF"/>
          </w:tcPr>
          <w:p>
            <w:pPr>
              <w:spacing w:after="0"/>
              <w:rPr>
                <w:sz w:val="13"/>
                <w:szCs w:val="13"/>
                <w:color w:val="auto"/>
              </w:rPr>
            </w:pPr>
          </w:p>
        </w:tc>
        <w:tc>
          <w:tcPr>
            <w:tcW w:w="820" w:type="dxa"/>
            <w:vAlign w:val="bottom"/>
            <w:tcBorders>
              <w:top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September 19, 2017</w:t>
            </w: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0000FF"/>
              <w:bottom w:val="single" w:sz="8" w:color="0000FF"/>
            </w:tcBorders>
            <w:gridSpan w:val="2"/>
            <w:shd w:val="clear" w:color="auto" w:fill="CCEEFF"/>
          </w:tcPr>
          <w:p>
            <w:pPr>
              <w:spacing w:after="0" w:line="167" w:lineRule="exact"/>
              <w:rPr>
                <w:rFonts w:ascii="Times New Roman" w:cs="Times New Roman" w:eastAsia="Times New Roman" w:hAnsi="Times New Roman"/>
                <w:sz w:val="18"/>
                <w:szCs w:val="18"/>
                <w:color w:val="0000FF"/>
                <w:w w:val="97"/>
              </w:rPr>
            </w:pPr>
            <w:hyperlink r:id="rId140">
              <w:r>
                <w:rPr>
                  <w:rFonts w:ascii="Times New Roman" w:cs="Times New Roman" w:eastAsia="Times New Roman" w:hAnsi="Times New Roman"/>
                  <w:sz w:val="18"/>
                  <w:szCs w:val="18"/>
                  <w:color w:val="0000FF"/>
                  <w:w w:val="97"/>
                </w:rPr>
                <w:t>September 14, 2017.</w:t>
              </w:r>
            </w:hyperlink>
          </w:p>
        </w:tc>
        <w:tc>
          <w:tcPr>
            <w:tcW w:w="2620" w:type="dxa"/>
            <w:vAlign w:val="bottom"/>
            <w:tcBorders>
              <w:top w:val="single" w:sz="8" w:color="0000FF"/>
              <w:bottom w:val="single" w:sz="8" w:color="CCEEFF"/>
            </w:tcBorders>
            <w:gridSpan w:val="13"/>
            <w:shd w:val="clear" w:color="auto" w:fill="CCEEFF"/>
          </w:tcPr>
          <w:p>
            <w:pPr>
              <w:spacing w:after="0"/>
              <w:rPr>
                <w:sz w:val="16"/>
                <w:szCs w:val="16"/>
                <w:color w:val="auto"/>
              </w:rPr>
            </w:pPr>
          </w:p>
        </w:tc>
        <w:tc>
          <w:tcPr>
            <w:tcW w:w="40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46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82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29"/>
          </w:tcPr>
          <w:p>
            <w:pPr>
              <w:spacing w:after="0" w:line="187"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Amended and Restated Non-Employee Director Compensation</w:t>
              </w:r>
            </w:hyperlink>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8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29, 2024</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Guidelines (Revised May 3, 2023).</w:t>
              </w:r>
            </w:hyperlink>
          </w:p>
        </w:tc>
        <w:tc>
          <w:tcPr>
            <w:tcW w:w="2000" w:type="dxa"/>
            <w:vAlign w:val="bottom"/>
            <w:tcBorders>
              <w:top w:val="single" w:sz="8" w:color="0000FF"/>
            </w:tcBorders>
            <w:gridSpan w:val="15"/>
          </w:tcPr>
          <w:p>
            <w:pPr>
              <w:spacing w:after="0"/>
              <w:rPr>
                <w:sz w:val="13"/>
                <w:szCs w:val="13"/>
                <w:color w:val="auto"/>
              </w:rPr>
            </w:pPr>
          </w:p>
        </w:tc>
        <w:tc>
          <w:tcPr>
            <w:tcW w:w="460" w:type="dxa"/>
            <w:vAlign w:val="bottom"/>
            <w:gridSpan w:val="7"/>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177" w:right="339" w:bottom="1440" w:gutter="0" w:footer="0" w:header="0"/>
        </w:sectPr>
      </w:pPr>
    </w:p>
    <w:p>
      <w:pPr>
        <w:spacing w:after="0" w:line="3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10.11 †</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10.12 #</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10.13 #</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10.14 #</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10.15 #</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10.16 #</w:t>
      </w:r>
    </w:p>
    <w:p>
      <w:pPr>
        <w:spacing w:after="0" w:line="20" w:lineRule="exact"/>
        <w:rPr>
          <w:sz w:val="20"/>
          <w:szCs w:val="20"/>
          <w:color w:val="auto"/>
        </w:rPr>
      </w:pPr>
      <w:r>
        <w:rPr>
          <w:sz w:val="20"/>
          <w:szCs w:val="20"/>
          <w:color w:val="auto"/>
        </w:rPr>
        <w:br w:type="column"/>
      </w:r>
    </w:p>
    <w:p>
      <w:pPr>
        <w:spacing w:after="0" w:line="233" w:lineRule="auto"/>
        <w:rPr>
          <w:rFonts w:ascii="Times New Roman" w:cs="Times New Roman" w:eastAsia="Times New Roman" w:hAnsi="Times New Roman"/>
          <w:sz w:val="17"/>
          <w:szCs w:val="17"/>
          <w:u w:val="single" w:color="auto"/>
          <w:color w:val="0000FF"/>
        </w:rPr>
      </w:pPr>
      <w:hyperlink r:id="rId142">
        <w:r>
          <w:rPr>
            <w:rFonts w:ascii="Times New Roman" w:cs="Times New Roman" w:eastAsia="Times New Roman" w:hAnsi="Times New Roman"/>
            <w:sz w:val="17"/>
            <w:szCs w:val="17"/>
            <w:u w:val="single" w:color="auto"/>
            <w:color w:val="0000FF"/>
          </w:rPr>
          <w:t>Amended and Restated ACI-Maix Supply Agreement, dated March</w:t>
        </w:r>
      </w:hyperlink>
      <w:r>
        <w:rPr>
          <w:rFonts w:ascii="Times New Roman" w:cs="Times New Roman" w:eastAsia="Times New Roman" w:hAnsi="Times New Roman"/>
          <w:sz w:val="17"/>
          <w:szCs w:val="17"/>
          <w:u w:val="single" w:color="auto"/>
          <w:color w:val="0000FF"/>
        </w:rPr>
        <w:t xml:space="preserve"> </w:t>
      </w:r>
      <w:hyperlink r:id="rId142">
        <w:r>
          <w:rPr>
            <w:rFonts w:ascii="Times New Roman" w:cs="Times New Roman" w:eastAsia="Times New Roman" w:hAnsi="Times New Roman"/>
            <w:sz w:val="17"/>
            <w:szCs w:val="17"/>
            <w:u w:val="single" w:color="auto"/>
            <w:color w:val="0000FF"/>
          </w:rPr>
          <w:t>17, 2018, as amended, by and between the Company and Matricel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-237490</wp:posOffset>
            </wp:positionV>
            <wp:extent cx="6845935" cy="3727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6845935" cy="37274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GMBH.</w:t>
        </w:r>
      </w:hyperlink>
    </w:p>
    <w:p>
      <w:pPr>
        <w:spacing w:after="0" w:line="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2017 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12065</wp:posOffset>
            </wp:positionV>
            <wp:extent cx="6845935" cy="262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6845935" cy="262890"/>
                    </a:xfrm>
                    <a:prstGeom prst="rect">
                      <a:avLst/>
                    </a:prstGeom>
                    <a:noFill/>
                  </pic:spPr>
                </pic:pic>
              </a:graphicData>
            </a:graphic>
          </wp:anchor>
        </w:drawing>
      </w:r>
    </w:p>
    <w:p>
      <w:pPr>
        <w:ind w:right="80"/>
        <w:spacing w:after="0" w:line="232"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Form of Incentive Stock Option Award Agreement under the 2017</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Omnibus Incentive Plan.</w:t>
        </w:r>
      </w:hyperlink>
    </w:p>
    <w:p>
      <w:pPr>
        <w:spacing w:after="0" w:line="8" w:lineRule="exact"/>
        <w:rPr>
          <w:sz w:val="20"/>
          <w:szCs w:val="20"/>
          <w:color w:val="auto"/>
        </w:rPr>
      </w:pPr>
    </w:p>
    <w:p>
      <w:pPr>
        <w:spacing w:after="0" w:line="235"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Form of Non-Employee Director Award Agreement under the 2017</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Omnibus Incentive Plan.</w:t>
        </w:r>
      </w:hyperlink>
    </w:p>
    <w:p>
      <w:pPr>
        <w:spacing w:after="0" w:line="8" w:lineRule="exact"/>
        <w:rPr>
          <w:sz w:val="20"/>
          <w:szCs w:val="20"/>
          <w:color w:val="auto"/>
        </w:rPr>
      </w:pPr>
    </w:p>
    <w:p>
      <w:pPr>
        <w:ind w:right="180"/>
        <w:spacing w:after="0" w:line="235"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Form of Restricted Stock Unit Award Agreement under the 2017</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-253365</wp:posOffset>
            </wp:positionV>
            <wp:extent cx="6845935" cy="262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6845935" cy="262890"/>
                    </a:xfrm>
                    <a:prstGeom prst="rect">
                      <a:avLst/>
                    </a:prstGeom>
                    <a:noFill/>
                  </pic:spPr>
                </pic:pic>
              </a:graphicData>
            </a:graphic>
          </wp:anchor>
        </w:drawing>
      </w:r>
    </w:p>
    <w:p>
      <w:pPr>
        <w:ind w:right="600"/>
        <w:spacing w:after="0" w:line="235"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Vericel Corporation Amended and Restated 2019 Omnibus</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8255</wp:posOffset>
            </wp:positionV>
            <wp:extent cx="6845935" cy="3727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6845935" cy="372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May 8, 2018</w:t>
            </w:r>
          </w:p>
        </w:tc>
      </w:tr>
      <w:tr>
        <w:trPr>
          <w:trHeight w:val="232"/>
        </w:trPr>
        <w:tc>
          <w:tcPr>
            <w:tcW w:w="8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8"/>
              </w:rPr>
              <w:t>Sch. 14A</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Appendix I</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March 20, 2017</w:t>
            </w:r>
          </w:p>
        </w:tc>
      </w:tr>
      <w:tr>
        <w:trPr>
          <w:trHeight w:val="414"/>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10-K</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10.49</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February 26, 2019</w:t>
            </w:r>
          </w:p>
        </w:tc>
      </w:tr>
      <w:tr>
        <w:trPr>
          <w:trHeight w:val="414"/>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10-K</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February 26, 2019</w:t>
            </w:r>
          </w:p>
        </w:tc>
      </w:tr>
      <w:tr>
        <w:trPr>
          <w:trHeight w:val="414"/>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10-K</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10.51</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February 26, 2019</w:t>
            </w:r>
          </w:p>
        </w:tc>
      </w:tr>
      <w:tr>
        <w:trPr>
          <w:trHeight w:val="414"/>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May 1, 2020</w:t>
            </w:r>
          </w:p>
        </w:tc>
      </w:tr>
    </w:tbl>
    <w:p>
      <w:pPr>
        <w:spacing w:after="0" w:line="1" w:lineRule="exact"/>
        <w:rPr>
          <w:sz w:val="20"/>
          <w:szCs w:val="20"/>
          <w:color w:val="auto"/>
        </w:rPr>
      </w:pPr>
    </w:p>
    <w:p>
      <w:pPr>
        <w:sectPr>
          <w:pgSz w:w="11900" w:h="16838" w:orient="portrait"/>
          <w:cols w:equalWidth="0" w:num="3">
            <w:col w:w="1020" w:space="340"/>
            <w:col w:w="4800" w:space="180"/>
            <w:col w:w="4900"/>
          </w:cols>
          <w:pgMar w:left="320" w:top="177" w:right="339" w:bottom="1440" w:gutter="0" w:footer="0" w:header="0"/>
          <w:type w:val="continuous"/>
        </w:sectPr>
      </w:pPr>
    </w:p>
    <w:p>
      <w:pPr>
        <w:ind w:left="1360"/>
        <w:spacing w:after="0" w:line="217"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Form of Current Employee Incentive Stock Option Agreement</w:t>
        </w:r>
      </w:hyperlink>
    </w:p>
    <w:p>
      <w:pPr>
        <w:ind w:left="1360"/>
        <w:spacing w:after="0" w:line="199" w:lineRule="auto"/>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under the 2019 Omnibus Incentive Plan (amended February 15,</w:t>
        </w:r>
      </w:hyperlink>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60" w:type="dxa"/>
            <w:vAlign w:val="bottom"/>
            <w:gridSpan w:val="2"/>
          </w:tcPr>
          <w:p>
            <w:pPr>
              <w:jc w:val="right"/>
              <w:ind w:right="251"/>
              <w:spacing w:after="0" w:line="167" w:lineRule="exact"/>
              <w:rPr>
                <w:sz w:val="20"/>
                <w:szCs w:val="20"/>
                <w:color w:val="auto"/>
              </w:rPr>
            </w:pPr>
            <w:r>
              <w:rPr>
                <w:rFonts w:ascii="Times New Roman" w:cs="Times New Roman" w:eastAsia="Times New Roman" w:hAnsi="Times New Roman"/>
                <w:sz w:val="18"/>
                <w:szCs w:val="18"/>
                <w:color w:val="auto"/>
              </w:rPr>
              <w:t>10.17 #</w:t>
            </w:r>
          </w:p>
        </w:tc>
        <w:tc>
          <w:tcPr>
            <w:tcW w:w="46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4"/>
              </w:rPr>
            </w:pPr>
            <w:hyperlink r:id="rId152">
              <w:r>
                <w:rPr>
                  <w:rFonts w:ascii="Times New Roman" w:cs="Times New Roman" w:eastAsia="Times New Roman" w:hAnsi="Times New Roman"/>
                  <w:sz w:val="18"/>
                  <w:szCs w:val="18"/>
                  <w:color w:val="0000FF"/>
                  <w:w w:val="94"/>
                </w:rPr>
                <w:t>2022).</w:t>
              </w:r>
            </w:hyperlink>
          </w:p>
        </w:tc>
        <w:tc>
          <w:tcPr>
            <w:tcW w:w="170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right"/>
              <w:ind w:right="191"/>
              <w:spacing w:after="0" w:line="167" w:lineRule="exact"/>
              <w:rPr>
                <w:sz w:val="20"/>
                <w:szCs w:val="20"/>
                <w:color w:val="auto"/>
              </w:rPr>
            </w:pPr>
            <w:r>
              <w:rPr>
                <w:rFonts w:ascii="Times New Roman" w:cs="Times New Roman" w:eastAsia="Times New Roman" w:hAnsi="Times New Roman"/>
                <w:sz w:val="18"/>
                <w:szCs w:val="18"/>
                <w:color w:val="auto"/>
              </w:rPr>
              <w:t>001-35280</w:t>
            </w:r>
          </w:p>
        </w:tc>
        <w:tc>
          <w:tcPr>
            <w:tcW w:w="980" w:type="dxa"/>
            <w:vAlign w:val="bottom"/>
          </w:tcPr>
          <w:p>
            <w:pPr>
              <w:jc w:val="right"/>
              <w:ind w:right="291"/>
              <w:spacing w:after="0" w:line="167" w:lineRule="exact"/>
              <w:rPr>
                <w:sz w:val="20"/>
                <w:szCs w:val="20"/>
                <w:color w:val="auto"/>
              </w:rPr>
            </w:pPr>
            <w:r>
              <w:rPr>
                <w:rFonts w:ascii="Times New Roman" w:cs="Times New Roman" w:eastAsia="Times New Roman" w:hAnsi="Times New Roman"/>
                <w:sz w:val="18"/>
                <w:szCs w:val="18"/>
                <w:color w:val="auto"/>
              </w:rPr>
              <w:t>10.2</w:t>
            </w:r>
          </w:p>
        </w:tc>
        <w:tc>
          <w:tcPr>
            <w:tcW w:w="1940" w:type="dxa"/>
            <w:vAlign w:val="bottom"/>
            <w:gridSpan w:val="2"/>
          </w:tcPr>
          <w:p>
            <w:pPr>
              <w:jc w:val="center"/>
              <w:ind w:right="160"/>
              <w:spacing w:after="0" w:line="167" w:lineRule="exact"/>
              <w:rPr>
                <w:sz w:val="20"/>
                <w:szCs w:val="20"/>
                <w:color w:val="auto"/>
              </w:rPr>
            </w:pPr>
            <w:r>
              <w:rPr>
                <w:rFonts w:ascii="Times New Roman" w:cs="Times New Roman" w:eastAsia="Times New Roman" w:hAnsi="Times New Roman"/>
                <w:sz w:val="18"/>
                <w:szCs w:val="18"/>
                <w:color w:val="auto"/>
                <w:w w:val="98"/>
              </w:rPr>
              <w:t>May 4, 2022</w:t>
            </w:r>
          </w:p>
        </w:tc>
        <w:tc>
          <w:tcPr>
            <w:tcW w:w="0" w:type="dxa"/>
            <w:vAlign w:val="bottom"/>
          </w:tcPr>
          <w:p>
            <w:pPr>
              <w:spacing w:after="0"/>
              <w:rPr>
                <w:sz w:val="1"/>
                <w:szCs w:val="1"/>
                <w:color w:val="auto"/>
              </w:rPr>
            </w:pPr>
          </w:p>
        </w:tc>
      </w:tr>
      <w:tr>
        <w:trPr>
          <w:trHeight w:val="207"/>
        </w:trPr>
        <w:tc>
          <w:tcPr>
            <w:tcW w:w="1360" w:type="dxa"/>
            <w:vAlign w:val="bottom"/>
            <w:gridSpan w:val="2"/>
            <w:vMerge w:val="restart"/>
          </w:tcPr>
          <w:p>
            <w:pPr>
              <w:jc w:val="right"/>
              <w:ind w:right="251"/>
              <w:spacing w:after="0"/>
              <w:rPr>
                <w:sz w:val="20"/>
                <w:szCs w:val="20"/>
                <w:color w:val="auto"/>
              </w:rPr>
            </w:pPr>
            <w:r>
              <w:rPr>
                <w:rFonts w:ascii="Times New Roman" w:cs="Times New Roman" w:eastAsia="Times New Roman" w:hAnsi="Times New Roman"/>
                <w:sz w:val="18"/>
                <w:szCs w:val="18"/>
                <w:color w:val="auto"/>
              </w:rPr>
              <w:t>10.18 #</w:t>
            </w:r>
          </w:p>
        </w:tc>
        <w:tc>
          <w:tcPr>
            <w:tcW w:w="4980" w:type="dxa"/>
            <w:vAlign w:val="bottom"/>
            <w:gridSpan w:val="9"/>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New Hire Incentive Stock Option Award Agreement under</w:t>
              </w:r>
            </w:hyperlink>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001-35280</w:t>
            </w:r>
          </w:p>
        </w:tc>
        <w:tc>
          <w:tcPr>
            <w:tcW w:w="980" w:type="dxa"/>
            <w:vAlign w:val="bottom"/>
            <w:vMerge w:val="restart"/>
          </w:tcPr>
          <w:p>
            <w:pPr>
              <w:jc w:val="right"/>
              <w:ind w:right="291"/>
              <w:spacing w:after="0"/>
              <w:rPr>
                <w:sz w:val="20"/>
                <w:szCs w:val="20"/>
                <w:color w:val="auto"/>
              </w:rPr>
            </w:pPr>
            <w:r>
              <w:rPr>
                <w:rFonts w:ascii="Times New Roman" w:cs="Times New Roman" w:eastAsia="Times New Roman" w:hAnsi="Times New Roman"/>
                <w:sz w:val="18"/>
                <w:szCs w:val="18"/>
                <w:color w:val="auto"/>
              </w:rPr>
              <w:t>10.3</w:t>
            </w:r>
          </w:p>
        </w:tc>
        <w:tc>
          <w:tcPr>
            <w:tcW w:w="1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8"/>
              </w:rPr>
              <w:t>May 4, 2022</w:t>
            </w:r>
          </w:p>
        </w:tc>
        <w:tc>
          <w:tcPr>
            <w:tcW w:w="0" w:type="dxa"/>
            <w:vAlign w:val="bottom"/>
          </w:tcPr>
          <w:p>
            <w:pPr>
              <w:spacing w:after="0"/>
              <w:rPr>
                <w:sz w:val="1"/>
                <w:szCs w:val="1"/>
                <w:color w:val="auto"/>
              </w:rPr>
            </w:pPr>
          </w:p>
        </w:tc>
      </w:tr>
      <w:tr>
        <w:trPr>
          <w:trHeight w:val="153"/>
        </w:trPr>
        <w:tc>
          <w:tcPr>
            <w:tcW w:w="1360" w:type="dxa"/>
            <w:vAlign w:val="bottom"/>
            <w:gridSpan w:val="2"/>
            <w:vMerge w:val="continue"/>
          </w:tcPr>
          <w:p>
            <w:pPr>
              <w:spacing w:after="0"/>
              <w:rPr>
                <w:sz w:val="13"/>
                <w:szCs w:val="13"/>
                <w:color w:val="auto"/>
              </w:rPr>
            </w:pPr>
          </w:p>
        </w:tc>
        <w:tc>
          <w:tcPr>
            <w:tcW w:w="4800" w:type="dxa"/>
            <w:vAlign w:val="bottom"/>
            <w:tcBorders>
              <w:top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the 2019 Omnibus Incentive Plan(amended February 15, 2022)</w:t>
              </w:r>
            </w:hyperlink>
          </w:p>
        </w:tc>
        <w:tc>
          <w:tcPr>
            <w:tcW w:w="1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70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4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980" w:type="dxa"/>
            <w:vAlign w:val="bottom"/>
            <w:gridSpan w:val="9"/>
            <w:shd w:val="clear" w:color="auto" w:fill="CCEEFF"/>
          </w:tcPr>
          <w:p>
            <w:pPr>
              <w:spacing w:after="0" w:line="187"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Non-Qualified Stock Option Award Agreement for Non-</w:t>
              </w:r>
            </w:hyperlink>
          </w:p>
        </w:tc>
        <w:tc>
          <w:tcPr>
            <w:tcW w:w="7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1120" w:type="dxa"/>
            <w:vAlign w:val="bottom"/>
            <w:tcBorders>
              <w:top w:val="single" w:sz="8" w:color="CCEEFF"/>
            </w:tcBorders>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10.19 #</w:t>
            </w:r>
          </w:p>
        </w:tc>
        <w:tc>
          <w:tcPr>
            <w:tcW w:w="4660" w:type="dxa"/>
            <w:vAlign w:val="bottom"/>
            <w:tcBorders>
              <w:top w:val="single" w:sz="8" w:color="0000FF"/>
            </w:tcBorders>
            <w:gridSpan w:val="7"/>
            <w:shd w:val="clear" w:color="auto" w:fill="CCEEFF"/>
          </w:tcPr>
          <w:p>
            <w:pPr>
              <w:spacing w:after="0" w:line="154"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Employee Directors under the 2019 Omnibus Incentive Plan</w:t>
              </w:r>
            </w:hyperlink>
          </w:p>
        </w:tc>
        <w:tc>
          <w:tcPr>
            <w:tcW w:w="320" w:type="dxa"/>
            <w:vAlign w:val="bottom"/>
            <w:tcBorders>
              <w:top w:val="single" w:sz="8" w:color="CCEEFF"/>
            </w:tcBorders>
            <w:gridSpan w:val="2"/>
            <w:shd w:val="clear" w:color="auto" w:fill="CCEEFF"/>
          </w:tcPr>
          <w:p>
            <w:pPr>
              <w:spacing w:after="0"/>
              <w:rPr>
                <w:sz w:val="13"/>
                <w:szCs w:val="13"/>
                <w:color w:val="auto"/>
              </w:rPr>
            </w:pPr>
          </w:p>
        </w:tc>
        <w:tc>
          <w:tcPr>
            <w:tcW w:w="72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Borders>
              <w:top w:val="single" w:sz="8" w:color="CCEEFF"/>
            </w:tcBorders>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001-35280</w:t>
            </w:r>
          </w:p>
        </w:tc>
        <w:tc>
          <w:tcPr>
            <w:tcW w:w="980" w:type="dxa"/>
            <w:vAlign w:val="bottom"/>
            <w:tcBorders>
              <w:top w:val="single" w:sz="8" w:color="CCEEFF"/>
            </w:tcBorders>
            <w:vMerge w:val="restart"/>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10.4</w:t>
            </w:r>
          </w:p>
        </w:tc>
        <w:tc>
          <w:tcPr>
            <w:tcW w:w="172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May 4, 2022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11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2160" w:type="dxa"/>
            <w:vAlign w:val="bottom"/>
            <w:tcBorders>
              <w:top w:val="single" w:sz="8" w:color="0000FF"/>
              <w:bottom w:val="single" w:sz="8" w:color="0000FF"/>
            </w:tcBorders>
            <w:gridSpan w:val="2"/>
            <w:shd w:val="clear" w:color="auto" w:fill="CCEEFF"/>
          </w:tcPr>
          <w:p>
            <w:pPr>
              <w:spacing w:after="0" w:line="167" w:lineRule="exact"/>
              <w:rPr>
                <w:rFonts w:ascii="Times New Roman" w:cs="Times New Roman" w:eastAsia="Times New Roman" w:hAnsi="Times New Roman"/>
                <w:sz w:val="18"/>
                <w:szCs w:val="18"/>
                <w:color w:val="0000FF"/>
                <w:w w:val="97"/>
              </w:rPr>
            </w:pPr>
            <w:hyperlink r:id="rId154">
              <w:r>
                <w:rPr>
                  <w:rFonts w:ascii="Times New Roman" w:cs="Times New Roman" w:eastAsia="Times New Roman" w:hAnsi="Times New Roman"/>
                  <w:sz w:val="18"/>
                  <w:szCs w:val="18"/>
                  <w:color w:val="0000FF"/>
                  <w:w w:val="97"/>
                </w:rPr>
                <w:t>(amended February 15, 2022).</w:t>
              </w:r>
            </w:hyperlink>
          </w:p>
        </w:tc>
        <w:tc>
          <w:tcPr>
            <w:tcW w:w="21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68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7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26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98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7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1120" w:type="dxa"/>
            <w:vAlign w:val="bottom"/>
          </w:tcPr>
          <w:p>
            <w:pPr>
              <w:jc w:val="right"/>
              <w:ind w:right="251"/>
              <w:spacing w:after="0" w:line="187" w:lineRule="exact"/>
              <w:rPr>
                <w:sz w:val="20"/>
                <w:szCs w:val="20"/>
                <w:color w:val="auto"/>
              </w:rPr>
            </w:pPr>
            <w:r>
              <w:rPr>
                <w:rFonts w:ascii="Times New Roman" w:cs="Times New Roman" w:eastAsia="Times New Roman" w:hAnsi="Times New Roman"/>
                <w:sz w:val="18"/>
                <w:szCs w:val="18"/>
                <w:color w:val="auto"/>
              </w:rPr>
              <w:t>10.20 #</w:t>
            </w:r>
          </w:p>
        </w:tc>
        <w:tc>
          <w:tcPr>
            <w:tcW w:w="3620" w:type="dxa"/>
            <w:vAlign w:val="bottom"/>
            <w:tcBorders>
              <w:bottom w:val="single" w:sz="8" w:color="0000FF"/>
            </w:tcBorders>
            <w:gridSpan w:val="3"/>
          </w:tcPr>
          <w:p>
            <w:pPr>
              <w:spacing w:after="0" w:line="187" w:lineRule="exact"/>
              <w:rPr>
                <w:rFonts w:ascii="Times New Roman" w:cs="Times New Roman" w:eastAsia="Times New Roman" w:hAnsi="Times New Roman"/>
                <w:sz w:val="18"/>
                <w:szCs w:val="18"/>
                <w:color w:val="0000FF"/>
                <w:w w:val="97"/>
              </w:rPr>
            </w:pPr>
            <w:hyperlink r:id="rId155">
              <w:r>
                <w:rPr>
                  <w:rFonts w:ascii="Times New Roman" w:cs="Times New Roman" w:eastAsia="Times New Roman" w:hAnsi="Times New Roman"/>
                  <w:sz w:val="18"/>
                  <w:szCs w:val="18"/>
                  <w:color w:val="0000FF"/>
                  <w:w w:val="97"/>
                </w:rPr>
                <w:t>Vericel Corporation 2022 Omnibus Incentive Plan.</w:t>
              </w:r>
            </w:hyperlink>
          </w:p>
        </w:tc>
        <w:tc>
          <w:tcPr>
            <w:tcW w:w="1360" w:type="dxa"/>
            <w:vAlign w:val="bottom"/>
            <w:gridSpan w:val="6"/>
          </w:tcPr>
          <w:p>
            <w:pPr>
              <w:spacing w:after="0"/>
              <w:rPr>
                <w:sz w:val="16"/>
                <w:szCs w:val="16"/>
                <w:color w:val="auto"/>
              </w:rPr>
            </w:pPr>
          </w:p>
        </w:tc>
        <w:tc>
          <w:tcPr>
            <w:tcW w:w="72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91"/>
              <w:spacing w:after="0" w:line="187" w:lineRule="exact"/>
              <w:rPr>
                <w:sz w:val="20"/>
                <w:szCs w:val="20"/>
                <w:color w:val="auto"/>
              </w:rPr>
            </w:pPr>
            <w:r>
              <w:rPr>
                <w:rFonts w:ascii="Times New Roman" w:cs="Times New Roman" w:eastAsia="Times New Roman" w:hAnsi="Times New Roman"/>
                <w:sz w:val="18"/>
                <w:szCs w:val="18"/>
                <w:color w:val="auto"/>
              </w:rPr>
              <w:t>001-35280</w:t>
            </w:r>
          </w:p>
        </w:tc>
        <w:tc>
          <w:tcPr>
            <w:tcW w:w="980" w:type="dxa"/>
            <w:vAlign w:val="bottom"/>
          </w:tcPr>
          <w:p>
            <w:pPr>
              <w:jc w:val="right"/>
              <w:ind w:right="291"/>
              <w:spacing w:after="0" w:line="187" w:lineRule="exact"/>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April 29, 2022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5"/>
        </w:trPr>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00" w:type="dxa"/>
            <w:vAlign w:val="bottom"/>
            <w:gridSpan w:val="5"/>
          </w:tcPr>
          <w:p>
            <w:pPr>
              <w:ind w:left="414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gridSpan w:val="40"/>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40"/>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gridSpan w:val="40"/>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020" w:type="dxa"/>
            <w:vAlign w:val="bottom"/>
            <w:tcBorders>
              <w:top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10.21 #</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560" w:type="dxa"/>
            <w:vAlign w:val="bottom"/>
            <w:tcBorders>
              <w:top w:val="single" w:sz="8" w:color="auto"/>
              <w:bottom w:val="single" w:sz="8" w:color="0000FF"/>
            </w:tcBorders>
            <w:gridSpan w:val="14"/>
          </w:tcPr>
          <w:p>
            <w:pPr>
              <w:spacing w:after="0" w:line="180" w:lineRule="exact"/>
              <w:rPr>
                <w:rFonts w:ascii="Times New Roman" w:cs="Times New Roman" w:eastAsia="Times New Roman" w:hAnsi="Times New Roman"/>
                <w:sz w:val="18"/>
                <w:szCs w:val="18"/>
                <w:color w:val="0000FF"/>
                <w:w w:val="97"/>
              </w:rPr>
            </w:pPr>
            <w:hyperlink r:id="rId158">
              <w:r>
                <w:rPr>
                  <w:rFonts w:ascii="Times New Roman" w:cs="Times New Roman" w:eastAsia="Times New Roman" w:hAnsi="Times New Roman"/>
                  <w:sz w:val="18"/>
                  <w:szCs w:val="18"/>
                  <w:color w:val="0000FF"/>
                  <w:w w:val="97"/>
                </w:rPr>
                <w:t>Vericel Corporation Deferred Compensation Plan.</w:t>
              </w:r>
            </w:hyperlink>
          </w:p>
        </w:tc>
        <w:tc>
          <w:tcPr>
            <w:tcW w:w="1300" w:type="dxa"/>
            <w:vAlign w:val="bottom"/>
            <w:tcBorders>
              <w:top w:val="single" w:sz="8" w:color="auto"/>
            </w:tcBorders>
            <w:gridSpan w:val="30"/>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10.22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gridSpan w:val="44"/>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Vericel Corporation 2022 Omnibus Incentive Plan Restricted Stock</w:t>
              </w:r>
            </w:hyperlink>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27"/>
          </w:tcPr>
          <w:p>
            <w:pPr>
              <w:spacing w:after="0" w:line="140"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Unit Award (Deferred) Agreement for Non-Employee Directors.</w:t>
              </w:r>
            </w:hyperlink>
          </w:p>
        </w:tc>
        <w:tc>
          <w:tcPr>
            <w:tcW w:w="3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10.23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44"/>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New Hire Incentive Stock Option Agreement under the</w:t>
              </w:r>
            </w:hyperlink>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15"/>
          </w:tcPr>
          <w:p>
            <w:pPr>
              <w:spacing w:after="0" w:line="140"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2022 Omnibus Incentive Plan amended July 25, 2023.</w:t>
              </w:r>
            </w:hyperlink>
          </w:p>
        </w:tc>
        <w:tc>
          <w:tcPr>
            <w:tcW w:w="7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1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8"/>
              </w:rPr>
            </w:pPr>
            <w:hyperlink r:id="rId161">
              <w:r>
                <w:rPr>
                  <w:rFonts w:ascii="Times New Roman" w:cs="Times New Roman" w:eastAsia="Times New Roman" w:hAnsi="Times New Roman"/>
                  <w:sz w:val="18"/>
                  <w:szCs w:val="18"/>
                  <w:color w:val="0000FF"/>
                  <w:w w:val="98"/>
                </w:rPr>
                <w:t>Form of Current Employee Incentive Stock Option Agreement</w:t>
              </w:r>
            </w:hyperlink>
          </w:p>
        </w:tc>
        <w:tc>
          <w:tcPr>
            <w:tcW w:w="400" w:type="dxa"/>
            <w:vAlign w:val="bottom"/>
            <w:gridSpan w:val="22"/>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bottom w:val="single" w:sz="8" w:color="0000FF"/>
            </w:tcBorders>
            <w:gridSpan w:val="26"/>
          </w:tcPr>
          <w:p>
            <w:pPr>
              <w:spacing w:after="0" w:line="140"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under the 2022 Omnibus Incentive Plan amended July 25, 2023.</w:t>
              </w:r>
            </w:hyperlink>
          </w:p>
        </w:tc>
        <w:tc>
          <w:tcPr>
            <w:tcW w:w="28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44"/>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Non-Qualified Stock Option Award Agreement for Non-</w:t>
              </w:r>
            </w:hyperlink>
          </w:p>
        </w:tc>
        <w:tc>
          <w:tcPr>
            <w:tcW w:w="0" w:type="dxa"/>
            <w:vAlign w:val="bottom"/>
          </w:tcPr>
          <w:p>
            <w:pPr>
              <w:spacing w:after="0"/>
              <w:rPr>
                <w:sz w:val="1"/>
                <w:szCs w:val="1"/>
                <w:color w:val="auto"/>
              </w:rPr>
            </w:pPr>
          </w:p>
        </w:tc>
      </w:tr>
      <w:tr>
        <w:trPr>
          <w:trHeight w:val="15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10.25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Employee Directors under the 2022 Omnibus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1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Borders>
              <w:top w:val="single" w:sz="8" w:color="0000FF"/>
              <w:bottom w:val="single" w:sz="8" w:color="0000FF"/>
            </w:tcBorders>
            <w:gridSpan w:val="6"/>
          </w:tcPr>
          <w:p>
            <w:pPr>
              <w:spacing w:after="0" w:line="167" w:lineRule="exact"/>
              <w:rPr>
                <w:rFonts w:ascii="Times New Roman" w:cs="Times New Roman" w:eastAsia="Times New Roman" w:hAnsi="Times New Roman"/>
                <w:sz w:val="18"/>
                <w:szCs w:val="18"/>
                <w:color w:val="0000FF"/>
                <w:w w:val="97"/>
              </w:rPr>
            </w:pPr>
            <w:hyperlink r:id="rId162">
              <w:r>
                <w:rPr>
                  <w:rFonts w:ascii="Times New Roman" w:cs="Times New Roman" w:eastAsia="Times New Roman" w:hAnsi="Times New Roman"/>
                  <w:sz w:val="18"/>
                  <w:szCs w:val="18"/>
                  <w:color w:val="0000FF"/>
                  <w:w w:val="97"/>
                </w:rPr>
                <w:t>amended July 25, 2023.</w:t>
              </w:r>
            </w:hyperlink>
          </w:p>
        </w:tc>
        <w:tc>
          <w:tcPr>
            <w:tcW w:w="2600" w:type="dxa"/>
            <w:vAlign w:val="bottom"/>
            <w:tcBorders>
              <w:top w:val="single" w:sz="8" w:color="0000FF"/>
            </w:tcBorders>
            <w:gridSpan w:val="1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29496721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10.26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gridSpan w:val="44"/>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Restricted Stock Unit Award Agreement for Employees</w:t>
              </w:r>
            </w:hyperlink>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17"/>
          </w:tcPr>
          <w:p>
            <w:pPr>
              <w:spacing w:after="0" w:line="140"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under the 2022 Omnibus Plan, amended February 21, 2024.</w:t>
              </w:r>
            </w:hyperlink>
          </w:p>
        </w:tc>
        <w:tc>
          <w:tcPr>
            <w:tcW w:w="320" w:type="dxa"/>
            <w:vAlign w:val="bottom"/>
            <w:tcBorders>
              <w:top w:val="single" w:sz="8" w:color="0000FF"/>
            </w:tcBorders>
            <w:gridSpan w:val="9"/>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1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10.27 †</w:t>
            </w:r>
          </w:p>
        </w:tc>
        <w:tc>
          <w:tcPr>
            <w:tcW w:w="20" w:type="dxa"/>
            <w:vAlign w:val="bottom"/>
          </w:tcPr>
          <w:p>
            <w:pPr>
              <w:spacing w:after="0"/>
              <w:rPr>
                <w:sz w:val="19"/>
                <w:szCs w:val="19"/>
                <w:color w:val="auto"/>
              </w:rPr>
            </w:pPr>
          </w:p>
        </w:tc>
        <w:tc>
          <w:tcPr>
            <w:tcW w:w="4860" w:type="dxa"/>
            <w:vAlign w:val="bottom"/>
            <w:gridSpan w:val="44"/>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License Agreement between the Company and MediWound LTD.,</w:t>
              </w:r>
            </w:hyperlink>
          </w:p>
        </w:tc>
        <w:tc>
          <w:tcPr>
            <w:tcW w:w="0" w:type="dxa"/>
            <w:vAlign w:val="bottom"/>
          </w:tcPr>
          <w:p>
            <w:pPr>
              <w:spacing w:after="0"/>
              <w:rPr>
                <w:sz w:val="1"/>
                <w:szCs w:val="1"/>
                <w:color w:val="auto"/>
              </w:rPr>
            </w:pPr>
          </w:p>
        </w:tc>
      </w:tr>
      <w:tr>
        <w:trPr>
          <w:trHeight w:val="153"/>
        </w:trPr>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4"/>
          </w:tcPr>
          <w:p>
            <w:pPr>
              <w:spacing w:after="0" w:line="140"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dated May 6, 2019.</w:t>
              </w:r>
            </w:hyperlink>
          </w:p>
        </w:tc>
        <w:tc>
          <w:tcPr>
            <w:tcW w:w="346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1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10.28 †</w:t>
            </w:r>
          </w:p>
        </w:tc>
        <w:tc>
          <w:tcPr>
            <w:tcW w:w="20" w:type="dxa"/>
            <w:vAlign w:val="bottom"/>
          </w:tcPr>
          <w:p>
            <w:pPr>
              <w:spacing w:after="0"/>
              <w:rPr>
                <w:sz w:val="19"/>
                <w:szCs w:val="19"/>
                <w:color w:val="auto"/>
              </w:rPr>
            </w:pPr>
          </w:p>
        </w:tc>
        <w:tc>
          <w:tcPr>
            <w:tcW w:w="4860" w:type="dxa"/>
            <w:vAlign w:val="bottom"/>
            <w:gridSpan w:val="44"/>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Supply Agreement between the Company and MediWound LTD.,</w:t>
              </w:r>
            </w:hyperlink>
          </w:p>
        </w:tc>
        <w:tc>
          <w:tcPr>
            <w:tcW w:w="0" w:type="dxa"/>
            <w:vAlign w:val="bottom"/>
          </w:tcPr>
          <w:p>
            <w:pPr>
              <w:spacing w:after="0"/>
              <w:rPr>
                <w:sz w:val="1"/>
                <w:szCs w:val="1"/>
                <w:color w:val="auto"/>
              </w:rPr>
            </w:pPr>
          </w:p>
        </w:tc>
      </w:tr>
      <w:tr>
        <w:trPr>
          <w:trHeight w:val="153"/>
        </w:trPr>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4"/>
          </w:tcPr>
          <w:p>
            <w:pPr>
              <w:spacing w:after="0" w:line="140"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dated May 6, 2019.</w:t>
              </w:r>
            </w:hyperlink>
          </w:p>
        </w:tc>
        <w:tc>
          <w:tcPr>
            <w:tcW w:w="334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1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44"/>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First Amendment to Executive Employment Agreement, executed</w:t>
              </w:r>
            </w:hyperlink>
          </w:p>
        </w:tc>
        <w:tc>
          <w:tcPr>
            <w:tcW w:w="0" w:type="dxa"/>
            <w:vAlign w:val="bottom"/>
          </w:tcPr>
          <w:p>
            <w:pPr>
              <w:spacing w:after="0"/>
              <w:rPr>
                <w:sz w:val="1"/>
                <w:szCs w:val="1"/>
                <w:color w:val="auto"/>
              </w:rPr>
            </w:pPr>
          </w:p>
        </w:tc>
      </w:tr>
      <w:tr>
        <w:trPr>
          <w:trHeight w:val="15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10.29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tcBorders>
            <w:gridSpan w:val="36"/>
          </w:tcPr>
          <w:p>
            <w:pPr>
              <w:spacing w:after="0" w:line="154"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and effective June 3, 2019, by and between the Company and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1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3"/>
          </w:tcPr>
          <w:p>
            <w:pPr>
              <w:spacing w:after="0" w:line="167" w:lineRule="exact"/>
              <w:rPr>
                <w:rFonts w:ascii="Times New Roman" w:cs="Times New Roman" w:eastAsia="Times New Roman" w:hAnsi="Times New Roman"/>
                <w:sz w:val="18"/>
                <w:szCs w:val="18"/>
                <w:color w:val="0000FF"/>
                <w:w w:val="97"/>
              </w:rPr>
            </w:pPr>
            <w:hyperlink r:id="rId166">
              <w:r>
                <w:rPr>
                  <w:rFonts w:ascii="Times New Roman" w:cs="Times New Roman" w:eastAsia="Times New Roman" w:hAnsi="Times New Roman"/>
                  <w:sz w:val="18"/>
                  <w:szCs w:val="18"/>
                  <w:color w:val="0000FF"/>
                  <w:w w:val="97"/>
                </w:rPr>
                <w:t>Michael Halpin.</w:t>
              </w:r>
            </w:hyperlink>
          </w:p>
        </w:tc>
        <w:tc>
          <w:tcPr>
            <w:tcW w:w="322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29496721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10.30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gridSpan w:val="44"/>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Employment Agreement, dated January 25, 2021, by and between</w:t>
              </w:r>
            </w:hyperlink>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Borders>
              <w:top w:val="single" w:sz="8" w:color="0000FF"/>
            </w:tcBorders>
            <w:gridSpan w:val="34"/>
          </w:tcPr>
          <w:p>
            <w:pPr>
              <w:spacing w:after="0" w:line="140"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the Company and Joseph Mara.</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1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10.31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44"/>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Employment Agreement, dated November 4, 2019, by and between</w:t>
              </w:r>
            </w:hyperlink>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tcBorders>
            <w:gridSpan w:val="43"/>
          </w:tcPr>
          <w:p>
            <w:pPr>
              <w:spacing w:after="0" w:line="140"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the Company and Sean Flynn.</w:t>
              </w:r>
            </w:hyperlink>
          </w:p>
        </w:tc>
        <w:tc>
          <w:tcPr>
            <w:tcW w:w="429496721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10.32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44"/>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Employment Agreement, dated August 20, 2018, by and between</w:t>
              </w:r>
            </w:hyperlink>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13"/>
          </w:tcPr>
          <w:p>
            <w:pPr>
              <w:spacing w:after="0" w:line="140"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the Company and Dr. Jonathan M. Hopper.</w:t>
              </w:r>
            </w:hyperlink>
          </w:p>
        </w:tc>
        <w:tc>
          <w:tcPr>
            <w:tcW w:w="164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44"/>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Eighth Amendment to the Distribution Agreement between Orsini</w:t>
              </w:r>
            </w:hyperlink>
          </w:p>
        </w:tc>
        <w:tc>
          <w:tcPr>
            <w:tcW w:w="0" w:type="dxa"/>
            <w:vAlign w:val="bottom"/>
          </w:tcPr>
          <w:p>
            <w:pPr>
              <w:spacing w:after="0"/>
              <w:rPr>
                <w:sz w:val="1"/>
                <w:szCs w:val="1"/>
                <w:color w:val="auto"/>
              </w:rPr>
            </w:pPr>
          </w:p>
        </w:tc>
      </w:tr>
      <w:tr>
        <w:trPr>
          <w:trHeight w:val="15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top w:val="single" w:sz="8" w:color="0000FF"/>
            </w:tcBorders>
            <w:gridSpan w:val="37"/>
          </w:tcPr>
          <w:p>
            <w:pPr>
              <w:spacing w:after="0" w:line="154"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Pharmaceutical Services, Inc. and the Company, dated May 15,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3"/>
              </w:rPr>
            </w:pPr>
            <w:hyperlink r:id="rId170">
              <w:r>
                <w:rPr>
                  <w:rFonts w:ascii="Times New Roman" w:cs="Times New Roman" w:eastAsia="Times New Roman" w:hAnsi="Times New Roman"/>
                  <w:sz w:val="18"/>
                  <w:szCs w:val="18"/>
                  <w:color w:val="0000FF"/>
                  <w:w w:val="93"/>
                </w:rPr>
                <w:t>2022.</w:t>
              </w:r>
            </w:hyperlink>
          </w:p>
        </w:tc>
        <w:tc>
          <w:tcPr>
            <w:tcW w:w="26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Ninth Amendment to the Distribution Agreement between Orsini</w:t>
            </w:r>
          </w:p>
        </w:tc>
        <w:tc>
          <w:tcPr>
            <w:tcW w:w="0" w:type="dxa"/>
            <w:vAlign w:val="bottom"/>
          </w:tcPr>
          <w:p>
            <w:pPr>
              <w:spacing w:after="0"/>
              <w:rPr>
                <w:sz w:val="1"/>
                <w:szCs w:val="1"/>
                <w:color w:val="auto"/>
              </w:rPr>
            </w:pPr>
          </w:p>
        </w:tc>
      </w:tr>
      <w:tr>
        <w:trPr>
          <w:trHeight w:val="15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10.34**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top w:val="single" w:sz="8" w:color="0000FF"/>
            </w:tcBorders>
            <w:gridSpan w:val="29"/>
          </w:tcPr>
          <w:p>
            <w:pPr>
              <w:spacing w:after="0" w:line="154" w:lineRule="exact"/>
              <w:rPr>
                <w:sz w:val="20"/>
                <w:szCs w:val="20"/>
                <w:color w:val="auto"/>
              </w:rPr>
            </w:pPr>
            <w:r>
              <w:rPr>
                <w:rFonts w:ascii="Times New Roman" w:cs="Times New Roman" w:eastAsia="Times New Roman" w:hAnsi="Times New Roman"/>
                <w:sz w:val="17"/>
                <w:szCs w:val="17"/>
                <w:color w:val="0000FF"/>
              </w:rPr>
              <w:t>Pharmaceutical Services, Inc. and the Company, dated May 15,</w:t>
            </w: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7" w:lineRule="exact"/>
              <w:rPr>
                <w:sz w:val="20"/>
                <w:szCs w:val="20"/>
                <w:color w:val="auto"/>
              </w:rPr>
            </w:pPr>
            <w:r>
              <w:rPr>
                <w:rFonts w:ascii="Times New Roman" w:cs="Times New Roman" w:eastAsia="Times New Roman" w:hAnsi="Times New Roman"/>
                <w:sz w:val="18"/>
                <w:szCs w:val="18"/>
                <w:color w:val="0000FF"/>
                <w:w w:val="93"/>
              </w:rPr>
              <w:t>2024.</w:t>
            </w:r>
          </w:p>
        </w:tc>
        <w:tc>
          <w:tcPr>
            <w:tcW w:w="26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Tenth Amendment to the Distribution Agreement between Orsini</w:t>
              </w:r>
            </w:hyperlink>
          </w:p>
        </w:tc>
        <w:tc>
          <w:tcPr>
            <w:tcW w:w="2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bottom w:val="single" w:sz="8" w:color="0000FF"/>
            </w:tcBorders>
            <w:gridSpan w:val="44"/>
          </w:tcPr>
          <w:p>
            <w:pPr>
              <w:spacing w:after="0" w:line="140"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Pharmaceutical Services, Inc. and the Company, dated July 1, 2024.</w:t>
              </w:r>
            </w:hyperlink>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44"/>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Eleventh Amendment to the Distribution Agreement between</w:t>
              </w:r>
            </w:hyperlink>
          </w:p>
        </w:tc>
        <w:tc>
          <w:tcPr>
            <w:tcW w:w="0" w:type="dxa"/>
            <w:vAlign w:val="bottom"/>
          </w:tcPr>
          <w:p>
            <w:pPr>
              <w:spacing w:after="0"/>
              <w:rPr>
                <w:sz w:val="1"/>
                <w:szCs w:val="1"/>
                <w:color w:val="auto"/>
              </w:rPr>
            </w:pPr>
          </w:p>
        </w:tc>
      </w:tr>
      <w:tr>
        <w:trPr>
          <w:trHeight w:val="153"/>
        </w:trPr>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10.36 †</w:t>
            </w:r>
          </w:p>
        </w:tc>
        <w:tc>
          <w:tcPr>
            <w:tcW w:w="20" w:type="dxa"/>
            <w:vAlign w:val="bottom"/>
          </w:tcPr>
          <w:p>
            <w:pPr>
              <w:spacing w:after="0"/>
              <w:rPr>
                <w:sz w:val="13"/>
                <w:szCs w:val="13"/>
                <w:color w:val="auto"/>
              </w:rPr>
            </w:pPr>
          </w:p>
        </w:tc>
        <w:tc>
          <w:tcPr>
            <w:tcW w:w="440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Orsini Pharmaceutical Services, Inc. and the Company, dated</w:t>
              </w:r>
            </w:hyperlink>
          </w:p>
        </w:tc>
        <w:tc>
          <w:tcPr>
            <w:tcW w:w="20" w:type="dxa"/>
            <w:vAlign w:val="bottom"/>
          </w:tcPr>
          <w:p>
            <w:pPr>
              <w:spacing w:after="0"/>
              <w:rPr>
                <w:sz w:val="13"/>
                <w:szCs w:val="13"/>
                <w:color w:val="auto"/>
              </w:rPr>
            </w:pPr>
          </w:p>
        </w:tc>
        <w:tc>
          <w:tcPr>
            <w:tcW w:w="440" w:type="dxa"/>
            <w:vAlign w:val="bottom"/>
            <w:gridSpan w:val="23"/>
          </w:tcPr>
          <w:p>
            <w:pPr>
              <w:spacing w:after="0" w:line="154"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July</w:t>
              </w:r>
            </w:hyperlink>
          </w:p>
        </w:tc>
        <w:tc>
          <w:tcPr>
            <w:tcW w:w="0" w:type="dxa"/>
            <w:vAlign w:val="bottom"/>
          </w:tcPr>
          <w:p>
            <w:pPr>
              <w:spacing w:after="0"/>
              <w:rPr>
                <w:sz w:val="1"/>
                <w:szCs w:val="1"/>
                <w:color w:val="auto"/>
              </w:rPr>
            </w:pPr>
          </w:p>
        </w:tc>
      </w:tr>
      <w:tr>
        <w:trPr>
          <w:trHeight w:val="167"/>
        </w:trPr>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top w:val="single" w:sz="8" w:color="0000FF"/>
              <w:bottom w:val="single" w:sz="8" w:color="0000FF"/>
            </w:tcBorders>
            <w:gridSpan w:val="2"/>
          </w:tcPr>
          <w:p>
            <w:pPr>
              <w:spacing w:after="0" w:line="167" w:lineRule="exact"/>
              <w:rPr>
                <w:rFonts w:ascii="Times New Roman" w:cs="Times New Roman" w:eastAsia="Times New Roman" w:hAnsi="Times New Roman"/>
                <w:sz w:val="18"/>
                <w:szCs w:val="18"/>
                <w:color w:val="0000FF"/>
                <w:w w:val="94"/>
              </w:rPr>
            </w:pPr>
            <w:hyperlink r:id="rId172">
              <w:r>
                <w:rPr>
                  <w:rFonts w:ascii="Times New Roman" w:cs="Times New Roman" w:eastAsia="Times New Roman" w:hAnsi="Times New Roman"/>
                  <w:sz w:val="18"/>
                  <w:szCs w:val="18"/>
                  <w:color w:val="0000FF"/>
                  <w:w w:val="94"/>
                </w:rPr>
                <w:t>31, 2024.</w:t>
              </w:r>
            </w:hyperlink>
          </w:p>
        </w:tc>
        <w:tc>
          <w:tcPr>
            <w:tcW w:w="5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1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gridSpan w:val="44"/>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Third Amendment to the Dispensing Agreement between AllCare</w:t>
              </w:r>
            </w:hyperlink>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17"/>
          </w:tcPr>
          <w:p>
            <w:pPr>
              <w:spacing w:after="0" w:line="140"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Plus Pharmacy, Inc. and the Company, dated May 16, 2022.</w:t>
              </w:r>
            </w:hyperlink>
          </w:p>
        </w:tc>
        <w:tc>
          <w:tcPr>
            <w:tcW w:w="48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10.38 †</w:t>
            </w:r>
          </w:p>
        </w:tc>
        <w:tc>
          <w:tcPr>
            <w:tcW w:w="20" w:type="dxa"/>
            <w:vAlign w:val="bottom"/>
          </w:tcPr>
          <w:p>
            <w:pPr>
              <w:spacing w:after="0"/>
              <w:rPr>
                <w:sz w:val="19"/>
                <w:szCs w:val="19"/>
                <w:color w:val="auto"/>
              </w:rPr>
            </w:pPr>
          </w:p>
        </w:tc>
        <w:tc>
          <w:tcPr>
            <w:tcW w:w="4860" w:type="dxa"/>
            <w:vAlign w:val="bottom"/>
            <w:gridSpan w:val="44"/>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Fourth Amendment to the Dispensing Agreement between AllCare</w:t>
              </w:r>
            </w:hyperlink>
          </w:p>
        </w:tc>
        <w:tc>
          <w:tcPr>
            <w:tcW w:w="0" w:type="dxa"/>
            <w:vAlign w:val="bottom"/>
          </w:tcPr>
          <w:p>
            <w:pPr>
              <w:spacing w:after="0"/>
              <w:rPr>
                <w:sz w:val="1"/>
                <w:szCs w:val="1"/>
                <w:color w:val="auto"/>
              </w:rPr>
            </w:pPr>
          </w:p>
        </w:tc>
      </w:tr>
      <w:tr>
        <w:trPr>
          <w:trHeight w:val="153"/>
        </w:trPr>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tcBorders>
            <w:gridSpan w:val="41"/>
          </w:tcPr>
          <w:p>
            <w:pPr>
              <w:spacing w:after="0" w:line="154"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Plus Pharmacy, Inc. and the Company, dated June 1, 2024.</w:t>
              </w:r>
            </w:hyperlink>
          </w:p>
        </w:tc>
        <w:tc>
          <w:tcPr>
            <w:tcW w:w="4294967257"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Revolving Credit Agreement, dated as of July 29, 2022, by and</w:t>
              </w:r>
            </w:hyperlink>
          </w:p>
        </w:tc>
        <w:tc>
          <w:tcPr>
            <w:tcW w:w="360" w:type="dxa"/>
            <w:vAlign w:val="bottom"/>
            <w:gridSpan w:val="21"/>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gridSpan w:val="44"/>
          </w:tcPr>
          <w:p>
            <w:pPr>
              <w:spacing w:after="0" w:line="154"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among Vericel Corporation, as borrower, the lenders party thereto,</w:t>
              </w:r>
            </w:hyperlink>
          </w:p>
        </w:tc>
        <w:tc>
          <w:tcPr>
            <w:tcW w:w="0" w:type="dxa"/>
            <w:vAlign w:val="bottom"/>
          </w:tcPr>
          <w:p>
            <w:pPr>
              <w:spacing w:after="0"/>
              <w:rPr>
                <w:sz w:val="1"/>
                <w:szCs w:val="1"/>
                <w:color w:val="auto"/>
              </w:rPr>
            </w:pPr>
          </w:p>
        </w:tc>
      </w:tr>
      <w:tr>
        <w:trPr>
          <w:trHeight w:val="16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tcBorders>
              <w:top w:val="single" w:sz="8" w:color="0000FF"/>
            </w:tcBorders>
            <w:gridSpan w:val="39"/>
          </w:tcPr>
          <w:p>
            <w:pPr>
              <w:spacing w:after="0" w:line="167"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and JPMorgan Chase Bank, N.A.as administrative agent, sole</w:t>
              </w:r>
            </w:hyperlink>
          </w:p>
        </w:tc>
        <w:tc>
          <w:tcPr>
            <w:tcW w:w="20" w:type="dxa"/>
            <w:vAlign w:val="bottom"/>
          </w:tcPr>
          <w:p>
            <w:pPr>
              <w:spacing w:after="0"/>
              <w:rPr>
                <w:sz w:val="14"/>
                <w:szCs w:val="14"/>
                <w:color w:val="auto"/>
              </w:rPr>
            </w:pPr>
          </w:p>
        </w:tc>
        <w:tc>
          <w:tcPr>
            <w:tcW w:w="4294967277"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bookrunner and sole lead arranger.</w:t>
              </w:r>
            </w:hyperlink>
          </w:p>
        </w:tc>
        <w:tc>
          <w:tcPr>
            <w:tcW w:w="360" w:type="dxa"/>
            <w:vAlign w:val="bottom"/>
            <w:gridSpan w:val="14"/>
          </w:tcPr>
          <w:p>
            <w:pPr>
              <w:spacing w:after="0"/>
              <w:rPr>
                <w:sz w:val="13"/>
                <w:szCs w:val="13"/>
                <w:color w:val="auto"/>
              </w:rPr>
            </w:pPr>
          </w:p>
        </w:tc>
        <w:tc>
          <w:tcPr>
            <w:tcW w:w="100" w:type="dxa"/>
            <w:vAlign w:val="bottom"/>
            <w:gridSpan w:val="5"/>
          </w:tcPr>
          <w:p>
            <w:pPr>
              <w:spacing w:after="0"/>
              <w:rPr>
                <w:sz w:val="13"/>
                <w:szCs w:val="13"/>
                <w:color w:val="auto"/>
              </w:rPr>
            </w:pPr>
          </w:p>
        </w:tc>
        <w:tc>
          <w:tcPr>
            <w:tcW w:w="4294967277"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240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40" w:type="dxa"/>
            <w:vAlign w:val="bottom"/>
            <w:gridSpan w:val="2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294967277"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Subsidiaries of Registrant.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40" w:type="dxa"/>
            <w:vAlign w:val="bottom"/>
            <w:gridSpan w:val="2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294967277"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tcBorders>
            <w:gridSpan w:val="35"/>
          </w:tcPr>
          <w:p>
            <w:pPr>
              <w:spacing w:after="0" w:line="154" w:lineRule="exact"/>
              <w:rPr>
                <w:sz w:val="20"/>
                <w:szCs w:val="20"/>
                <w:color w:val="auto"/>
              </w:rPr>
            </w:pPr>
            <w:r>
              <w:rPr>
                <w:rFonts w:ascii="Times New Roman" w:cs="Times New Roman" w:eastAsia="Times New Roman" w:hAnsi="Times New Roman"/>
                <w:sz w:val="17"/>
                <w:szCs w:val="17"/>
                <w:color w:val="0000FF"/>
              </w:rPr>
              <w:t>Public Accounting Firm.</w:t>
            </w:r>
          </w:p>
        </w:tc>
        <w:tc>
          <w:tcPr>
            <w:tcW w:w="100" w:type="dxa"/>
            <w:vAlign w:val="bottom"/>
            <w:gridSpan w:val="5"/>
          </w:tcPr>
          <w:p>
            <w:pPr>
              <w:spacing w:after="0"/>
              <w:rPr>
                <w:sz w:val="13"/>
                <w:szCs w:val="13"/>
                <w:color w:val="auto"/>
              </w:rPr>
            </w:pPr>
          </w:p>
        </w:tc>
        <w:tc>
          <w:tcPr>
            <w:tcW w:w="4294967277"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7"/>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540" w:type="dxa"/>
            <w:vAlign w:val="bottom"/>
            <w:gridSpan w:val="29"/>
          </w:tcPr>
          <w:p>
            <w:pPr>
              <w:spacing w:after="0" w:line="20" w:lineRule="exact"/>
              <w:rPr>
                <w:sz w:val="1"/>
                <w:szCs w:val="1"/>
                <w:color w:val="auto"/>
              </w:rPr>
            </w:pPr>
          </w:p>
        </w:tc>
        <w:tc>
          <w:tcPr>
            <w:tcW w:w="4294967277"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11"/>
          </w:tcPr>
          <w:p>
            <w:pPr>
              <w:spacing w:after="0" w:line="140" w:lineRule="exact"/>
              <w:rPr>
                <w:sz w:val="20"/>
                <w:szCs w:val="20"/>
                <w:color w:val="auto"/>
              </w:rPr>
            </w:pPr>
            <w:r>
              <w:rPr>
                <w:rFonts w:ascii="Times New Roman" w:cs="Times New Roman" w:eastAsia="Times New Roman" w:hAnsi="Times New Roman"/>
                <w:sz w:val="16"/>
                <w:szCs w:val="16"/>
                <w:color w:val="0000FF"/>
              </w:rPr>
              <w:t>the Sarbanes-Oxley Act of 2002.</w:t>
            </w:r>
          </w:p>
        </w:tc>
        <w:tc>
          <w:tcPr>
            <w:tcW w:w="2540" w:type="dxa"/>
            <w:vAlign w:val="bottom"/>
            <w:tcBorders>
              <w:top w:val="single" w:sz="8" w:color="0000FF"/>
            </w:tcBorders>
            <w:gridSpan w:val="29"/>
          </w:tcPr>
          <w:p>
            <w:pPr>
              <w:spacing w:after="0"/>
              <w:rPr>
                <w:sz w:val="13"/>
                <w:szCs w:val="13"/>
                <w:color w:val="auto"/>
              </w:rPr>
            </w:pPr>
          </w:p>
        </w:tc>
        <w:tc>
          <w:tcPr>
            <w:tcW w:w="4294967277"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88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gridSpan w:val="23"/>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17"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54610</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-7006590</wp:posOffset>
            </wp:positionV>
            <wp:extent cx="6845935" cy="152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6845935" cy="15240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-6591300</wp:posOffset>
            </wp:positionV>
            <wp:extent cx="6845935" cy="262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8">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-6066155</wp:posOffset>
            </wp:positionV>
            <wp:extent cx="6845935" cy="3727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9">
                      <a:extLst>
                        <a:ext uri="{28A0092B-C50C-407E-A947-70E740481C1C}"/>
                      </a:extLst>
                    </a:blip>
                    <a:srcRect/>
                    <a:stretch>
                      <a:fillRect/>
                    </a:stretch>
                  </pic:blipFill>
                  <pic:spPr bwMode="auto">
                    <a:xfrm>
                      <a:off x="0" y="0"/>
                      <a:ext cx="6845935" cy="3727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-5430520</wp:posOffset>
            </wp:positionV>
            <wp:extent cx="6845935" cy="262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-4905375</wp:posOffset>
            </wp:positionV>
            <wp:extent cx="6845935" cy="3727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1">
                      <a:extLst>
                        <a:ext uri="{28A0092B-C50C-407E-A947-70E740481C1C}"/>
                      </a:extLst>
                    </a:blip>
                    <a:srcRect/>
                    <a:stretch>
                      <a:fillRect/>
                    </a:stretch>
                  </pic:blipFill>
                  <pic:spPr bwMode="auto">
                    <a:xfrm>
                      <a:off x="0" y="0"/>
                      <a:ext cx="6845935" cy="3727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-4269740</wp:posOffset>
            </wp:positionV>
            <wp:extent cx="6845935" cy="262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2">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-3744595</wp:posOffset>
            </wp:positionV>
            <wp:extent cx="6845935" cy="3727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3">
                      <a:extLst>
                        <a:ext uri="{28A0092B-C50C-407E-A947-70E740481C1C}"/>
                      </a:extLst>
                    </a:blip>
                    <a:srcRect/>
                    <a:stretch>
                      <a:fillRect/>
                    </a:stretch>
                  </pic:blipFill>
                  <pic:spPr bwMode="auto">
                    <a:xfrm>
                      <a:off x="0" y="0"/>
                      <a:ext cx="6845935" cy="3727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-2999105</wp:posOffset>
            </wp:positionV>
            <wp:extent cx="6845935" cy="262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-2363470</wp:posOffset>
            </wp:positionV>
            <wp:extent cx="6845935" cy="262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-1838325</wp:posOffset>
            </wp:positionV>
            <wp:extent cx="6845935" cy="4832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extLst>
                    </a:blip>
                    <a:srcRect/>
                    <a:stretch>
                      <a:fillRect/>
                    </a:stretch>
                  </pic:blipFill>
                  <pic:spPr bwMode="auto">
                    <a:xfrm>
                      <a:off x="0" y="0"/>
                      <a:ext cx="6845935" cy="48323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-1211580</wp:posOffset>
            </wp:positionV>
            <wp:extent cx="6845935" cy="144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6845935" cy="1441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-804545</wp:posOffset>
            </wp:positionV>
            <wp:extent cx="6845935" cy="262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6845935" cy="262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29908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299085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r>
      <w:tr>
        <w:trPr>
          <w:trHeight w:val="226"/>
        </w:trPr>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19"/>
                <w:szCs w:val="19"/>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August 2, 2023</w:t>
            </w:r>
          </w:p>
        </w:tc>
      </w:tr>
      <w:tr>
        <w:trPr>
          <w:trHeight w:val="409"/>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2023</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8, 2023</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8, 2023</w:t>
            </w:r>
          </w:p>
        </w:tc>
      </w:tr>
      <w:tr>
        <w:trPr>
          <w:trHeight w:val="587"/>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8, 2023</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8, 2024</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6, 2019</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6, 2019</w:t>
            </w:r>
          </w:p>
        </w:tc>
      </w:tr>
      <w:tr>
        <w:trPr>
          <w:trHeight w:val="587"/>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6, 2019</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25, 2021</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10.43</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24, 2021</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10.44</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24, 2021</w:t>
            </w:r>
          </w:p>
        </w:tc>
      </w:tr>
      <w:tr>
        <w:trPr>
          <w:trHeight w:val="587"/>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 2022</w:t>
            </w:r>
          </w:p>
        </w:tc>
      </w:tr>
      <w:tr>
        <w:trPr>
          <w:trHeight w:val="1001"/>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1, 2024</w:t>
            </w:r>
          </w:p>
        </w:tc>
      </w:tr>
      <w:tr>
        <w:trPr>
          <w:trHeight w:val="587"/>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 2022</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1, 2024</w:t>
            </w:r>
          </w:p>
        </w:tc>
      </w:tr>
      <w:tr>
        <w:trPr>
          <w:trHeight w:val="761"/>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9, 2022</w:t>
            </w:r>
          </w:p>
        </w:tc>
      </w:tr>
    </w:tbl>
    <w:p>
      <w:pPr>
        <w:sectPr>
          <w:pgSz w:w="11900" w:h="16838" w:orient="portrait"/>
          <w:cols w:equalWidth="0" w:num="2">
            <w:col w:w="6200" w:space="80"/>
            <w:col w:w="4720"/>
          </w:cols>
          <w:pgMar w:left="340" w:top="177" w:right="559" w:bottom="1440" w:gutter="0" w:footer="0" w:header="0"/>
        </w:sectPr>
      </w:pPr>
    </w:p>
    <w:bookmarkStart w:id="106" w:name="page107"/>
    <w:bookmarkEnd w:id="10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4003040</wp:posOffset>
            </wp:positionH>
            <wp:positionV relativeFrom="paragraph">
              <wp:posOffset>18415</wp:posOffset>
            </wp:positionV>
            <wp:extent cx="29908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2990850" cy="8255"/>
                    </a:xfrm>
                    <a:prstGeom prst="rect">
                      <a:avLst/>
                    </a:prstGeom>
                    <a:noFill/>
                  </pic:spPr>
                </pic:pic>
              </a:graphicData>
            </a:graphic>
          </wp:anchor>
        </w:drawing>
      </w:r>
    </w:p>
    <w:p>
      <w:pPr>
        <w:sectPr>
          <w:pgSz w:w="11900" w:h="16838" w:orient="portrait"/>
          <w:cols w:equalWidth="0" w:num="1">
            <w:col w:w="11020"/>
          </w:cols>
          <w:pgMar w:left="320" w:top="177" w:right="559" w:bottom="1440" w:gutter="0" w:footer="0" w:header="0"/>
        </w:sectPr>
      </w:pP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Exhibit</w:t>
      </w:r>
    </w:p>
    <w:p>
      <w:pPr>
        <w:ind w:left="44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11430</wp:posOffset>
            </wp:positionV>
            <wp:extent cx="6610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661035" cy="8255"/>
                    </a:xfrm>
                    <a:prstGeom prst="rect">
                      <a:avLst/>
                    </a:prstGeom>
                    <a:noFill/>
                  </pic:spPr>
                </pic:pic>
              </a:graphicData>
            </a:graphic>
          </wp:anchor>
        </w:drawing>
      </w:r>
    </w:p>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31.2**</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400"/>
        <w:spacing w:after="0"/>
        <w:tabs>
          <w:tab w:leader="none" w:pos="4140" w:val="left"/>
          <w:tab w:leader="none" w:pos="3420" w:val="left"/>
          <w:tab w:leader="none" w:pos="2100" w:val="left"/>
          <w:tab w:leader="none" w:pos="820" w:val="left"/>
        </w:tabs>
        <w:rPr>
          <w:sz w:val="20"/>
          <w:szCs w:val="20"/>
          <w:color w:val="auto"/>
        </w:rPr>
      </w:pPr>
      <w:r>
        <w:rPr>
          <w:rFonts w:ascii="Times New Roman" w:cs="Times New Roman" w:eastAsia="Times New Roman" w:hAnsi="Times New Roman"/>
          <w:sz w:val="18"/>
          <w:szCs w:val="18"/>
          <w:b w:val="1"/>
          <w:bCs w:val="1"/>
          <w:color w:val="auto"/>
        </w:rPr>
        <w:t>Description of Exhibits</w:t>
      </w:r>
      <w:r>
        <w:rPr>
          <w:sz w:val="20"/>
          <w:szCs w:val="20"/>
          <w:color w:val="auto"/>
        </w:rPr>
        <w:tab/>
      </w:r>
      <w:r>
        <w:rPr>
          <w:rFonts w:ascii="Times New Roman" w:cs="Times New Roman" w:eastAsia="Times New Roman" w:hAnsi="Times New Roman"/>
          <w:sz w:val="18"/>
          <w:szCs w:val="18"/>
          <w:b w:val="1"/>
          <w:bCs w:val="1"/>
          <w:color w:val="auto"/>
        </w:rPr>
        <w:t>Form</w:t>
      </w:r>
      <w:r>
        <w:rPr>
          <w:sz w:val="20"/>
          <w:szCs w:val="20"/>
          <w:color w:val="auto"/>
        </w:rPr>
        <w:tab/>
      </w:r>
      <w:r>
        <w:rPr>
          <w:rFonts w:ascii="Times New Roman" w:cs="Times New Roman" w:eastAsia="Times New Roman" w:hAnsi="Times New Roman"/>
          <w:sz w:val="18"/>
          <w:szCs w:val="18"/>
          <w:b w:val="1"/>
          <w:bCs w:val="1"/>
          <w:u w:val="single" w:color="auto"/>
          <w:color w:val="auto"/>
        </w:rPr>
        <w:t>File Number</w:t>
      </w:r>
      <w:r>
        <w:rPr>
          <w:sz w:val="20"/>
          <w:szCs w:val="20"/>
          <w:color w:val="auto"/>
        </w:rPr>
        <w:tab/>
      </w: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7"/>
          <w:szCs w:val="17"/>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18415</wp:posOffset>
            </wp:positionV>
            <wp:extent cx="61341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6134100"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Section 302 of</w:t>
      </w:r>
    </w:p>
    <w:p>
      <w:pPr>
        <w:spacing w:after="0"/>
        <w:rPr>
          <w:sz w:val="20"/>
          <w:szCs w:val="20"/>
          <w:color w:val="auto"/>
        </w:rPr>
      </w:pPr>
      <w:r>
        <w:rPr>
          <w:rFonts w:ascii="Times New Roman" w:cs="Times New Roman" w:eastAsia="Times New Roman" w:hAnsi="Times New Roman"/>
          <w:sz w:val="18"/>
          <w:szCs w:val="18"/>
          <w:u w:val="single" w:color="auto"/>
          <w:color w:val="0000FF"/>
        </w:rPr>
        <w:t>the Sarbanes-Oxley Act of 2002.</w:t>
      </w: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and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-119380</wp:posOffset>
            </wp:positionV>
            <wp:extent cx="6845935" cy="262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6845935" cy="262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Officer pursuant to Section 906 of the Sarbanes-Oxley Act of 2002.</w:t>
      </w:r>
    </w:p>
    <w:p>
      <w:pPr>
        <w:spacing w:after="0" w:line="1" w:lineRule="exact"/>
        <w:rPr>
          <w:sz w:val="20"/>
          <w:szCs w:val="20"/>
          <w:color w:val="auto"/>
        </w:rPr>
      </w:pPr>
    </w:p>
    <w:p>
      <w:pPr>
        <w:sectPr>
          <w:pgSz w:w="11900" w:h="16838" w:orient="portrait"/>
          <w:cols w:equalWidth="0" w:num="2">
            <w:col w:w="1080" w:space="300"/>
            <w:col w:w="9640"/>
          </w:cols>
          <w:pgMar w:left="320" w:top="177" w:right="559" w:bottom="1440" w:gutter="0" w:footer="0" w:header="0"/>
          <w:type w:val="continuous"/>
        </w:sectPr>
      </w:pPr>
    </w:p>
    <w:tbl>
      <w:tblPr>
        <w:tblLayout w:type="fixed"/>
        <w:tblInd w:w="240" w:type="dxa"/>
        <w:tblCellMar>
          <w:top w:w="0" w:type="dxa"/>
          <w:left w:w="0" w:type="dxa"/>
          <w:bottom w:w="0" w:type="dxa"/>
          <w:right w:w="0" w:type="dxa"/>
        </w:tblCellMar>
      </w:tblPr>
      <w:tr>
        <w:trPr>
          <w:trHeight w:val="205"/>
        </w:trPr>
        <w:tc>
          <w:tcPr>
            <w:tcW w:w="1140" w:type="dxa"/>
            <w:vAlign w:val="bottom"/>
            <w:vMerge w:val="restart"/>
          </w:tcPr>
          <w:p>
            <w:pPr>
              <w:jc w:val="right"/>
              <w:ind w:right="451"/>
              <w:spacing w:after="0"/>
              <w:rPr>
                <w:sz w:val="20"/>
                <w:szCs w:val="20"/>
                <w:color w:val="auto"/>
              </w:rPr>
            </w:pPr>
            <w:r>
              <w:rPr>
                <w:rFonts w:ascii="Times New Roman" w:cs="Times New Roman" w:eastAsia="Times New Roman" w:hAnsi="Times New Roman"/>
                <w:sz w:val="18"/>
                <w:szCs w:val="18"/>
                <w:color w:val="auto"/>
              </w:rPr>
              <w:t>97</w:t>
            </w:r>
          </w:p>
        </w:tc>
        <w:tc>
          <w:tcPr>
            <w:tcW w:w="4920" w:type="dxa"/>
            <w:vAlign w:val="bottom"/>
            <w:gridSpan w:val="5"/>
          </w:tcPr>
          <w:p>
            <w:pPr>
              <w:spacing w:after="0" w:line="205"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Policy for Recoupment of Erroneously Awarded Incentive</w:t>
              </w:r>
            </w:hyperlink>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color w:val="auto"/>
              </w:rPr>
              <w:t>001-35280</w:t>
            </w:r>
          </w:p>
        </w:tc>
        <w:tc>
          <w:tcPr>
            <w:tcW w:w="840" w:type="dxa"/>
            <w:vAlign w:val="bottom"/>
            <w:vMerge w:val="restart"/>
          </w:tcPr>
          <w:p>
            <w:pPr>
              <w:jc w:val="right"/>
              <w:ind w:right="251"/>
              <w:spacing w:after="0"/>
              <w:rPr>
                <w:sz w:val="20"/>
                <w:szCs w:val="20"/>
                <w:color w:val="auto"/>
              </w:rPr>
            </w:pPr>
            <w:r>
              <w:rPr>
                <w:rFonts w:ascii="Times New Roman" w:cs="Times New Roman" w:eastAsia="Times New Roman" w:hAnsi="Times New Roman"/>
                <w:sz w:val="18"/>
                <w:szCs w:val="18"/>
                <w:color w:val="auto"/>
              </w:rPr>
              <w:t>97</w:t>
            </w:r>
          </w:p>
        </w:tc>
        <w:tc>
          <w:tcPr>
            <w:tcW w:w="18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153"/>
        </w:trPr>
        <w:tc>
          <w:tcPr>
            <w:tcW w:w="1140" w:type="dxa"/>
            <w:vAlign w:val="bottom"/>
            <w:vMerge w:val="continue"/>
          </w:tcPr>
          <w:p>
            <w:pPr>
              <w:spacing w:after="0"/>
              <w:rPr>
                <w:sz w:val="13"/>
                <w:szCs w:val="13"/>
                <w:color w:val="auto"/>
              </w:rPr>
            </w:pPr>
          </w:p>
        </w:tc>
        <w:tc>
          <w:tcPr>
            <w:tcW w:w="1060" w:type="dxa"/>
            <w:vAlign w:val="bottom"/>
            <w:tcBorders>
              <w:top w:val="single" w:sz="8" w:color="0000FF"/>
              <w:bottom w:val="single" w:sz="8" w:color="0000FF"/>
            </w:tcBorders>
          </w:tcPr>
          <w:p>
            <w:pPr>
              <w:spacing w:after="0" w:line="140"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Compensation.</w:t>
              </w:r>
            </w:hyperlink>
          </w:p>
        </w:tc>
        <w:tc>
          <w:tcPr>
            <w:tcW w:w="740" w:type="dxa"/>
            <w:vAlign w:val="bottom"/>
            <w:tcBorders>
              <w:top w:val="single" w:sz="8" w:color="0000FF"/>
            </w:tcBorders>
          </w:tcPr>
          <w:p>
            <w:pPr>
              <w:spacing w:after="0"/>
              <w:rPr>
                <w:sz w:val="13"/>
                <w:szCs w:val="13"/>
                <w:color w:val="auto"/>
              </w:rPr>
            </w:pPr>
          </w:p>
        </w:tc>
        <w:tc>
          <w:tcPr>
            <w:tcW w:w="23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114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w w:val="99"/>
              </w:rPr>
              <w:t>101.INS**</w:t>
            </w:r>
          </w:p>
        </w:tc>
        <w:tc>
          <w:tcPr>
            <w:tcW w:w="4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101.SCH**</w:t>
            </w: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140" w:type="dxa"/>
            <w:vAlign w:val="bottom"/>
            <w:shd w:val="clear" w:color="auto" w:fill="CCEEFF"/>
          </w:tcPr>
          <w:p>
            <w:pPr>
              <w:spacing w:after="0"/>
              <w:rPr>
                <w:sz w:val="15"/>
                <w:szCs w:val="15"/>
                <w:color w:val="auto"/>
              </w:rPr>
            </w:pPr>
          </w:p>
        </w:tc>
        <w:tc>
          <w:tcPr>
            <w:tcW w:w="4920" w:type="dxa"/>
            <w:vAlign w:val="bottom"/>
            <w:gridSpan w:val="5"/>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7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14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8"/>
              </w:rPr>
              <w:t>101.CAL**</w:t>
            </w:r>
          </w:p>
        </w:tc>
        <w:tc>
          <w:tcPr>
            <w:tcW w:w="4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7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1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8"/>
              </w:rPr>
              <w:t>101.LAB**</w:t>
            </w: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140" w:type="dxa"/>
            <w:vAlign w:val="bottom"/>
            <w:shd w:val="clear" w:color="auto" w:fill="CCEEFF"/>
          </w:tcPr>
          <w:p>
            <w:pPr>
              <w:spacing w:after="0"/>
              <w:rPr>
                <w:sz w:val="15"/>
                <w:szCs w:val="15"/>
                <w:color w:val="auto"/>
              </w:rPr>
            </w:pPr>
          </w:p>
        </w:tc>
        <w:tc>
          <w:tcPr>
            <w:tcW w:w="4920" w:type="dxa"/>
            <w:vAlign w:val="bottom"/>
            <w:gridSpan w:val="5"/>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7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14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w w:val="99"/>
              </w:rPr>
              <w:t>101.PRE**</w:t>
            </w:r>
          </w:p>
        </w:tc>
        <w:tc>
          <w:tcPr>
            <w:tcW w:w="4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7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1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101.DEF**</w:t>
            </w: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140" w:type="dxa"/>
            <w:vAlign w:val="bottom"/>
            <w:vMerge w:val="restart"/>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104**</w:t>
            </w:r>
          </w:p>
        </w:tc>
        <w:tc>
          <w:tcPr>
            <w:tcW w:w="4920" w:type="dxa"/>
            <w:vAlign w:val="bottom"/>
            <w:gridSpan w:val="5"/>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Cover Page Interactive Data File (formatted as inline XBRL and</w:t>
            </w:r>
          </w:p>
        </w:tc>
        <w:tc>
          <w:tcPr>
            <w:tcW w:w="7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40" w:type="dxa"/>
            <w:vAlign w:val="bottom"/>
            <w:tcBorders>
              <w:top w:val="single" w:sz="8" w:color="CCEEFF"/>
            </w:tcBorders>
            <w:vMerge w:val="continue"/>
            <w:shd w:val="clear" w:color="auto" w:fill="CCEEFF"/>
          </w:tcPr>
          <w:p>
            <w:pPr>
              <w:spacing w:after="0"/>
              <w:rPr>
                <w:sz w:val="13"/>
                <w:szCs w:val="13"/>
                <w:color w:val="auto"/>
              </w:rPr>
            </w:pPr>
          </w:p>
        </w:tc>
        <w:tc>
          <w:tcPr>
            <w:tcW w:w="4580" w:type="dxa"/>
            <w:vAlign w:val="bottom"/>
            <w:tcBorders>
              <w:top w:val="single" w:sz="8" w:color="0000FF"/>
            </w:tcBorders>
            <w:gridSpan w:val="4"/>
            <w:shd w:val="clear" w:color="auto" w:fill="CCEEFF"/>
          </w:tcPr>
          <w:p>
            <w:pPr>
              <w:spacing w:after="0" w:line="140" w:lineRule="exact"/>
              <w:rPr>
                <w:sz w:val="20"/>
                <w:szCs w:val="20"/>
                <w:color w:val="auto"/>
              </w:rPr>
            </w:pPr>
            <w:r>
              <w:rPr>
                <w:rFonts w:ascii="Times New Roman" w:cs="Times New Roman" w:eastAsia="Times New Roman" w:hAnsi="Times New Roman"/>
                <w:sz w:val="16"/>
                <w:szCs w:val="16"/>
                <w:color w:val="0000FF"/>
              </w:rPr>
              <w:t>contained in Exhibit 101)</w:t>
            </w:r>
          </w:p>
        </w:tc>
        <w:tc>
          <w:tcPr>
            <w:tcW w:w="3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 covering executive officers or directors of Vericel.</w:t>
      </w:r>
    </w:p>
    <w:p>
      <w:pPr>
        <w:spacing w:after="0" w:line="25" w:lineRule="exact"/>
        <w:rPr>
          <w:sz w:val="20"/>
          <w:szCs w:val="20"/>
          <w:color w:val="auto"/>
        </w:rPr>
      </w:pPr>
    </w:p>
    <w:p>
      <w:pPr>
        <w:ind w:right="420" w:firstLine="7"/>
        <w:spacing w:after="0" w:line="247" w:lineRule="auto"/>
        <w:tabs>
          <w:tab w:leader="none" w:pos="13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status has been granted as to certain portions thereto, which portions are omitted and filed separately with the Securities and Exchange Commission.</w:t>
      </w:r>
    </w:p>
    <w:p>
      <w:pPr>
        <w:ind w:right="94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Furnished herewith. ** Filed herewith.</w:t>
      </w:r>
    </w:p>
    <w:p>
      <w:pPr>
        <w:spacing w:after="0" w:line="200" w:lineRule="exact"/>
        <w:rPr>
          <w:sz w:val="20"/>
          <w:szCs w:val="20"/>
          <w:color w:val="auto"/>
        </w:rPr>
      </w:pPr>
    </w:p>
    <w:p>
      <w:pPr>
        <w:spacing w:after="0" w:line="2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20"/>
          </w:cols>
          <w:pgMar w:left="320" w:top="177" w:right="559" w:bottom="1440" w:gutter="0" w:footer="0" w:header="0"/>
          <w:type w:val="continuous"/>
        </w:sectPr>
      </w:pPr>
    </w:p>
    <w:bookmarkStart w:id="107" w:name="page108"/>
    <w:bookmarkEnd w:id="10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6"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27, 2025</w:t>
      </w:r>
    </w:p>
    <w:p>
      <w:pPr>
        <w:spacing w:after="0" w:line="2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24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15875</wp:posOffset>
            </wp:positionV>
            <wp:extent cx="29737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5"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94" w:lineRule="exact"/>
        <w:rPr>
          <w:sz w:val="20"/>
          <w:szCs w:val="20"/>
          <w:color w:val="auto"/>
        </w:rPr>
      </w:pPr>
    </w:p>
    <w:p>
      <w:pPr>
        <w:ind w:right="200" w:firstLine="36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on behalf of the registrant on February 27, 2025 by the following persons in the capacities indicated.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60" w:type="dxa"/>
            <w:vAlign w:val="bottom"/>
          </w:tcPr>
          <w:p>
            <w:pPr>
              <w:spacing w:after="0"/>
              <w:rPr>
                <w:sz w:val="16"/>
                <w:szCs w:val="16"/>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5"/>
        </w:trPr>
        <w:tc>
          <w:tcPr>
            <w:tcW w:w="53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447"/>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DOMINICK C. COLANGELO</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President and Chief Executive Officer, 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Dominick C. Colangelo</w:t>
            </w:r>
          </w:p>
        </w:tc>
        <w:tc>
          <w:tcPr>
            <w:tcW w:w="46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JOSEPH A. MARA</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Joseph A. Mara</w:t>
            </w:r>
          </w:p>
        </w:tc>
        <w:tc>
          <w:tcPr>
            <w:tcW w:w="46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475"/>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JONATHAN D. SIEGAL</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Vice President and Corporate Controller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Jonathan D. Siegal</w:t>
            </w:r>
          </w:p>
        </w:tc>
        <w:tc>
          <w:tcPr>
            <w:tcW w:w="46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ROBERT L. ZERBE, M.D.</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Chairman of the Board of Directors</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L. Zerbe, M.D.</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L. RUBINO</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Alan L. Rubino</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HEIDI M. HAGEN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Heidi M. Hagen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STEVEN C. GILMAN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Steven C. Gilman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KEVIN F. MCLAUGHLIN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Kevin F. McLaughlin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PAUL K. WOTTON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Paul K. Wotton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75"/>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LISA WRIGHT</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Lisa Wright</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20"/>
          </w:cols>
          <w:pgMar w:left="320" w:top="177" w:right="35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FIRST AMENDMENT TO LEASE</w:t>
      </w:r>
    </w:p>
    <w:p>
      <w:pPr>
        <w:spacing w:after="0" w:line="252" w:lineRule="exact"/>
        <w:rPr>
          <w:sz w:val="20"/>
          <w:szCs w:val="20"/>
          <w:color w:val="auto"/>
        </w:rPr>
      </w:pPr>
    </w:p>
    <w:p>
      <w:pPr>
        <w:jc w:val="both"/>
        <w:ind w:firstLine="640"/>
        <w:spacing w:after="0" w:line="243" w:lineRule="auto"/>
        <w:rPr>
          <w:sz w:val="20"/>
          <w:szCs w:val="20"/>
          <w:color w:val="auto"/>
        </w:rPr>
      </w:pPr>
      <w:r>
        <w:rPr>
          <w:rFonts w:ascii="Times New Roman" w:cs="Times New Roman" w:eastAsia="Times New Roman" w:hAnsi="Times New Roman"/>
          <w:sz w:val="21"/>
          <w:szCs w:val="21"/>
          <w:color w:val="auto"/>
        </w:rPr>
        <w:t>THIS FIRST AMENDMENT TO LEASE (“</w:t>
      </w:r>
      <w:r>
        <w:rPr>
          <w:rFonts w:ascii="Times New Roman" w:cs="Times New Roman" w:eastAsia="Times New Roman" w:hAnsi="Times New Roman"/>
          <w:sz w:val="21"/>
          <w:szCs w:val="21"/>
          <w:b w:val="1"/>
          <w:bCs w:val="1"/>
          <w:u w:val="single" w:color="auto"/>
          <w:color w:val="auto"/>
        </w:rPr>
        <w:t>First Amendment</w:t>
      </w:r>
      <w:r>
        <w:rPr>
          <w:rFonts w:ascii="Times New Roman" w:cs="Times New Roman" w:eastAsia="Times New Roman" w:hAnsi="Times New Roman"/>
          <w:sz w:val="21"/>
          <w:szCs w:val="21"/>
          <w:color w:val="auto"/>
        </w:rPr>
        <w:t>”) dated as of November 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2024 (the “</w:t>
      </w:r>
      <w:r>
        <w:rPr>
          <w:rFonts w:ascii="Times New Roman" w:cs="Times New Roman" w:eastAsia="Times New Roman" w:hAnsi="Times New Roman"/>
          <w:sz w:val="21"/>
          <w:szCs w:val="21"/>
          <w:b w:val="1"/>
          <w:bCs w:val="1"/>
          <w:u w:val="single" w:color="auto"/>
          <w:color w:val="auto"/>
        </w:rPr>
        <w:t>Effective Date</w:t>
      </w:r>
      <w:r>
        <w:rPr>
          <w:rFonts w:ascii="Times New Roman" w:cs="Times New Roman" w:eastAsia="Times New Roman" w:hAnsi="Times New Roman"/>
          <w:sz w:val="21"/>
          <w:szCs w:val="21"/>
          <w:color w:val="auto"/>
        </w:rPr>
        <w:t xml:space="preserve">”), is entered into by and between </w:t>
      </w:r>
      <w:r>
        <w:rPr>
          <w:rFonts w:ascii="Times New Roman" w:cs="Times New Roman" w:eastAsia="Times New Roman" w:hAnsi="Times New Roman"/>
          <w:sz w:val="21"/>
          <w:szCs w:val="21"/>
          <w:b w:val="1"/>
          <w:bCs w:val="1"/>
          <w:color w:val="auto"/>
        </w:rPr>
        <w:t>NDB PROPERTY OWNER 2, L.P.</w:t>
      </w:r>
      <w:r>
        <w:rPr>
          <w:rFonts w:ascii="Times New Roman" w:cs="Times New Roman" w:eastAsia="Times New Roman" w:hAnsi="Times New Roman"/>
          <w:sz w:val="21"/>
          <w:szCs w:val="21"/>
          <w:color w:val="auto"/>
        </w:rPr>
        <w:t>, a Delaware limited partnership (“</w:t>
      </w:r>
      <w:r>
        <w:rPr>
          <w:rFonts w:ascii="Times New Roman" w:cs="Times New Roman" w:eastAsia="Times New Roman" w:hAnsi="Times New Roman"/>
          <w:sz w:val="21"/>
          <w:szCs w:val="21"/>
          <w:b w:val="1"/>
          <w:bCs w:val="1"/>
          <w:u w:val="single" w:color="auto"/>
          <w:color w:val="auto"/>
        </w:rPr>
        <w:t>Landlord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VERICEL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a Michigan corporation (“</w:t>
      </w:r>
      <w:r>
        <w:rPr>
          <w:rFonts w:ascii="Times New Roman" w:cs="Times New Roman" w:eastAsia="Times New Roman" w:hAnsi="Times New Roman"/>
          <w:sz w:val="21"/>
          <w:szCs w:val="21"/>
          <w:b w:val="1"/>
          <w:bCs w:val="1"/>
          <w:u w:val="single" w:color="auto"/>
          <w:color w:val="auto"/>
        </w:rPr>
        <w:t>Tenant</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BACKGROUND</w:t>
      </w:r>
    </w:p>
    <w:p>
      <w:pPr>
        <w:spacing w:after="0" w:line="252" w:lineRule="exact"/>
        <w:rPr>
          <w:sz w:val="20"/>
          <w:szCs w:val="20"/>
          <w:color w:val="auto"/>
        </w:rPr>
      </w:pPr>
    </w:p>
    <w:p>
      <w:pPr>
        <w:jc w:val="both"/>
        <w:ind w:left="640" w:hanging="319"/>
        <w:spacing w:after="0" w:line="247" w:lineRule="auto"/>
        <w:rPr>
          <w:sz w:val="20"/>
          <w:szCs w:val="20"/>
          <w:color w:val="auto"/>
        </w:rPr>
      </w:pPr>
      <w:r>
        <w:rPr>
          <w:rFonts w:ascii="Times New Roman" w:cs="Times New Roman" w:eastAsia="Times New Roman" w:hAnsi="Times New Roman"/>
          <w:sz w:val="21"/>
          <w:szCs w:val="21"/>
          <w:color w:val="auto"/>
        </w:rPr>
        <w:t>A. Landlord and Tenant are parties to that certain Lease Agreement, dated January 28, 2022 (the “</w:t>
      </w:r>
      <w:r>
        <w:rPr>
          <w:rFonts w:ascii="Times New Roman" w:cs="Times New Roman" w:eastAsia="Times New Roman" w:hAnsi="Times New Roman"/>
          <w:sz w:val="21"/>
          <w:szCs w:val="21"/>
          <w:b w:val="1"/>
          <w:bCs w:val="1"/>
          <w:u w:val="single" w:color="auto"/>
          <w:color w:val="auto"/>
        </w:rPr>
        <w:t>Lease</w:t>
      </w:r>
      <w:r>
        <w:rPr>
          <w:rFonts w:ascii="Times New Roman" w:cs="Times New Roman" w:eastAsia="Times New Roman" w:hAnsi="Times New Roman"/>
          <w:sz w:val="21"/>
          <w:szCs w:val="21"/>
          <w:color w:val="auto"/>
        </w:rPr>
        <w:t>”), for certain premises consisting of approximately 125,749 rentable square feet of floor area on the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and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floors of the building and the enclosed mechanical penthouse on the roof of the building (the “</w:t>
      </w:r>
      <w:r>
        <w:rPr>
          <w:rFonts w:ascii="Times New Roman" w:cs="Times New Roman" w:eastAsia="Times New Roman" w:hAnsi="Times New Roman"/>
          <w:sz w:val="21"/>
          <w:szCs w:val="21"/>
          <w:b w:val="1"/>
          <w:bCs w:val="1"/>
          <w:u w:val="single" w:color="auto"/>
          <w:color w:val="auto"/>
        </w:rPr>
        <w:t>Premises</w:t>
      </w:r>
      <w:r>
        <w:rPr>
          <w:rFonts w:ascii="Times New Roman" w:cs="Times New Roman" w:eastAsia="Times New Roman" w:hAnsi="Times New Roman"/>
          <w:sz w:val="21"/>
          <w:szCs w:val="21"/>
          <w:color w:val="auto"/>
        </w:rPr>
        <w:t xml:space="preserve">”) located on the parcel of land described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the Lease (such parcel of land, the “</w:t>
      </w:r>
      <w:r>
        <w:rPr>
          <w:rFonts w:ascii="Times New Roman" w:cs="Times New Roman" w:eastAsia="Times New Roman" w:hAnsi="Times New Roman"/>
          <w:sz w:val="21"/>
          <w:szCs w:val="21"/>
          <w:b w:val="1"/>
          <w:bCs w:val="1"/>
          <w:u w:val="single" w:color="auto"/>
          <w:color w:val="auto"/>
        </w:rPr>
        <w:t>Property</w:t>
      </w:r>
      <w:r>
        <w:rPr>
          <w:rFonts w:ascii="Times New Roman" w:cs="Times New Roman" w:eastAsia="Times New Roman" w:hAnsi="Times New Roman"/>
          <w:sz w:val="21"/>
          <w:szCs w:val="21"/>
          <w:color w:val="auto"/>
        </w:rPr>
        <w:t>”) and commonly known as 25 Blue Sky Drive, Burlington, Massachusetts 01803 (the “</w:t>
      </w:r>
      <w:r>
        <w:rPr>
          <w:rFonts w:ascii="Times New Roman" w:cs="Times New Roman" w:eastAsia="Times New Roman" w:hAnsi="Times New Roman"/>
          <w:sz w:val="21"/>
          <w:szCs w:val="21"/>
          <w:b w:val="1"/>
          <w:bCs w:val="1"/>
          <w:u w:val="single" w:color="auto"/>
          <w:color w:val="auto"/>
        </w:rPr>
        <w:t>Building</w:t>
      </w:r>
      <w:r>
        <w:rPr>
          <w:rFonts w:ascii="Times New Roman" w:cs="Times New Roman" w:eastAsia="Times New Roman" w:hAnsi="Times New Roman"/>
          <w:sz w:val="21"/>
          <w:szCs w:val="21"/>
          <w:color w:val="auto"/>
        </w:rPr>
        <w:t>”).</w:t>
      </w:r>
    </w:p>
    <w:p>
      <w:pPr>
        <w:spacing w:after="0" w:line="207" w:lineRule="exact"/>
        <w:rPr>
          <w:sz w:val="20"/>
          <w:szCs w:val="20"/>
          <w:color w:val="auto"/>
        </w:rPr>
      </w:pPr>
    </w:p>
    <w:p>
      <w:pPr>
        <w:jc w:val="both"/>
        <w:ind w:left="640" w:hanging="313"/>
        <w:spacing w:after="0" w:line="262" w:lineRule="auto"/>
        <w:tabs>
          <w:tab w:leader="none" w:pos="63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Pursuant to the terms of the Lease, Tenant was obligated to, </w:t>
      </w:r>
      <w:r>
        <w:rPr>
          <w:rFonts w:ascii="Times New Roman" w:cs="Times New Roman" w:eastAsia="Times New Roman" w:hAnsi="Times New Roman"/>
          <w:sz w:val="21"/>
          <w:szCs w:val="21"/>
          <w:i w:val="1"/>
          <w:iCs w:val="1"/>
          <w:color w:val="auto"/>
        </w:rPr>
        <w:t>inter alia</w:t>
      </w:r>
      <w:r>
        <w:rPr>
          <w:rFonts w:ascii="Times New Roman" w:cs="Times New Roman" w:eastAsia="Times New Roman" w:hAnsi="Times New Roman"/>
          <w:sz w:val="21"/>
          <w:szCs w:val="21"/>
          <w:color w:val="auto"/>
        </w:rPr>
        <w:t>, contract directly with the applicable utility provider for electricity to the Premises and was to pay all charges for such electricity being supplied to the Premises directly to said utility provider; however, pursuant to information not then-known by the parties at the time of executing the Lease, Eversource, the applicable utility provider for electricity to the Property, is electing not to provide separate billing accounts for the tenant electric meters installed at the Property and informed Landlord that direct metering of the Premises for tenant electricity will not be provided.</w:t>
      </w:r>
    </w:p>
    <w:p>
      <w:pPr>
        <w:spacing w:after="0" w:line="196" w:lineRule="exact"/>
        <w:rPr>
          <w:rFonts w:ascii="Times New Roman" w:cs="Times New Roman" w:eastAsia="Times New Roman" w:hAnsi="Times New Roman"/>
          <w:sz w:val="21"/>
          <w:szCs w:val="21"/>
          <w:color w:val="auto"/>
        </w:rPr>
      </w:pPr>
    </w:p>
    <w:p>
      <w:pPr>
        <w:jc w:val="both"/>
        <w:ind w:left="640" w:hanging="313"/>
        <w:spacing w:after="0" w:line="268" w:lineRule="auto"/>
        <w:tabs>
          <w:tab w:leader="none" w:pos="63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the terms of the Lease, Tenant was obligated to reimburse Landlord through Operating Costs for all charges for Tenant’s direct water usage (including sewer charges) at the Premises; however, a check meter for the Premises has been installed at the Building to measure Tenant’s water usage so that Tenant will pay Landlord directly throughout the Term of the Lease, as set forth hereinbelow.</w:t>
      </w:r>
    </w:p>
    <w:p>
      <w:pPr>
        <w:spacing w:after="0" w:line="188" w:lineRule="exact"/>
        <w:rPr>
          <w:rFonts w:ascii="Times New Roman" w:cs="Times New Roman" w:eastAsia="Times New Roman" w:hAnsi="Times New Roman"/>
          <w:sz w:val="21"/>
          <w:szCs w:val="21"/>
          <w:color w:val="auto"/>
        </w:rPr>
      </w:pPr>
    </w:p>
    <w:p>
      <w:pPr>
        <w:jc w:val="both"/>
        <w:ind w:left="640" w:hanging="313"/>
        <w:spacing w:after="0" w:line="264" w:lineRule="auto"/>
        <w:tabs>
          <w:tab w:leader="none" w:pos="63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Lease requires that Landlord is responsible for repair and maintenance of the base building systems servicing the Premises; however, the parties now intend that Tenant shall be responsible for maintaining and repairing the base building systems and that Landlord shall no longer have any responsibility for maintenance and repair of the base building systems (with the exception of the life safety systems), as set forth hereinbelow.</w:t>
      </w:r>
    </w:p>
    <w:p>
      <w:pPr>
        <w:spacing w:after="0" w:line="205" w:lineRule="exact"/>
        <w:rPr>
          <w:rFonts w:ascii="Times New Roman" w:cs="Times New Roman" w:eastAsia="Times New Roman" w:hAnsi="Times New Roman"/>
          <w:sz w:val="21"/>
          <w:szCs w:val="21"/>
          <w:color w:val="auto"/>
        </w:rPr>
      </w:pPr>
    </w:p>
    <w:p>
      <w:pPr>
        <w:jc w:val="both"/>
        <w:ind w:left="640" w:hanging="313"/>
        <w:spacing w:after="0" w:line="270" w:lineRule="auto"/>
        <w:tabs>
          <w:tab w:leader="none" w:pos="637"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hereto now intend to modify the Lease to revise the manner in which Tenant pays charges for electricity to the Premises and Rooftop Equipment, and for water usage in the Premises, and to redefine the scope of Tenant’s repair and maintenance obligations, and to make other related changes to Lease, as set forth hereinbelow.</w:t>
      </w:r>
    </w:p>
    <w:p>
      <w:pPr>
        <w:sectPr>
          <w:pgSz w:w="11900" w:h="16838" w:orient="portrait"/>
          <w:cols w:equalWidth="0" w:num="1">
            <w:col w:w="11240"/>
          </w:cols>
          <w:pgMar w:left="320" w:top="121" w:right="339" w:bottom="1440" w:gutter="0" w:footer="0" w:header="0"/>
        </w:sectPr>
      </w:pPr>
    </w:p>
    <w:bookmarkStart w:id="109" w:name="page110"/>
    <w:bookmarkEnd w:id="109"/>
    <w:p>
      <w:pPr>
        <w:ind w:left="10140"/>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640"/>
        <w:spacing w:after="0" w:line="292"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for good and valuable consideration, the receipt and sufficiency of which are hereby acknowledged,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mutual undertakings set forth below, Landlord and Tenant hereby agree as follows:</w:t>
      </w:r>
    </w:p>
    <w:p>
      <w:pPr>
        <w:spacing w:after="0" w:line="164" w:lineRule="exact"/>
        <w:rPr>
          <w:sz w:val="20"/>
          <w:szCs w:val="20"/>
          <w:color w:val="auto"/>
        </w:rPr>
      </w:pPr>
    </w:p>
    <w:p>
      <w:pPr>
        <w:ind w:left="640" w:hanging="313"/>
        <w:spacing w:after="0" w:line="301" w:lineRule="auto"/>
        <w:tabs>
          <w:tab w:leader="none" w:pos="6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Recitals; Undefined Terms</w:t>
      </w:r>
      <w:r>
        <w:rPr>
          <w:rFonts w:ascii="Times New Roman" w:cs="Times New Roman" w:eastAsia="Times New Roman" w:hAnsi="Times New Roman"/>
          <w:sz w:val="21"/>
          <w:szCs w:val="21"/>
          <w:color w:val="auto"/>
        </w:rPr>
        <w:t>. The background recitals set forth above are incorporated as if fully set forth herein. Capitalized terms used herein without definition shall have the meanings given to them in the Lease.</w:t>
      </w:r>
    </w:p>
    <w:p>
      <w:pPr>
        <w:spacing w:after="0" w:line="154" w:lineRule="exact"/>
        <w:rPr>
          <w:rFonts w:ascii="Times New Roman" w:cs="Times New Roman" w:eastAsia="Times New Roman" w:hAnsi="Times New Roman"/>
          <w:sz w:val="21"/>
          <w:szCs w:val="21"/>
          <w:color w:val="auto"/>
        </w:rPr>
      </w:pPr>
    </w:p>
    <w:p>
      <w:pPr>
        <w:ind w:left="640" w:hanging="313"/>
        <w:spacing w:after="0" w:line="288" w:lineRule="auto"/>
        <w:tabs>
          <w:tab w:leader="none" w:pos="6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Utilities</w:t>
      </w:r>
      <w:r>
        <w:rPr>
          <w:rFonts w:ascii="Times New Roman" w:cs="Times New Roman" w:eastAsia="Times New Roman" w:hAnsi="Times New Roman"/>
          <w:sz w:val="21"/>
          <w:szCs w:val="21"/>
          <w:color w:val="auto"/>
        </w:rPr>
        <w:t>. The following provisions of the Lease relating to payment of utilities are hereby amended as follows as of the Effective Date of this First Amendment:</w:t>
      </w:r>
    </w:p>
    <w:p>
      <w:pPr>
        <w:spacing w:after="0" w:line="167"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Section 4.2.6 of the Lease is hereby deleted in its entirety and replaced with the following:</w:t>
      </w:r>
    </w:p>
    <w:p>
      <w:pPr>
        <w:spacing w:after="0" w:line="248" w:lineRule="exact"/>
        <w:rPr>
          <w:rFonts w:ascii="Times New Roman" w:cs="Times New Roman" w:eastAsia="Times New Roman" w:hAnsi="Times New Roman"/>
          <w:sz w:val="21"/>
          <w:szCs w:val="21"/>
          <w:color w:val="auto"/>
        </w:rPr>
      </w:pPr>
    </w:p>
    <w:p>
      <w:pPr>
        <w:jc w:val="both"/>
        <w:ind w:left="960"/>
        <w:spacing w:after="0" w:line="26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“4.2.6 </w:t>
      </w:r>
      <w:r>
        <w:rPr>
          <w:rFonts w:ascii="Times New Roman" w:cs="Times New Roman" w:eastAsia="Times New Roman" w:hAnsi="Times New Roman"/>
          <w:sz w:val="21"/>
          <w:szCs w:val="21"/>
          <w:i w:val="1"/>
          <w:iCs w:val="1"/>
          <w:u w:val="single" w:color="auto"/>
          <w:color w:val="auto"/>
        </w:rPr>
        <w:t>Utilities</w:t>
      </w:r>
      <w:r>
        <w:rPr>
          <w:rFonts w:ascii="Times New Roman" w:cs="Times New Roman" w:eastAsia="Times New Roman" w:hAnsi="Times New Roman"/>
          <w:sz w:val="21"/>
          <w:szCs w:val="21"/>
          <w:color w:val="auto"/>
        </w:rPr>
        <w:t>. (a) Commencing as of the Commencement Date, Tenant shall (i) contract directly with the applicable utility provider for separately metered gas and shall pay all charges for such gas service being supplied to the Premises directly to the utility provider at such time as the same shall become due, (ii) reimburse Landlord through Operating Costs, pursuant to Section 4.2.3, for all charges for water (including sewer charges) to the exterior common areas of the Property, and (iii) pay to Landlord by means of monthly escrow payments (as set forth in (c) below) for all charges for the cost of electricity for Tenant’s lights, outlets, fan powered terminals (“FPTs”) and VAV boxes and the Rooftop Equipment (defined in Section 6.2.7), and all costs and charges for Tenant’s direct water usage in the Premises (including sewer charges).</w:t>
      </w:r>
    </w:p>
    <w:p>
      <w:pPr>
        <w:spacing w:after="0" w:line="198" w:lineRule="exact"/>
        <w:rPr>
          <w:rFonts w:ascii="Times New Roman" w:cs="Times New Roman" w:eastAsia="Times New Roman" w:hAnsi="Times New Roman"/>
          <w:sz w:val="21"/>
          <w:szCs w:val="21"/>
          <w:color w:val="auto"/>
        </w:rPr>
      </w:pPr>
    </w:p>
    <w:p>
      <w:pPr>
        <w:jc w:val="both"/>
        <w:ind w:left="960" w:firstLine="7"/>
        <w:spacing w:after="0" w:line="259" w:lineRule="auto"/>
        <w:tabs>
          <w:tab w:leader="none" w:pos="1262"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Landlord will not have historical usage data at the beginning of the Term to establish the initial monthly escrow payments contemplated in this Section 4.2.6 for Tenant’s consumption of water and electricity in the Premises. Until Landlord has collected sufficient data on Tenant’s water and electrical usage at the Premises, Tenant shall (i) reimburse Landlord, as Additional Rent, for all costs and charges for electricity furnished to the Premises based on sub-meter readings made by Landlord on a monthly basis, which charges shall be paid in arrears by Tenant within thirty days of Landlord’s invoice, and (ii) pay to Landlord, as Additional Rent within thirty days of Landlord’s invoice, all costs and charges for Tenant’s direct water usage (including sewer) at the Premises based on quarterly water bills received by Landlord from the Town of Burlington Water Department.</w:t>
      </w:r>
    </w:p>
    <w:p>
      <w:pPr>
        <w:spacing w:after="0" w:line="196" w:lineRule="exact"/>
        <w:rPr>
          <w:rFonts w:ascii="Times New Roman" w:cs="Times New Roman" w:eastAsia="Times New Roman" w:hAnsi="Times New Roman"/>
          <w:sz w:val="21"/>
          <w:szCs w:val="21"/>
          <w:color w:val="auto"/>
        </w:rPr>
      </w:pPr>
    </w:p>
    <w:p>
      <w:pPr>
        <w:jc w:val="both"/>
        <w:ind w:left="960" w:firstLine="7"/>
        <w:spacing w:after="0" w:line="264" w:lineRule="auto"/>
        <w:tabs>
          <w:tab w:leader="none" w:pos="1272"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Once Landlord has collected sufficient data regarding Tenant’s actual consumption of water and electricity at the Premises, Tenant shall pay directly to Landlord, as Additional Rent, estimated monthly charges (the “Utilities Charges”) on account of Tenant’s consumption of electricity in the Premises for its lights, outlets, FPTs and VAV boxes and the Rooftop Equipment, and for water consumption in the Premises. Landlord shall reasonably estimate the amount of Utilities Charges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21"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320"/>
        <w:spacing w:after="0" w:line="288" w:lineRule="auto"/>
        <w:rPr>
          <w:sz w:val="20"/>
          <w:szCs w:val="20"/>
          <w:color w:val="auto"/>
        </w:rPr>
      </w:pPr>
      <w:r>
        <w:rPr>
          <w:rFonts w:ascii="Times New Roman" w:cs="Times New Roman" w:eastAsia="Times New Roman" w:hAnsi="Times New Roman"/>
          <w:sz w:val="21"/>
          <w:szCs w:val="21"/>
          <w:color w:val="auto"/>
        </w:rPr>
        <w:t>by Tenant per month and shall notify Tenant on or about November 1, 2025, of the initial estimate of Utilities Charges to be paid by Tenant.</w:t>
      </w:r>
    </w:p>
    <w:p>
      <w:pPr>
        <w:spacing w:after="0" w:line="168"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21"/>
          <w:szCs w:val="21"/>
          <w:color w:val="auto"/>
        </w:rPr>
        <w:t>Tenant shall pay the Utilities Charges on the first day of each calendar month included in the Term, in the same manner as Tenant pays Fixed Rent pursuant to Section 4.1 above. On a bi-annual basis (June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and December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of each year), Landlord will reconcile the estimated Utilities Charges paid by Tenant with the actual amounts owing from Tenant, as reflected on utility provider invoices received during the relevant period, and based on the number of kilowatt hours of electricity used in the Premises for the corresponding billing period as registered on the sub-meter for the Premises, and for water consumption as registered on the check meter for the Premises. If it is determined Tenant has been overcharged, then such overpayment will be credited against Tenant’s account for the following month. If Tenant has underpaid, then Landlord will invoice Tenant for the amount owed and Tenant shall pay such amount within thirty days after billing. Landlord reserves the right to adjust the monthly Utilities Charges from time to time based on the most current data available for Tenant’s electrical consumption in the Premises, and Tenant shall thereafter pay the adjusted Utilities Charges to Landlord until further notice.</w:t>
      </w:r>
    </w:p>
    <w:p>
      <w:pPr>
        <w:spacing w:after="0" w:line="205"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21"/>
          <w:szCs w:val="21"/>
          <w:color w:val="auto"/>
        </w:rPr>
        <w:t>(d) Tenant shall pay all costs and charges for telephone and other utilities or services including gas, internet, cable, fiber or other communications lines to the Premises not supplied by Landlord, whether designated as a charge, tax, assessment, fee or otherwise, all such charges to be paid as the same from time to time become due. Except as otherwise provided in Article 5, it is understood and agreed that Tenant shall make its own arrangements for the installation or provision of all such utilities and services and that Landlord shall be under no obligation to furnish any such utilities and services to the Premises and shall not be liable for any interruption or failure in the supply of any such utilities and services to the Premises; however, Tenant shall be entitled to an abatement of Rent in accordance with the terms of Section 5.2 of this Lease. Notwithstanding anything contained herein to the contrary, in the event that any such gas charges or any other utilities are not paid by Tenant at the time when the same are payable to the provider, Landlord may nevertheless pay the same and charge Tenant the cost thereof, which charge shall become payable as Additional Rent on the first day of the following calendar month.”</w:t>
      </w:r>
    </w:p>
    <w:p>
      <w:pPr>
        <w:spacing w:after="0" w:line="213" w:lineRule="exact"/>
        <w:rPr>
          <w:sz w:val="20"/>
          <w:szCs w:val="20"/>
          <w:color w:val="auto"/>
        </w:rPr>
      </w:pPr>
    </w:p>
    <w:p>
      <w:pPr>
        <w:ind w:left="320" w:hanging="313"/>
        <w:spacing w:after="0" w:line="264" w:lineRule="auto"/>
        <w:tabs>
          <w:tab w:leader="none" w:pos="3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first sentence of Section 5.1.3 of the Lease is hereby deleted in its entirety and replaced with the following language:</w:t>
      </w:r>
    </w:p>
    <w:p>
      <w:pPr>
        <w:spacing w:after="0" w:line="200" w:lineRule="exact"/>
        <w:rPr>
          <w:sz w:val="20"/>
          <w:szCs w:val="20"/>
          <w:color w:val="auto"/>
        </w:rPr>
      </w:pPr>
    </w:p>
    <w:p>
      <w:pPr>
        <w:spacing w:after="0" w:line="282"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21"/>
          <w:szCs w:val="21"/>
          <w:color w:val="auto"/>
        </w:rPr>
        <w:t>“To furnish to the Premises, separately sub-metered and paid for by Tenant directly to Landlord at the same time and in the same manner as prescribed in Section 4.2.6 of this Lease, electricity for Tenant’s lights, outlets, and VAV boxes and Tenant’s Rooftop Equipment.”</w:t>
      </w:r>
    </w:p>
    <w:p>
      <w:pPr>
        <w:spacing w:after="0" w:line="186" w:lineRule="exact"/>
        <w:rPr>
          <w:sz w:val="20"/>
          <w:szCs w:val="20"/>
          <w:color w:val="auto"/>
        </w:rPr>
      </w:pPr>
    </w:p>
    <w:p>
      <w:pPr>
        <w:ind w:left="320" w:hanging="313"/>
        <w:spacing w:after="0" w:line="237" w:lineRule="auto"/>
        <w:tabs>
          <w:tab w:leader="none" w:pos="30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6.2.7(a) of the Lease is hereby amended by deleting the seventh (7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sentence of said clause and inserting the following new sentence in its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600"/>
          </w:cols>
          <w:pgMar w:left="960" w:top="121"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960" w:right="20"/>
        <w:spacing w:after="0" w:line="288" w:lineRule="auto"/>
        <w:rPr>
          <w:sz w:val="20"/>
          <w:szCs w:val="20"/>
          <w:color w:val="auto"/>
        </w:rPr>
      </w:pPr>
      <w:r>
        <w:rPr>
          <w:rFonts w:ascii="Times New Roman" w:cs="Times New Roman" w:eastAsia="Times New Roman" w:hAnsi="Times New Roman"/>
          <w:sz w:val="21"/>
          <w:szCs w:val="21"/>
          <w:color w:val="auto"/>
        </w:rPr>
        <w:t>“Tenant shall also pay all costs of electricity in connection with the Rooftop Equipment directly to Landlord by means of monthly Utilities Charges for the Premises in accordance with Section 4.2.6 of this Lease.”</w:t>
      </w:r>
    </w:p>
    <w:p>
      <w:pPr>
        <w:spacing w:after="0" w:line="168" w:lineRule="exact"/>
        <w:rPr>
          <w:sz w:val="20"/>
          <w:szCs w:val="20"/>
          <w:color w:val="auto"/>
        </w:rPr>
      </w:pPr>
    </w:p>
    <w:p>
      <w:pPr>
        <w:jc w:val="both"/>
        <w:ind w:left="640" w:hanging="313"/>
        <w:spacing w:after="0" w:line="276" w:lineRule="auto"/>
        <w:tabs>
          <w:tab w:leader="none" w:pos="64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Tenant’s monthly escrow payments for electrical usage at the Premises and in connection with the Rooftop Equipment shall not be included within the meaning of “gross receipts for the Building” under Section 4.2.3(b) of the Lease and shall not be a factor in calculating the management fee for the Building.</w:t>
      </w:r>
    </w:p>
    <w:p>
      <w:pPr>
        <w:spacing w:after="0" w:line="180" w:lineRule="exact"/>
        <w:rPr>
          <w:rFonts w:ascii="Times New Roman" w:cs="Times New Roman" w:eastAsia="Times New Roman" w:hAnsi="Times New Roman"/>
          <w:sz w:val="21"/>
          <w:szCs w:val="21"/>
          <w:color w:val="auto"/>
        </w:rPr>
      </w:pPr>
    </w:p>
    <w:p>
      <w:pPr>
        <w:jc w:val="both"/>
        <w:ind w:left="320" w:hanging="313"/>
        <w:spacing w:after="0" w:line="268" w:lineRule="auto"/>
        <w:tabs>
          <w:tab w:leader="none" w:pos="32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Landlord’s Covenants and Obligations.</w:t>
      </w:r>
      <w:r>
        <w:rPr>
          <w:rFonts w:ascii="Times New Roman" w:cs="Times New Roman" w:eastAsia="Times New Roman" w:hAnsi="Times New Roman"/>
          <w:sz w:val="21"/>
          <w:szCs w:val="21"/>
          <w:color w:val="auto"/>
        </w:rPr>
        <w:t xml:space="preserve"> In redefining Tenant’s repair and maintenance obligations under the Lease, certain modifications must be made to Landlord’s covenants and obligations set forth in Article 5 of the Lease on account of Landlord no longer having responsibility for repair and maintenance of base building mechanical, electrical, plumbing and HVAC systems. The following changes are hereby made effective as of the Effective Date:</w:t>
      </w:r>
    </w:p>
    <w:p>
      <w:pPr>
        <w:spacing w:after="0" w:line="188" w:lineRule="exact"/>
        <w:rPr>
          <w:rFonts w:ascii="Times New Roman" w:cs="Times New Roman" w:eastAsia="Times New Roman" w:hAnsi="Times New Roman"/>
          <w:sz w:val="21"/>
          <w:szCs w:val="21"/>
          <w:color w:val="auto"/>
        </w:rPr>
      </w:pPr>
    </w:p>
    <w:p>
      <w:pPr>
        <w:jc w:val="both"/>
        <w:ind w:left="640" w:hanging="313"/>
        <w:spacing w:after="0" w:line="270" w:lineRule="auto"/>
        <w:tabs>
          <w:tab w:leader="none" w:pos="628"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first sentence of Section 5.1.1 is hereby amended by (i) adding the words “roof of the Building,” in the second line in front of the words “Campus Common Areas ”in each instance,(ii) deleting the word “elevators”, and (iii) deleting the following words which appear immediately after the phrase “life safety systems”:</w:t>
      </w:r>
    </w:p>
    <w:p>
      <w:pPr>
        <w:spacing w:after="0" w:line="186" w:lineRule="exact"/>
        <w:rPr>
          <w:sz w:val="20"/>
          <w:szCs w:val="20"/>
          <w:color w:val="auto"/>
        </w:rPr>
      </w:pPr>
    </w:p>
    <w:p>
      <w:pPr>
        <w:ind w:left="960"/>
        <w:spacing w:after="0" w:line="288" w:lineRule="auto"/>
        <w:rPr>
          <w:sz w:val="20"/>
          <w:szCs w:val="20"/>
          <w:color w:val="auto"/>
        </w:rPr>
      </w:pPr>
      <w:r>
        <w:rPr>
          <w:rFonts w:ascii="Times New Roman" w:cs="Times New Roman" w:eastAsia="Times New Roman" w:hAnsi="Times New Roman"/>
          <w:sz w:val="21"/>
          <w:szCs w:val="21"/>
          <w:color w:val="auto"/>
        </w:rPr>
        <w:t>“…and the base building facilities and mechanical, electrical, plumbing, heating, ventilating and air conditioning systems of the Premises…”</w:t>
      </w:r>
    </w:p>
    <w:p>
      <w:pPr>
        <w:spacing w:after="0" w:line="177" w:lineRule="exact"/>
        <w:rPr>
          <w:sz w:val="20"/>
          <w:szCs w:val="20"/>
          <w:color w:val="auto"/>
        </w:rPr>
      </w:pPr>
    </w:p>
    <w:p>
      <w:pPr>
        <w:jc w:val="both"/>
        <w:ind w:left="640" w:hanging="313"/>
        <w:spacing w:after="0" w:line="259" w:lineRule="auto"/>
        <w:tabs>
          <w:tab w:leader="none" w:pos="6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Section 5.1.2, </w:t>
      </w:r>
      <w:r>
        <w:rPr>
          <w:rFonts w:ascii="Times New Roman" w:cs="Times New Roman" w:eastAsia="Times New Roman" w:hAnsi="Times New Roman"/>
          <w:sz w:val="21"/>
          <w:szCs w:val="21"/>
          <w:i w:val="1"/>
          <w:iCs w:val="1"/>
          <w:u w:val="single" w:color="auto"/>
          <w:color w:val="auto"/>
        </w:rPr>
        <w:t>Heat and Air Conditioning</w:t>
      </w:r>
      <w:r>
        <w:rPr>
          <w:rFonts w:ascii="Times New Roman" w:cs="Times New Roman" w:eastAsia="Times New Roman" w:hAnsi="Times New Roman"/>
          <w:sz w:val="21"/>
          <w:szCs w:val="21"/>
          <w:color w:val="auto"/>
        </w:rPr>
        <w:t>, is hereby amended and restated in its entirety as of the Effective Date as follows: “To furnish to the Premises base building heat and air-conditioning systems and equipment (reserving the right, at any time, to change energy or heat sources) sufficient to maintain the office portion of the Premises at comfortable temperatures (subject to all federal, state, and local regulations relating to the provision of heat) on a 24-hour, 7 days per week basis. All charges for gas furnished to the Premises will be separately metered and paid for by Tenant directly to the applicable utility providers as set forth in Section 4.2.6. Tenant shall maintain responsibility for the repair and maintenance of such systems and equipment necessary for providing heat and air-conditioning to the Premises, in accordance with Section 6.1.3 of this Lease.”</w:t>
      </w:r>
    </w:p>
    <w:p>
      <w:pPr>
        <w:spacing w:after="0" w:line="200" w:lineRule="exact"/>
        <w:rPr>
          <w:rFonts w:ascii="Times New Roman" w:cs="Times New Roman" w:eastAsia="Times New Roman" w:hAnsi="Times New Roman"/>
          <w:sz w:val="21"/>
          <w:szCs w:val="21"/>
          <w:color w:val="auto"/>
        </w:rPr>
      </w:pPr>
    </w:p>
    <w:p>
      <w:pPr>
        <w:ind w:left="640" w:hanging="313"/>
        <w:spacing w:after="0"/>
        <w:tabs>
          <w:tab w:leader="none" w:pos="6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text of Section 5.1.5 is hereby deleted and is replaced as follows:</w:t>
      </w:r>
    </w:p>
    <w:p>
      <w:pPr>
        <w:spacing w:after="0" w:line="248" w:lineRule="exact"/>
        <w:rPr>
          <w:sz w:val="20"/>
          <w:szCs w:val="20"/>
          <w:color w:val="auto"/>
        </w:rPr>
      </w:pPr>
    </w:p>
    <w:p>
      <w:pPr>
        <w:jc w:val="both"/>
        <w:ind w:left="960"/>
        <w:spacing w:after="0" w:line="278" w:lineRule="auto"/>
        <w:rPr>
          <w:sz w:val="20"/>
          <w:szCs w:val="20"/>
          <w:color w:val="auto"/>
        </w:rPr>
      </w:pPr>
      <w:r>
        <w:rPr>
          <w:rFonts w:ascii="Times New Roman" w:cs="Times New Roman" w:eastAsia="Times New Roman" w:hAnsi="Times New Roman"/>
          <w:sz w:val="21"/>
          <w:szCs w:val="21"/>
          <w:color w:val="auto"/>
        </w:rPr>
        <w:t xml:space="preserve">“5.1.5 </w:t>
      </w:r>
      <w:r>
        <w:rPr>
          <w:rFonts w:ascii="Times New Roman" w:cs="Times New Roman" w:eastAsia="Times New Roman" w:hAnsi="Times New Roman"/>
          <w:sz w:val="21"/>
          <w:szCs w:val="21"/>
          <w:i w:val="1"/>
          <w:iCs w:val="1"/>
          <w:color w:val="auto"/>
        </w:rPr>
        <w:t>Elevators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Life Safety</w:t>
      </w:r>
      <w:r>
        <w:rPr>
          <w:rFonts w:ascii="Times New Roman" w:cs="Times New Roman" w:eastAsia="Times New Roman" w:hAnsi="Times New Roman"/>
          <w:sz w:val="21"/>
          <w:szCs w:val="21"/>
          <w:color w:val="auto"/>
        </w:rPr>
        <w:t>. To furnish freight and passenger elevator systems and equipment (which shall be maintained by Tenant in accordance with Section 6.1.3 of this Lease) to allow for service from the lobby to the Premises and to maintain fire alarm systems within the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920"/>
          </w:cols>
          <w:pgMar w:left="640" w:top="121"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0" w:hanging="313"/>
        <w:spacing w:after="0" w:line="264" w:lineRule="auto"/>
        <w:tabs>
          <w:tab w:leader="none" w:pos="64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5.2(b) is hereby amended by deleting the last two sentences thereof and substituting the following in their place:</w:t>
      </w:r>
    </w:p>
    <w:p>
      <w:pPr>
        <w:spacing w:after="0" w:line="200" w:lineRule="exact"/>
        <w:rPr>
          <w:sz w:val="20"/>
          <w:szCs w:val="20"/>
          <w:color w:val="auto"/>
        </w:rPr>
      </w:pPr>
    </w:p>
    <w:p>
      <w:pPr>
        <w:spacing w:after="0" w:line="282" w:lineRule="exact"/>
        <w:rPr>
          <w:sz w:val="20"/>
          <w:szCs w:val="20"/>
          <w:color w:val="auto"/>
        </w:rPr>
      </w:pPr>
    </w:p>
    <w:p>
      <w:pPr>
        <w:jc w:val="both"/>
        <w:ind w:left="960"/>
        <w:spacing w:after="0" w:line="261" w:lineRule="auto"/>
        <w:rPr>
          <w:sz w:val="20"/>
          <w:szCs w:val="20"/>
          <w:color w:val="auto"/>
        </w:rPr>
      </w:pPr>
      <w:r>
        <w:rPr>
          <w:rFonts w:ascii="Times New Roman" w:cs="Times New Roman" w:eastAsia="Times New Roman" w:hAnsi="Times New Roman"/>
          <w:sz w:val="21"/>
          <w:szCs w:val="21"/>
          <w:color w:val="auto"/>
        </w:rPr>
        <w:t>“For purposes hereof, the term “Essential Services” shall mean the following services required to be provided by Landlord under this Lease: water and sewer service, gas and electricity, and life safety/fire protection services. The provisions of this paragraph shall not apply to any Abatement Event caused by (i) fire or other damage or destruction to the Building, which shall be covered by Article 7 of this Lease and which shall be Tenant’s sole remedy on account of an Abatement Event, or (ii) Tenant’s failure to properly repair and maintain the MEP Systems or HVAC Systems (as applicable) pursuant to Section 6.1.3 of this Lease.”</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e.  Section 5.2(c) is hereby amended by deleting the first sentence thereof and substituting the following in its place:</w:t>
      </w:r>
    </w:p>
    <w:p>
      <w:pPr>
        <w:spacing w:after="0" w:line="252" w:lineRule="exact"/>
        <w:rPr>
          <w:sz w:val="20"/>
          <w:szCs w:val="20"/>
          <w:color w:val="auto"/>
        </w:rPr>
      </w:pPr>
    </w:p>
    <w:p>
      <w:pPr>
        <w:jc w:val="both"/>
        <w:ind w:left="960"/>
        <w:spacing w:after="0" w:line="261" w:lineRule="auto"/>
        <w:rPr>
          <w:sz w:val="20"/>
          <w:szCs w:val="20"/>
          <w:color w:val="auto"/>
        </w:rPr>
      </w:pPr>
      <w:r>
        <w:rPr>
          <w:rFonts w:ascii="Times New Roman" w:cs="Times New Roman" w:eastAsia="Times New Roman" w:hAnsi="Times New Roman"/>
          <w:sz w:val="21"/>
          <w:szCs w:val="21"/>
          <w:color w:val="auto"/>
        </w:rPr>
        <w:t>“In addition to the rights and remedies set forth in Section 5.2(b) above, if an Abatement Event causes a failure, interruption or cessation of life safety or fire protection services exclusively serving Tenant’s lab space that has, or is reasonably expected to have, an immediate material and adverse impact on Tenant’s laboratory operations (a “Critical Failure”), then Tenant shall give Landlord an Abatement Notice of such Critical Failure (which may be given verbally or by email to Landlord’s property manager).”</w:t>
      </w:r>
    </w:p>
    <w:p>
      <w:pPr>
        <w:spacing w:after="0" w:line="208" w:lineRule="exact"/>
        <w:rPr>
          <w:sz w:val="20"/>
          <w:szCs w:val="20"/>
          <w:color w:val="auto"/>
        </w:rPr>
      </w:pPr>
    </w:p>
    <w:p>
      <w:pPr>
        <w:ind w:left="640" w:hanging="313"/>
        <w:spacing w:after="0" w:line="288" w:lineRule="auto"/>
        <w:tabs>
          <w:tab w:leader="none" w:pos="631"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section headings in the Lease Table of Contents shall be deemed updated consistent with the modifications made in this First Amendment.</w:t>
      </w:r>
    </w:p>
    <w:p>
      <w:pPr>
        <w:spacing w:after="0" w:line="167" w:lineRule="exact"/>
        <w:rPr>
          <w:rFonts w:ascii="Times New Roman" w:cs="Times New Roman" w:eastAsia="Times New Roman" w:hAnsi="Times New Roman"/>
          <w:sz w:val="21"/>
          <w:szCs w:val="21"/>
          <w:color w:val="auto"/>
        </w:rPr>
      </w:pPr>
    </w:p>
    <w:p>
      <w:pPr>
        <w:jc w:val="both"/>
        <w:ind w:left="320" w:hanging="313"/>
        <w:spacing w:after="0" w:line="268" w:lineRule="auto"/>
        <w:tabs>
          <w:tab w:leader="none" w:pos="32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Tenant’s Covenants; Repair and Maintenance Obligations</w:t>
      </w:r>
      <w:r>
        <w:rPr>
          <w:rFonts w:ascii="Times New Roman" w:cs="Times New Roman" w:eastAsia="Times New Roman" w:hAnsi="Times New Roman"/>
          <w:sz w:val="21"/>
          <w:szCs w:val="21"/>
          <w:color w:val="auto"/>
        </w:rPr>
        <w:t xml:space="preserve">. It is Tenant’s intent to expand the scope of its maintenance and repair obligations under the Lease to include the base building and non-base building equipment and systems (exclusive of the life safety systems). In implementation thereof, Section 6.1.3 of the Lease, </w:t>
      </w:r>
      <w:r>
        <w:rPr>
          <w:rFonts w:ascii="Times New Roman" w:cs="Times New Roman" w:eastAsia="Times New Roman" w:hAnsi="Times New Roman"/>
          <w:sz w:val="21"/>
          <w:szCs w:val="21"/>
          <w:i w:val="1"/>
          <w:iCs w:val="1"/>
          <w:u w:val="single" w:color="auto"/>
          <w:color w:val="auto"/>
        </w:rPr>
        <w:t>Repair and Maintenance</w:t>
      </w:r>
      <w:r>
        <w:rPr>
          <w:rFonts w:ascii="Times New Roman" w:cs="Times New Roman" w:eastAsia="Times New Roman" w:hAnsi="Times New Roman"/>
          <w:sz w:val="21"/>
          <w:szCs w:val="21"/>
          <w:color w:val="auto"/>
        </w:rPr>
        <w:t>, is hereby amended and restated in its entirety as of the Effective Date, as follows:</w:t>
      </w:r>
    </w:p>
    <w:p>
      <w:pPr>
        <w:spacing w:after="0" w:line="185" w:lineRule="exact"/>
        <w:rPr>
          <w:sz w:val="20"/>
          <w:szCs w:val="20"/>
          <w:color w:val="auto"/>
        </w:rPr>
      </w:pPr>
    </w:p>
    <w:p>
      <w:pPr>
        <w:jc w:val="both"/>
        <w:ind w:left="960"/>
        <w:spacing w:after="0" w:line="258" w:lineRule="auto"/>
        <w:rPr>
          <w:sz w:val="20"/>
          <w:szCs w:val="20"/>
          <w:color w:val="auto"/>
        </w:rPr>
      </w:pPr>
      <w:r>
        <w:rPr>
          <w:rFonts w:ascii="Times New Roman" w:cs="Times New Roman" w:eastAsia="Times New Roman" w:hAnsi="Times New Roman"/>
          <w:sz w:val="21"/>
          <w:szCs w:val="21"/>
          <w:color w:val="auto"/>
        </w:rPr>
        <w:t xml:space="preserve">“6.1.3 </w:t>
      </w:r>
      <w:r>
        <w:rPr>
          <w:rFonts w:ascii="Times New Roman" w:cs="Times New Roman" w:eastAsia="Times New Roman" w:hAnsi="Times New Roman"/>
          <w:sz w:val="21"/>
          <w:szCs w:val="21"/>
          <w:i w:val="1"/>
          <w:iCs w:val="1"/>
          <w:u w:val="single" w:color="auto"/>
          <w:color w:val="auto"/>
        </w:rPr>
        <w:t>Repair, Operation and Maintenance</w:t>
      </w:r>
      <w:r>
        <w:rPr>
          <w:rFonts w:ascii="Times New Roman" w:cs="Times New Roman" w:eastAsia="Times New Roman" w:hAnsi="Times New Roman"/>
          <w:sz w:val="21"/>
          <w:szCs w:val="21"/>
          <w:color w:val="auto"/>
        </w:rPr>
        <w:t>. (a) To maintain the Premises (which includes without limitation, exterior doors, windows and entrance ways) in good order and condition and in a neat and clean appearance, and to perform all maintenance, to operate, and to make all repairs and replacements to the interior of the Premises, including all passenger and freight elevators, base building and nonbase building mechanical, electrical and plumbing systems (the “MEP Systems”), the base building and non-base building heating, ventilating and air-conditioning systems, including the building management system (the “HVAC Systems”) serving the Premises, Tenant’s security systems, all lab equipment and GMP equipment installed by Tenant in the Premises, all fixtures, furnishings, lighting, interior walls, entrance doors, floor surfaces, and maintain, repair and replace as necessary all signs of Tenant wherever located, Tenant’s exterior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0920"/>
          </w:cols>
          <w:pgMar w:left="640" w:top="121"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21"/>
          <w:szCs w:val="21"/>
          <w:color w:val="auto"/>
        </w:rPr>
        <w:t>generator and associated fuel tank, Tenant’s Rooftop Equipment and all mechanical equipment associated with Tenant’s GMP use, and Tenant’s chemical storage tank and associated enclosures, such as are necessary to keep them in good working order, appearance and condition, as the case may require, reasonable use and wear thereof and damage by fire or by casualty only excepted; to keep all interior and exterior portions of all windows, doors and other glass in the Premises whole and in good condition; and to make as and when needed as a result of misuse by, or neglect of Tenant or Tenant’s servants, employees, agents, invitees or licensees or otherwise, all repairs necessary, which repairs and replacements shall be in quality and class equal to the original work. Tenant shall also be responsible, at its sole expense, for providing cleaning and janitorial services to all portions of the Premises in a firstclass manner consistent with cleaning standards generally prevailing in the area and shall contract with a waste disposal service to remove and dispose of general office refuse on a regular basis. All Lab Waste generated within or brought onto the Premises in connection with Tenant’s activities shall be stored in proper containers within the Premises. In no event shall any Lab Waste be stored outside the Premises. Tenant shall not permit the mixing or disposal of Lab Waste with general office refuse and shall, at its sole expense, enter into and maintain throughout the Term a service contract with a trash disposal service specializing in laboratory and biological waste removal. Tenant’s waste removal contract shall provide for pick up and disposal of lab waste in accordance with local Board of Health requirements and all other applicable law. “Lab Waste” shall include, but not be limited to, all pathological, or biological waste, laboratory waste that has come in contact with any disease carrying organisms, any human tissue or other body parts, laboratory cultures and stocks of infectious agents and any associated biological materials, and any other item defined as medical or biological waste under any applicable law of governmental authorities having jurisdiction (including but not limited to 105 CMR 480.010). Tenant acknowledges that Blue Sky Drive is a LEED Gold Certified campus and agrees to reasonably cooperate with Landlord’s reasonable requirements geared towards efficiency and promoting conservation to maintain the LEED certification. No Lab Waste or general office waste shall be stored outside of the Premises. (Landlord, upon failure of Tenant to perform its obligations under this Section 6.1.3, and if such failure could have an adverse effect on the base building structure or any of the base building systems, may elect, at the expense of Tenant, and upon three (3) business days’ prior written notice or fewer if reasonable under the circumstances [except in emergencies where immediate action may be taken without prior notice], to perform all such cleaning and maintenance and to make any such repairs and replacements, or to repair any damage or injury to the Building or the Premises caused by moving property of Tenant in or out of the Building or by misuse, neglect, or improper conduct of, Tenant or Tenant’s employees, agents, contractors, customers, patrons, invitees, or licensees. However, in no event shall Landlord have any right to take any action permitted by the preceding sentence to the extent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120"/>
          </w:cols>
          <w:pgMar w:left="1440" w:top="121" w:right="339" w:bottom="1440" w:gutter="0" w:footer="0" w:header="0"/>
        </w:sectPr>
      </w:pPr>
    </w:p>
    <w:bookmarkStart w:id="114" w:name="page115"/>
    <w:bookmarkEnd w:id="114"/>
    <w:p>
      <w:pPr>
        <w:ind w:left="9820"/>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would affect Tenant’s mechanical equipment associated with Tenant’s GMP operations and Tenant’s lab operations.)</w:t>
      </w:r>
    </w:p>
    <w:p>
      <w:pPr>
        <w:spacing w:after="0" w:line="252" w:lineRule="exact"/>
        <w:rPr>
          <w:sz w:val="20"/>
          <w:szCs w:val="20"/>
          <w:color w:val="auto"/>
        </w:rPr>
      </w:pPr>
    </w:p>
    <w:p>
      <w:pPr>
        <w:jc w:val="both"/>
        <w:ind w:left="960"/>
        <w:spacing w:after="0" w:line="256" w:lineRule="auto"/>
        <w:rPr>
          <w:sz w:val="20"/>
          <w:szCs w:val="20"/>
          <w:color w:val="auto"/>
        </w:rPr>
      </w:pPr>
      <w:r>
        <w:rPr>
          <w:rFonts w:ascii="Times New Roman" w:cs="Times New Roman" w:eastAsia="Times New Roman" w:hAnsi="Times New Roman"/>
          <w:sz w:val="21"/>
          <w:szCs w:val="21"/>
          <w:color w:val="auto"/>
        </w:rPr>
        <w:t>“(b) Tenant shall, at its sole cost and expense, be solely responsible to provide for building management services for the maintenance and repair of the interior of the Premises, as well as the maintenance, repair and inspection (as and when required by law) of the passenger and freight elevators, all base building MEP Systems and HVAC Systems servicing the Premises (which shall include all non-base building systems installed by Tenant as well), and Tenant’s equipment, and shall directly pay all service providers engaged by Tenant. Tenant shall enter into and share with Landlord annual maintenance service contracts providing for service consistent with market standards for Class-A laboratory facilities, and with service providers reasonably acceptable to Landlord for regular maintenance of the base building HVAC Systems, passenger and freight elevators, base building MEP Systems (exclusive of life safety which shall be maintained by Landlord and non-base building MEP systems) and shall deliver to Landlord copies of all such service contracts when requested by Landlord. Tenant agrees to submit to Landlord on an annual basis (no later than thirty (30) days after the end of each calendar year) all reports evidencing the service and repairs that were undertaken to the base building MEP Systems and passenger and freight elevators each year during the Term. In addition, Tenant shall provide any non-confidential or non-privileged reports or other documentation as reasonably requested by Landlord to meet the requirements of Landlord’s insurers. In the event Tenant fails to obtain or maintain any required service contract, Landlord shall have the right, after reasonable prior notice to Tenant, to obtain or maintain service contracts in Tenant’s name and Tenant shall pay the actual cost thereof to Landlord as Additional Rent. Tenant shall be solely responsible to manage its lab-specific mechanical and electrical equipment and lab support systems.”</w:t>
      </w:r>
    </w:p>
    <w:p>
      <w:pPr>
        <w:spacing w:after="0" w:line="200" w:lineRule="exact"/>
        <w:rPr>
          <w:sz w:val="20"/>
          <w:szCs w:val="20"/>
          <w:color w:val="auto"/>
        </w:rPr>
      </w:pPr>
    </w:p>
    <w:p>
      <w:pPr>
        <w:spacing w:after="0" w:line="278" w:lineRule="exact"/>
        <w:rPr>
          <w:sz w:val="20"/>
          <w:szCs w:val="20"/>
          <w:color w:val="auto"/>
        </w:rPr>
      </w:pPr>
    </w:p>
    <w:p>
      <w:pPr>
        <w:jc w:val="both"/>
        <w:ind w:left="320" w:hanging="313"/>
        <w:spacing w:after="0" w:line="264" w:lineRule="auto"/>
        <w:tabs>
          <w:tab w:leader="none" w:pos="32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Tenant’s Premises Percentage of Operating Costs.</w:t>
      </w:r>
      <w:r>
        <w:rPr>
          <w:rFonts w:ascii="Times New Roman" w:cs="Times New Roman" w:eastAsia="Times New Roman" w:hAnsi="Times New Roman"/>
          <w:sz w:val="21"/>
          <w:szCs w:val="21"/>
          <w:color w:val="auto"/>
        </w:rPr>
        <w:t xml:space="preserve"> As of the Effective Date, the Operating Costs attributable solely to the Premises will exclude Tenant’s costs of performing its repair and maintenance obligations to the MEP Systems and HVAC Systems. Accordingly, the second paragraph of Section 4.2.3(b) of the Lease is hereby deleted and replaced with the following:</w:t>
      </w:r>
    </w:p>
    <w:p>
      <w:pPr>
        <w:spacing w:after="0" w:line="192" w:lineRule="exact"/>
        <w:rPr>
          <w:sz w:val="20"/>
          <w:szCs w:val="20"/>
          <w:color w:val="auto"/>
        </w:rPr>
      </w:pPr>
    </w:p>
    <w:p>
      <w:pPr>
        <w:jc w:val="both"/>
        <w:ind w:left="960"/>
        <w:spacing w:after="0" w:line="264" w:lineRule="auto"/>
        <w:rPr>
          <w:sz w:val="20"/>
          <w:szCs w:val="20"/>
          <w:color w:val="auto"/>
        </w:rPr>
      </w:pPr>
      <w:r>
        <w:rPr>
          <w:rFonts w:ascii="Times New Roman" w:cs="Times New Roman" w:eastAsia="Times New Roman" w:hAnsi="Times New Roman"/>
          <w:sz w:val="21"/>
          <w:szCs w:val="21"/>
          <w:color w:val="auto"/>
        </w:rPr>
        <w:t>“Tenant shall also pay to Landlord in the manner set forth in this Section 4.2.3 Tenant’s Premises Percentage Share of those Operating Costs that are attributable solely to the Premises, which initially shall include all costs of maintenance, repair and replacement of the exterior walls, façade, exterior lighting, and the life-safety systems and all costs and fees related to provision of water (including sewer charges) to the Premises, all costs of exterior window cleaning, and costs of furnishing any services solely to the Premises.”</w:t>
      </w:r>
    </w:p>
    <w:p>
      <w:pPr>
        <w:spacing w:after="0" w:line="193" w:lineRule="exact"/>
        <w:rPr>
          <w:sz w:val="20"/>
          <w:szCs w:val="20"/>
          <w:color w:val="auto"/>
        </w:rPr>
      </w:pPr>
    </w:p>
    <w:p>
      <w:pPr>
        <w:ind w:left="320" w:hanging="313"/>
        <w:spacing w:after="0" w:line="288" w:lineRule="auto"/>
        <w:tabs>
          <w:tab w:leader="none" w:pos="32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Rules and Regulations</w:t>
      </w:r>
      <w:r>
        <w:rPr>
          <w:rFonts w:ascii="Times New Roman" w:cs="Times New Roman" w:eastAsia="Times New Roman" w:hAnsi="Times New Roman"/>
          <w:sz w:val="21"/>
          <w:szCs w:val="21"/>
          <w:color w:val="auto"/>
        </w:rPr>
        <w:t>. Exhibit E, Section 3 to the Lease is hereby amended to remove the words “and maintained” from the second line of the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0920"/>
          </w:cols>
          <w:pgMar w:left="640" w:top="121" w:right="339" w:bottom="1440" w:gutter="0" w:footer="0" w:header="0"/>
        </w:sectPr>
      </w:pPr>
    </w:p>
    <w:bookmarkStart w:id="115" w:name="page116"/>
    <w:bookmarkEnd w:id="115"/>
    <w:p>
      <w:pPr>
        <w:ind w:left="9820"/>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hanging="313"/>
        <w:spacing w:after="0"/>
        <w:tabs>
          <w:tab w:leader="none" w:pos="32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52" w:lineRule="exact"/>
        <w:rPr>
          <w:rFonts w:ascii="Times New Roman" w:cs="Times New Roman" w:eastAsia="Times New Roman" w:hAnsi="Times New Roman"/>
          <w:sz w:val="21"/>
          <w:szCs w:val="21"/>
          <w:color w:val="auto"/>
        </w:rPr>
      </w:pPr>
    </w:p>
    <w:p>
      <w:pPr>
        <w:jc w:val="both"/>
        <w:ind w:left="640" w:hanging="313"/>
        <w:spacing w:after="0" w:line="264" w:lineRule="auto"/>
        <w:tabs>
          <w:tab w:leader="none" w:pos="628"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Authority</w:t>
      </w:r>
      <w:r>
        <w:rPr>
          <w:rFonts w:ascii="Times New Roman" w:cs="Times New Roman" w:eastAsia="Times New Roman" w:hAnsi="Times New Roman"/>
          <w:sz w:val="21"/>
          <w:szCs w:val="21"/>
          <w:color w:val="auto"/>
        </w:rPr>
        <w:t>. Landlord and Tenant each represent, as to itself: (i) that it is validly existing and in good standing in the state where it was organized, and in good standing in the Commonwealth of Massachusetts; (ii) that it has the authority and capacity to enter into this First Amendment and perform all of its obligations hereunder; (iii) that all necessary action has been taken in order to authorize it to enter into and perform all of its obligations hereunder; and (iv) that the person executing this First Amendment on its behalf is duly authorized to do so.</w:t>
      </w:r>
    </w:p>
    <w:p>
      <w:pPr>
        <w:spacing w:after="0" w:line="192" w:lineRule="exact"/>
        <w:rPr>
          <w:rFonts w:ascii="Times New Roman" w:cs="Times New Roman" w:eastAsia="Times New Roman" w:hAnsi="Times New Roman"/>
          <w:sz w:val="21"/>
          <w:szCs w:val="21"/>
          <w:color w:val="auto"/>
        </w:rPr>
      </w:pPr>
    </w:p>
    <w:p>
      <w:pPr>
        <w:jc w:val="both"/>
        <w:ind w:left="640" w:hanging="313"/>
        <w:spacing w:after="0" w:line="276" w:lineRule="auto"/>
        <w:tabs>
          <w:tab w:leader="none" w:pos="64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First Amendment contains the entire agreement of the parties regarding the subject matter hereof. There are no promises, agreements, conditions, undertaking, warranties or representations, oral or written, express or implied, between them, relating to this subject matter, other than as set forth herein.</w:t>
      </w:r>
    </w:p>
    <w:p>
      <w:pPr>
        <w:spacing w:after="0" w:line="180" w:lineRule="exact"/>
        <w:rPr>
          <w:rFonts w:ascii="Times New Roman" w:cs="Times New Roman" w:eastAsia="Times New Roman" w:hAnsi="Times New Roman"/>
          <w:sz w:val="21"/>
          <w:szCs w:val="21"/>
          <w:color w:val="auto"/>
        </w:rPr>
      </w:pPr>
    </w:p>
    <w:p>
      <w:pPr>
        <w:jc w:val="both"/>
        <w:ind w:left="640" w:hanging="313"/>
        <w:spacing w:after="0" w:line="270" w:lineRule="auto"/>
        <w:tabs>
          <w:tab w:leader="none" w:pos="628"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Brokers</w:t>
      </w:r>
      <w:r>
        <w:rPr>
          <w:rFonts w:ascii="Times New Roman" w:cs="Times New Roman" w:eastAsia="Times New Roman" w:hAnsi="Times New Roman"/>
          <w:sz w:val="21"/>
          <w:szCs w:val="21"/>
          <w:color w:val="auto"/>
        </w:rPr>
        <w:t>. Each party hereto warrants and represents that it has dealt with no broker in connection with the consummation of this First Amendment, and each party agrees to indemnify the other party from any claims or losses resulting from a breach of the foregoing representation.</w:t>
      </w:r>
    </w:p>
    <w:p>
      <w:pPr>
        <w:spacing w:after="0" w:line="185" w:lineRule="exact"/>
        <w:rPr>
          <w:rFonts w:ascii="Times New Roman" w:cs="Times New Roman" w:eastAsia="Times New Roman" w:hAnsi="Times New Roman"/>
          <w:sz w:val="21"/>
          <w:szCs w:val="21"/>
          <w:color w:val="auto"/>
        </w:rPr>
      </w:pPr>
    </w:p>
    <w:p>
      <w:pPr>
        <w:jc w:val="both"/>
        <w:ind w:left="640" w:right="20" w:hanging="313"/>
        <w:spacing w:after="0" w:line="276" w:lineRule="auto"/>
        <w:tabs>
          <w:tab w:leader="none" w:pos="64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Jurisdiction</w:t>
      </w:r>
      <w:r>
        <w:rPr>
          <w:rFonts w:ascii="Times New Roman" w:cs="Times New Roman" w:eastAsia="Times New Roman" w:hAnsi="Times New Roman"/>
          <w:sz w:val="21"/>
          <w:szCs w:val="21"/>
          <w:color w:val="auto"/>
        </w:rPr>
        <w:t>. This First Amendment shall be construed under the laws of the Commonwealth of Massachusetts and shall be binding upon and shall inure to the benefit of the parties hereto and their respective successors and assigns.</w:t>
      </w:r>
    </w:p>
    <w:p>
      <w:pPr>
        <w:spacing w:after="0" w:line="180" w:lineRule="exact"/>
        <w:rPr>
          <w:rFonts w:ascii="Times New Roman" w:cs="Times New Roman" w:eastAsia="Times New Roman" w:hAnsi="Times New Roman"/>
          <w:sz w:val="21"/>
          <w:szCs w:val="21"/>
          <w:color w:val="auto"/>
        </w:rPr>
      </w:pPr>
    </w:p>
    <w:p>
      <w:pPr>
        <w:jc w:val="both"/>
        <w:ind w:left="640" w:hanging="313"/>
        <w:spacing w:after="0" w:line="260" w:lineRule="auto"/>
        <w:tabs>
          <w:tab w:leader="none" w:pos="628"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 Binding Agreement</w:t>
      </w:r>
      <w:r>
        <w:rPr>
          <w:rFonts w:ascii="Times New Roman" w:cs="Times New Roman" w:eastAsia="Times New Roman" w:hAnsi="Times New Roman"/>
          <w:sz w:val="21"/>
          <w:szCs w:val="21"/>
          <w:color w:val="auto"/>
        </w:rPr>
        <w:t>. This First Amendment shall not be valid and binding until fully executed and delivered to both parties, and may be executed in counterparts, each of which shall be deemed an original and all of which, when taken together, shall constitute one and the same instrument. Any facsimile or other electronic transmittal of original signature versions of this Amendment shall be considered to have the same legal effects execution and delivery of the original document and shall be treated in all manner and respects as the original document. Execution of this First Amendment by means of DocuSign is an acceptable form of execution and shall be valid and binding in all respects.</w:t>
      </w:r>
    </w:p>
    <w:p>
      <w:pPr>
        <w:spacing w:after="0" w:line="200" w:lineRule="exact"/>
        <w:rPr>
          <w:rFonts w:ascii="Times New Roman" w:cs="Times New Roman" w:eastAsia="Times New Roman" w:hAnsi="Times New Roman"/>
          <w:sz w:val="21"/>
          <w:szCs w:val="21"/>
          <w:color w:val="auto"/>
        </w:rPr>
      </w:pPr>
    </w:p>
    <w:p>
      <w:pPr>
        <w:spacing w:after="0" w:line="258" w:lineRule="exact"/>
        <w:rPr>
          <w:rFonts w:ascii="Times New Roman" w:cs="Times New Roman" w:eastAsia="Times New Roman" w:hAnsi="Times New Roman"/>
          <w:sz w:val="21"/>
          <w:szCs w:val="21"/>
          <w:color w:val="auto"/>
        </w:rPr>
      </w:pPr>
    </w:p>
    <w:p>
      <w:pPr>
        <w:ind w:left="640" w:hanging="313"/>
        <w:spacing w:after="0"/>
        <w:tabs>
          <w:tab w:leader="none" w:pos="64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Ratified</w:t>
      </w:r>
      <w:r>
        <w:rPr>
          <w:rFonts w:ascii="Times New Roman" w:cs="Times New Roman" w:eastAsia="Times New Roman" w:hAnsi="Times New Roman"/>
          <w:sz w:val="21"/>
          <w:szCs w:val="21"/>
          <w:color w:val="auto"/>
        </w:rPr>
        <w:t>. As hereby amended, the Lease is hereby ratified and confirmed in all respects.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b w:val="1"/>
          <w:bCs w:val="1"/>
          <w:color w:val="auto"/>
        </w:rPr>
        <w:t>[Signatures appear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0920"/>
          </w:cols>
          <w:pgMar w:left="640" w:top="121"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560"/>
        <w:spacing w:after="0" w:line="292"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Landlord and Tenant have duly executed this First Amendment as of the day and year first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above written.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LANDLORD: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NDB PROPERTY OWNER 2, L.P.,</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Delaware limited partnership</w:t>
      </w: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b w:val="1"/>
          <w:bCs w:val="1"/>
          <w:color w:val="auto"/>
        </w:rPr>
        <w:t>NDB Holdings LLC,</w:t>
      </w:r>
    </w:p>
    <w:p>
      <w:pPr>
        <w:spacing w:after="0" w:line="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 Massachusetts limited liability company,</w:t>
      </w:r>
    </w:p>
    <w:p>
      <w:pPr>
        <w:spacing w:after="0" w:line="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its authorized agent</w:t>
      </w:r>
    </w:p>
    <w:p>
      <w:pPr>
        <w:spacing w:after="0" w:line="277"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b w:val="1"/>
          <w:bCs w:val="1"/>
          <w:color w:val="auto"/>
        </w:rPr>
        <w:t>Nordblom JV Manager, Inc.,</w:t>
      </w:r>
    </w:p>
    <w:p>
      <w:pPr>
        <w:spacing w:after="0" w:line="4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1"/>
          <w:szCs w:val="21"/>
          <w:color w:val="auto"/>
        </w:rPr>
        <w:t>a Massachusetts corporation,</w:t>
      </w:r>
    </w:p>
    <w:p>
      <w:pPr>
        <w:spacing w:after="0" w:line="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1"/>
          <w:szCs w:val="21"/>
          <w:color w:val="auto"/>
        </w:rPr>
        <w:t>its Manager</w:t>
      </w:r>
    </w:p>
    <w:p>
      <w:pPr>
        <w:spacing w:after="0" w:line="281" w:lineRule="exact"/>
        <w:rPr>
          <w:sz w:val="20"/>
          <w:szCs w:val="20"/>
          <w:color w:val="auto"/>
        </w:rPr>
      </w:pPr>
    </w:p>
    <w:p>
      <w:pPr>
        <w:ind w:left="1980"/>
        <w:spacing w:after="0"/>
        <w:tabs>
          <w:tab w:leader="none" w:pos="25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Crosby Nordblom</w:t>
      </w:r>
    </w:p>
    <w:p>
      <w:pPr>
        <w:spacing w:after="0" w:line="3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1"/>
          <w:szCs w:val="21"/>
          <w:color w:val="auto"/>
        </w:rPr>
        <w:t>Name: Crosby Nordblom</w:t>
      </w:r>
    </w:p>
    <w:p>
      <w:pPr>
        <w:spacing w:after="0" w:line="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1"/>
          <w:szCs w:val="21"/>
          <w:color w:val="auto"/>
        </w:rPr>
        <w:t>Title: Manager</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TENANT: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VERICEL CORPORATION,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Michigan corporation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Michael Halpin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-8255</wp:posOffset>
            </wp:positionV>
            <wp:extent cx="10426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Michael Halpin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21" w:right="339" w:bottom="1440" w:gutter="0" w:footer="0" w:header="0"/>
        </w:sectPr>
      </w:pPr>
    </w:p>
    <w:bookmarkStart w:id="117" w:name="page118"/>
    <w:bookmarkEnd w:id="117"/>
    <w:p>
      <w:pPr>
        <w:ind w:left="9820"/>
        <w:spacing w:after="0"/>
        <w:rPr>
          <w:sz w:val="20"/>
          <w:szCs w:val="20"/>
          <w:color w:val="auto"/>
        </w:rPr>
      </w:pPr>
      <w:r>
        <w:rPr>
          <w:rFonts w:ascii="Times New Roman" w:cs="Times New Roman" w:eastAsia="Times New Roman" w:hAnsi="Times New Roman"/>
          <w:sz w:val="21"/>
          <w:szCs w:val="21"/>
          <w:b w:val="1"/>
          <w:bCs w:val="1"/>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b w:val="1"/>
          <w:bCs w:val="1"/>
          <w:color w:val="auto"/>
        </w:rPr>
        <w:t>NINTH AMENDMENT TO DISTRIBUTION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Ninth Amendment to the Distribution Agreement ("Ninth Amendment") is between Vericel</w:t>
      </w:r>
    </w:p>
    <w:p>
      <w:pPr>
        <w:spacing w:after="0" w:line="3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1"/>
          <w:szCs w:val="21"/>
          <w:color w:val="auto"/>
        </w:rPr>
        <w:t>Corporation (“Vericel”) and Orsini Pharmaceutical Services, Inc. (“Orsini”). This Ninth Amendment is effective as of May 15, 2024 (“Effective Date”).</w:t>
      </w:r>
    </w:p>
    <w:p>
      <w:pPr>
        <w:spacing w:after="0" w:line="175" w:lineRule="exact"/>
        <w:rPr>
          <w:sz w:val="20"/>
          <w:szCs w:val="20"/>
          <w:color w:val="auto"/>
        </w:rPr>
      </w:pPr>
    </w:p>
    <w:p>
      <w:pPr>
        <w:ind w:right="3320"/>
        <w:spacing w:after="0" w:line="280"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Vericel and Orsini are parties to a Distribution Agreement dated May 15, 2017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amended, the “Agreement”), under which Vericel appointed Orsini as a specialty pharmacy distributor for MACI</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Parties desire to amend the Agreement and extend its term to June 30, 2024;</w:t>
      </w:r>
    </w:p>
    <w:p>
      <w:pPr>
        <w:spacing w:after="0" w:line="266"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for good and valuable consideration, the receipt and sufficiency of which is hereby acknowledged, the Parties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 to amend the Agreement as follows:</w:t>
      </w:r>
    </w:p>
    <w:p>
      <w:pPr>
        <w:spacing w:after="0" w:line="160" w:lineRule="exact"/>
        <w:rPr>
          <w:sz w:val="20"/>
          <w:szCs w:val="20"/>
          <w:color w:val="auto"/>
        </w:rPr>
      </w:pPr>
    </w:p>
    <w:p>
      <w:pPr>
        <w:ind w:left="640" w:hanging="633"/>
        <w:spacing w:after="0"/>
        <w:tabs>
          <w:tab w:leader="none" w:pos="6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Section 7.1 Term. </w:t>
      </w:r>
      <w:r>
        <w:rPr>
          <w:rFonts w:ascii="Times New Roman" w:cs="Times New Roman" w:eastAsia="Times New Roman" w:hAnsi="Times New Roman"/>
          <w:sz w:val="21"/>
          <w:szCs w:val="21"/>
          <w:color w:val="auto"/>
        </w:rPr>
        <w:t>The first two sentences of Section 7.1 shall be deleted and replaced with the following:</w:t>
      </w:r>
    </w:p>
    <w:p>
      <w:pPr>
        <w:spacing w:after="0" w:line="40" w:lineRule="exact"/>
        <w:rPr>
          <w:rFonts w:ascii="Times New Roman" w:cs="Times New Roman" w:eastAsia="Times New Roman" w:hAnsi="Times New Roman"/>
          <w:sz w:val="21"/>
          <w:szCs w:val="21"/>
          <w:color w:val="auto"/>
        </w:rPr>
      </w:pPr>
    </w:p>
    <w:p>
      <w:pPr>
        <w:ind w:left="640"/>
        <w:spacing w:after="0" w:line="26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Term of this Agreement shall continue until </w:t>
      </w:r>
      <w:r>
        <w:rPr>
          <w:rFonts w:ascii="Times New Roman" w:cs="Times New Roman" w:eastAsia="Times New Roman" w:hAnsi="Times New Roman"/>
          <w:sz w:val="21"/>
          <w:szCs w:val="21"/>
          <w:b w:val="1"/>
          <w:bCs w:val="1"/>
          <w:color w:val="auto"/>
        </w:rPr>
        <w:t>June 30, 2024</w:t>
      </w:r>
      <w:r>
        <w:rPr>
          <w:rFonts w:ascii="Times New Roman" w:cs="Times New Roman" w:eastAsia="Times New Roman" w:hAnsi="Times New Roman"/>
          <w:sz w:val="21"/>
          <w:szCs w:val="21"/>
          <w:color w:val="auto"/>
        </w:rPr>
        <w:t xml:space="preserve"> (“Term”). The Parties may renew the Agreement for additional two year terms, upon mutual agreement. The remaining provisions of Section 7.1 shall remain.</w:t>
      </w:r>
    </w:p>
    <w:p>
      <w:pPr>
        <w:spacing w:after="0" w:line="187" w:lineRule="exact"/>
        <w:rPr>
          <w:rFonts w:ascii="Times New Roman" w:cs="Times New Roman" w:eastAsia="Times New Roman" w:hAnsi="Times New Roman"/>
          <w:sz w:val="21"/>
          <w:szCs w:val="21"/>
          <w:color w:val="auto"/>
        </w:rPr>
      </w:pPr>
    </w:p>
    <w:p>
      <w:pPr>
        <w:jc w:val="both"/>
        <w:ind w:left="640" w:hanging="633"/>
        <w:spacing w:after="0" w:line="278" w:lineRule="auto"/>
        <w:tabs>
          <w:tab w:leader="none" w:pos="6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 Other Changes. </w:t>
      </w:r>
      <w:r>
        <w:rPr>
          <w:rFonts w:ascii="Times New Roman" w:cs="Times New Roman" w:eastAsia="Times New Roman" w:hAnsi="Times New Roman"/>
          <w:sz w:val="21"/>
          <w:szCs w:val="21"/>
          <w:color w:val="auto"/>
        </w:rPr>
        <w:t>To the extent terms in this Ninth Amendment conflict with the Agreement and/or any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amendments to the Agreement, the terms of this Ninth Amendment shall prevail. Except as provided in this Ninth Amendment, the terms and conditions of the Agreement will continue in full force and effect.</w:t>
      </w:r>
    </w:p>
    <w:p>
      <w:pPr>
        <w:spacing w:after="0" w:line="174" w:lineRule="exact"/>
        <w:rPr>
          <w:rFonts w:ascii="Times New Roman" w:cs="Times New Roman" w:eastAsia="Times New Roman" w:hAnsi="Times New Roman"/>
          <w:sz w:val="21"/>
          <w:szCs w:val="21"/>
          <w:color w:val="auto"/>
        </w:rPr>
      </w:pPr>
    </w:p>
    <w:p>
      <w:pPr>
        <w:jc w:val="both"/>
        <w:ind w:left="640" w:hanging="633"/>
        <w:spacing w:after="0" w:line="265" w:lineRule="auto"/>
        <w:tabs>
          <w:tab w:leader="none" w:pos="6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Counterparts/Signatures. </w:t>
      </w:r>
      <w:r>
        <w:rPr>
          <w:rFonts w:ascii="Times New Roman" w:cs="Times New Roman" w:eastAsia="Times New Roman" w:hAnsi="Times New Roman"/>
          <w:sz w:val="21"/>
          <w:szCs w:val="21"/>
          <w:color w:val="auto"/>
        </w:rPr>
        <w:t>This Ninth Amendment may be executed in multiple counterparts, each of which constitutes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original, and all of which, collectively, constitute only one agreement. The signatures of the parties need not appear on the same counterpart, and delivery of an executed counterpart signature page by facsimile or other form of electronic transmission shall be as effective as executing and delivering this Ninth Amendment in the presence of the other parties to this Ninth Amendment.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executed this Ninth Amendment as of its Effective Date.</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52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Vericel Corporation</w:t>
            </w:r>
          </w:p>
        </w:tc>
        <w:tc>
          <w:tcPr>
            <w:tcW w:w="5980" w:type="dxa"/>
            <w:vAlign w:val="bottom"/>
            <w:gridSpan w:val="2"/>
          </w:tcPr>
          <w:p>
            <w:pPr>
              <w:ind w:left="1120"/>
              <w:spacing w:after="0"/>
              <w:rPr>
                <w:sz w:val="20"/>
                <w:szCs w:val="20"/>
                <w:color w:val="auto"/>
              </w:rPr>
            </w:pPr>
            <w:r>
              <w:rPr>
                <w:rFonts w:ascii="Times New Roman" w:cs="Times New Roman" w:eastAsia="Times New Roman" w:hAnsi="Times New Roman"/>
                <w:sz w:val="21"/>
                <w:szCs w:val="21"/>
                <w:b w:val="1"/>
                <w:bCs w:val="1"/>
                <w:color w:val="auto"/>
              </w:rPr>
              <w:t>Orsini Pharmaceutical Services, Inc.</w:t>
            </w:r>
          </w:p>
        </w:tc>
      </w:tr>
      <w:tr>
        <w:trPr>
          <w:trHeight w:val="278"/>
        </w:trPr>
        <w:tc>
          <w:tcPr>
            <w:tcW w:w="100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Joe Mara</w:t>
            </w:r>
          </w:p>
        </w:tc>
        <w:tc>
          <w:tcPr>
            <w:tcW w:w="2420" w:type="dxa"/>
            <w:vAlign w:val="bottom"/>
          </w:tcPr>
          <w:p>
            <w:pPr>
              <w:ind w:left="1120"/>
              <w:spacing w:after="0"/>
              <w:rPr>
                <w:sz w:val="20"/>
                <w:szCs w:val="20"/>
                <w:color w:val="auto"/>
              </w:rPr>
            </w:pPr>
            <w:r>
              <w:rPr>
                <w:rFonts w:ascii="Times New Roman" w:cs="Times New Roman" w:eastAsia="Times New Roman" w:hAnsi="Times New Roman"/>
                <w:sz w:val="21"/>
                <w:szCs w:val="21"/>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Brandon Tom</w:t>
            </w:r>
          </w:p>
        </w:tc>
      </w:tr>
      <w:tr>
        <w:trPr>
          <w:trHeight w:val="249"/>
        </w:trPr>
        <w:tc>
          <w:tcPr>
            <w:tcW w:w="100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2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Joe Mara</w:t>
            </w:r>
          </w:p>
        </w:tc>
        <w:tc>
          <w:tcPr>
            <w:tcW w:w="2420" w:type="dxa"/>
            <w:vAlign w:val="bottom"/>
          </w:tcPr>
          <w:p>
            <w:pPr>
              <w:ind w:left="1120"/>
              <w:spacing w:after="0"/>
              <w:rPr>
                <w:sz w:val="20"/>
                <w:szCs w:val="20"/>
                <w:color w:val="auto"/>
              </w:rPr>
            </w:pPr>
            <w:r>
              <w:rPr>
                <w:rFonts w:ascii="Times New Roman" w:cs="Times New Roman" w:eastAsia="Times New Roman" w:hAnsi="Times New Roman"/>
                <w:sz w:val="21"/>
                <w:szCs w:val="21"/>
                <w:color w:val="auto"/>
              </w:rPr>
              <w:t>Name:</w:t>
            </w:r>
          </w:p>
        </w:tc>
        <w:tc>
          <w:tcPr>
            <w:tcW w:w="35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Brandon Tom</w:t>
            </w:r>
          </w:p>
        </w:tc>
      </w:tr>
      <w:tr>
        <w:trPr>
          <w:trHeight w:val="267"/>
        </w:trPr>
        <w:tc>
          <w:tcPr>
            <w:tcW w:w="100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2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Chief Financial Officer</w:t>
            </w:r>
          </w:p>
        </w:tc>
        <w:tc>
          <w:tcPr>
            <w:tcW w:w="2420" w:type="dxa"/>
            <w:vAlign w:val="bottom"/>
          </w:tcPr>
          <w:p>
            <w:pPr>
              <w:ind w:left="1120"/>
              <w:spacing w:after="0"/>
              <w:rPr>
                <w:sz w:val="20"/>
                <w:szCs w:val="20"/>
                <w:color w:val="auto"/>
              </w:rPr>
            </w:pPr>
            <w:r>
              <w:rPr>
                <w:rFonts w:ascii="Times New Roman" w:cs="Times New Roman" w:eastAsia="Times New Roman" w:hAnsi="Times New Roman"/>
                <w:sz w:val="21"/>
                <w:szCs w:val="21"/>
                <w:color w:val="auto"/>
              </w:rPr>
              <w:t>Title:</w:t>
            </w:r>
          </w:p>
        </w:tc>
        <w:tc>
          <w:tcPr>
            <w:tcW w:w="35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President, CEO</w:t>
            </w:r>
          </w:p>
        </w:tc>
      </w:tr>
      <w:tr>
        <w:trPr>
          <w:trHeight w:val="278"/>
        </w:trPr>
        <w:tc>
          <w:tcPr>
            <w:tcW w:w="100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42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15-May-2024</w:t>
            </w:r>
          </w:p>
        </w:tc>
        <w:tc>
          <w:tcPr>
            <w:tcW w:w="2420" w:type="dxa"/>
            <w:vAlign w:val="bottom"/>
          </w:tcPr>
          <w:p>
            <w:pPr>
              <w:ind w:left="1120"/>
              <w:spacing w:after="0"/>
              <w:rPr>
                <w:sz w:val="20"/>
                <w:szCs w:val="20"/>
                <w:color w:val="auto"/>
              </w:rPr>
            </w:pPr>
            <w:r>
              <w:rPr>
                <w:rFonts w:ascii="Times New Roman" w:cs="Times New Roman" w:eastAsia="Times New Roman" w:hAnsi="Times New Roman"/>
                <w:sz w:val="21"/>
                <w:szCs w:val="21"/>
                <w:color w:val="auto"/>
              </w:rPr>
              <w:t>Date:</w:t>
            </w:r>
          </w:p>
        </w:tc>
        <w:tc>
          <w:tcPr>
            <w:tcW w:w="35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09-May-2024</w:t>
            </w:r>
          </w:p>
        </w:tc>
      </w:tr>
    </w:tbl>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1"/>
          <w:szCs w:val="21"/>
          <w:b w:val="1"/>
          <w:bCs w:val="1"/>
          <w:color w:val="auto"/>
        </w:rPr>
        <w:t>VERICEL CORPORATION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STATEMENT OF COMPANY POLICY ON INSIDER TRADING AND DISCLOSURE</w:t>
      </w:r>
    </w:p>
    <w:p>
      <w:pPr>
        <w:spacing w:after="0" w:line="200" w:lineRule="exact"/>
        <w:rPr>
          <w:sz w:val="20"/>
          <w:szCs w:val="20"/>
          <w:color w:val="auto"/>
        </w:rPr>
      </w:pPr>
    </w:p>
    <w:p>
      <w:pPr>
        <w:spacing w:after="0" w:line="296" w:lineRule="exact"/>
        <w:rPr>
          <w:sz w:val="20"/>
          <w:szCs w:val="20"/>
          <w:color w:val="auto"/>
        </w:rPr>
      </w:pPr>
    </w:p>
    <w:p>
      <w:pPr>
        <w:ind w:right="40" w:firstLine="640"/>
        <w:spacing w:after="0" w:line="264" w:lineRule="auto"/>
        <w:rPr>
          <w:sz w:val="20"/>
          <w:szCs w:val="20"/>
          <w:color w:val="auto"/>
        </w:rPr>
      </w:pPr>
      <w:r>
        <w:rPr>
          <w:rFonts w:ascii="Times New Roman" w:cs="Times New Roman" w:eastAsia="Times New Roman" w:hAnsi="Times New Roman"/>
          <w:sz w:val="21"/>
          <w:szCs w:val="21"/>
          <w:color w:val="auto"/>
        </w:rPr>
        <w:t>This Statement of Company Policy on Insider Trading and Disclosure (the “Insider Trading Policy”) sets forth the policy of Vericel Corporation and its subsidiaries (collectively, the “Company”) regarding trading in the Company’s securities as described below and the disclosure of information concerning the Company. This Insider Trading Policy is designed to prevent insider trading or the appearance of impropriety, to satisfy the Company’s obligation to reasonably supervise the activities of Vericel personnel, and to help Company personnel avoid the severe consequences associated with violations of insider trading laws.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Company has designated Sean C. Flynn, the Company’s General Counsel and Corporate Secretary, as its insider</w:t>
      </w:r>
    </w:p>
    <w:p>
      <w:pPr>
        <w:spacing w:after="0" w:line="3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1"/>
          <w:szCs w:val="21"/>
          <w:color w:val="auto"/>
        </w:rPr>
        <w:t xml:space="preserve">trading compliance officer (the “Insider Trading Compliance Officer”). </w:t>
      </w:r>
      <w:r>
        <w:rPr>
          <w:rFonts w:ascii="Times New Roman" w:cs="Times New Roman" w:eastAsia="Times New Roman" w:hAnsi="Times New Roman"/>
          <w:sz w:val="21"/>
          <w:szCs w:val="21"/>
          <w:b w:val="1"/>
          <w:bCs w:val="1"/>
          <w:color w:val="auto"/>
        </w:rPr>
        <w:t>It is every director’s, officer’s and employee’s obligation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to understand and comply with this Insider Trading Policy. </w:t>
      </w:r>
      <w:r>
        <w:rPr>
          <w:rFonts w:ascii="Times New Roman" w:cs="Times New Roman" w:eastAsia="Times New Roman" w:hAnsi="Times New Roman"/>
          <w:sz w:val="21"/>
          <w:szCs w:val="21"/>
          <w:color w:val="auto"/>
        </w:rPr>
        <w:t>Please contact the Insider Trading Compliance Officer if you have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questions regarding the policy.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 To Whom does this Insider Trading Policy Apply?</w:t>
      </w:r>
    </w:p>
    <w:p>
      <w:pPr>
        <w:spacing w:after="0" w:line="258" w:lineRule="exact"/>
        <w:rPr>
          <w:sz w:val="20"/>
          <w:szCs w:val="20"/>
          <w:color w:val="auto"/>
        </w:rPr>
      </w:pPr>
    </w:p>
    <w:p>
      <w:pPr>
        <w:ind w:right="20" w:firstLine="640"/>
        <w:spacing w:after="0" w:line="258" w:lineRule="auto"/>
        <w:rPr>
          <w:sz w:val="20"/>
          <w:szCs w:val="20"/>
          <w:color w:val="auto"/>
        </w:rPr>
      </w:pPr>
      <w:r>
        <w:rPr>
          <w:rFonts w:ascii="Times New Roman" w:cs="Times New Roman" w:eastAsia="Times New Roman" w:hAnsi="Times New Roman"/>
          <w:sz w:val="21"/>
          <w:szCs w:val="21"/>
          <w:color w:val="auto"/>
        </w:rPr>
        <w:t>This Insider Trading Policy is applicable to the Company’s directors, officers and employees (“Vericel Personnel”), and continues to apply following the termination of any such individual’s service to or employment with the Company until the later of: (1) the completion of the second trading day following the public release of earnings for the fiscal quarter in which such Vericel Personnel leaves the Company; or (2) the completion of the second trading day after any material, nonpublic information known to Vericel Personnel has become public or is no longer material. The same restrictions that apply to Vericel Personnel also apply to their spouse, significant other, child, parent or other family member living in the same household, or who do not live in the same household but whose transactions in the Company’s securities are directed by them or subject to their influence or control, and to any investment fund, trust, retirement plan, partnership, corporation or other entity over which Vericel Personnel have the ability to influence or direct investment decisions concerning securities (“Affiliated Persons”). All Vericel Personnel are responsible for ensuring compliance with this Insider Trading Policy by all such Affiliated Persons.</w:t>
      </w:r>
    </w:p>
    <w:p>
      <w:pPr>
        <w:spacing w:after="0" w:line="206" w:lineRule="exact"/>
        <w:rPr>
          <w:sz w:val="20"/>
          <w:szCs w:val="20"/>
          <w:color w:val="auto"/>
        </w:rPr>
      </w:pPr>
    </w:p>
    <w:p>
      <w:pPr>
        <w:ind w:right="60" w:firstLine="640"/>
        <w:spacing w:after="0" w:line="261" w:lineRule="auto"/>
        <w:rPr>
          <w:sz w:val="20"/>
          <w:szCs w:val="20"/>
          <w:color w:val="auto"/>
        </w:rPr>
      </w:pPr>
      <w:r>
        <w:rPr>
          <w:rFonts w:ascii="Times New Roman" w:cs="Times New Roman" w:eastAsia="Times New Roman" w:hAnsi="Times New Roman"/>
          <w:sz w:val="21"/>
          <w:szCs w:val="21"/>
          <w:color w:val="auto"/>
        </w:rPr>
        <w:t>All members of the Board of Directors and certain designated officers and employees also must comply with the Company’s Special Trading Procedures for Insiders (the “Trading Procedures”), which supplement and shall be deemed a part of this Insider Trading Policy. Generally, the Trading Procedures establish trading windows outside of which the persons covered by the Trading Procedures will be restricted from trading in the Company’s securities and also require the pre-clearance of all transactions in the Company’s securities by such persons. Vericel Personnel will be notified if they are required to comply with the Company’s Trading Procedures.</w:t>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B. What is Prohibited by this Insider Trading Policy?</w:t>
      </w:r>
    </w:p>
    <w:p>
      <w:pPr>
        <w:spacing w:after="0" w:line="258" w:lineRule="exact"/>
        <w:rPr>
          <w:sz w:val="20"/>
          <w:szCs w:val="20"/>
          <w:color w:val="auto"/>
        </w:rPr>
      </w:pPr>
    </w:p>
    <w:p>
      <w:pPr>
        <w:ind w:right="20" w:firstLine="640"/>
        <w:spacing w:after="0" w:line="268" w:lineRule="auto"/>
        <w:rPr>
          <w:sz w:val="20"/>
          <w:szCs w:val="20"/>
          <w:color w:val="auto"/>
        </w:rPr>
      </w:pPr>
      <w:r>
        <w:rPr>
          <w:rFonts w:ascii="Times New Roman" w:cs="Times New Roman" w:eastAsia="Times New Roman" w:hAnsi="Times New Roman"/>
          <w:sz w:val="21"/>
          <w:szCs w:val="21"/>
          <w:color w:val="auto"/>
        </w:rPr>
        <w:t>It is generally illegal for any Vericel Personnel to trade in the securities of the Company while in the possession of material, nonpublic information about the Company. It is also generally illegal for any Vericel Personnel to disclose material, nonpublic information about the Company to others who may trade on the basis of that information. These illegal activities are commonly referred to as “</w:t>
      </w:r>
      <w:r>
        <w:rPr>
          <w:rFonts w:ascii="Times New Roman" w:cs="Times New Roman" w:eastAsia="Times New Roman" w:hAnsi="Times New Roman"/>
          <w:sz w:val="21"/>
          <w:szCs w:val="21"/>
          <w:i w:val="1"/>
          <w:iCs w:val="1"/>
          <w:color w:val="auto"/>
        </w:rPr>
        <w:t>insider trading</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Prohibited Activities</w:t>
      </w:r>
    </w:p>
    <w:p>
      <w:pPr>
        <w:spacing w:after="0" w:line="256" w:lineRule="exact"/>
        <w:rPr>
          <w:sz w:val="20"/>
          <w:szCs w:val="20"/>
          <w:color w:val="auto"/>
        </w:rPr>
      </w:pPr>
    </w:p>
    <w:p>
      <w:pPr>
        <w:ind w:right="20" w:firstLine="640"/>
        <w:spacing w:after="0" w:line="288" w:lineRule="auto"/>
        <w:rPr>
          <w:sz w:val="20"/>
          <w:szCs w:val="20"/>
          <w:color w:val="auto"/>
        </w:rPr>
      </w:pPr>
      <w:r>
        <w:rPr>
          <w:rFonts w:ascii="Times New Roman" w:cs="Times New Roman" w:eastAsia="Times New Roman" w:hAnsi="Times New Roman"/>
          <w:sz w:val="21"/>
          <w:szCs w:val="21"/>
          <w:color w:val="auto"/>
        </w:rPr>
        <w:t>When Vericel Personnel know or are in possession of material, nonpublic information about the Company, whether positive or negative, they are prohibited from the following activities:</w:t>
      </w:r>
    </w:p>
    <w:p>
      <w:pPr>
        <w:spacing w:after="0" w:line="181" w:lineRule="exact"/>
        <w:rPr>
          <w:sz w:val="20"/>
          <w:szCs w:val="20"/>
          <w:color w:val="auto"/>
        </w:rPr>
      </w:pPr>
    </w:p>
    <w:p>
      <w:pPr>
        <w:ind w:left="640" w:right="40" w:hanging="313"/>
        <w:spacing w:after="0" w:line="259" w:lineRule="auto"/>
        <w:tabs>
          <w:tab w:leader="none" w:pos="635" w:val="left"/>
        </w:tabs>
        <w:numPr>
          <w:ilvl w:val="0"/>
          <w:numId w:val="54"/>
        </w:numPr>
        <w:rPr>
          <w:rFonts w:ascii="Arial" w:cs="Arial" w:eastAsia="Arial" w:hAnsi="Arial"/>
          <w:sz w:val="21"/>
          <w:szCs w:val="21"/>
          <w:color w:val="auto"/>
        </w:rPr>
      </w:pPr>
      <w:r>
        <w:rPr>
          <w:rFonts w:ascii="Times New Roman" w:cs="Times New Roman" w:eastAsia="Times New Roman" w:hAnsi="Times New Roman"/>
          <w:sz w:val="21"/>
          <w:szCs w:val="21"/>
          <w:color w:val="auto"/>
        </w:rPr>
        <w:t>Trading (whether for their account or for the account of another) in the Company’s securities, which includes common stock, options to purchase common stock, any other type of securities that the Company may issue (such as preferred stock, convertible debentures, warrants, or exchange-traded options), except for trades made in compliance with the affirmative defense of Rule 10b5-1 under the Exchange Act, such as when trades are made pursuant to a pre-approved written plan that was adopted, or trading instructions that were given, before they knew or had possession of such material, nonpublic information and certain other conditions were satisfied;</w:t>
      </w:r>
    </w:p>
    <w:p>
      <w:pPr>
        <w:spacing w:after="0" w:line="23" w:lineRule="exact"/>
        <w:rPr>
          <w:rFonts w:ascii="Arial" w:cs="Arial" w:eastAsia="Arial" w:hAnsi="Arial"/>
          <w:sz w:val="21"/>
          <w:szCs w:val="21"/>
          <w:color w:val="auto"/>
        </w:rPr>
      </w:pPr>
    </w:p>
    <w:p>
      <w:pPr>
        <w:ind w:left="640" w:hanging="313"/>
        <w:spacing w:after="0"/>
        <w:tabs>
          <w:tab w:leader="none" w:pos="64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having others trade for them in the Company’s securities;</w:t>
      </w:r>
    </w:p>
    <w:p>
      <w:pPr>
        <w:spacing w:after="0" w:line="65" w:lineRule="exact"/>
        <w:rPr>
          <w:rFonts w:ascii="Times New Roman" w:cs="Times New Roman" w:eastAsia="Times New Roman" w:hAnsi="Times New Roman"/>
          <w:sz w:val="21"/>
          <w:szCs w:val="21"/>
          <w:color w:val="auto"/>
        </w:rPr>
      </w:pPr>
    </w:p>
    <w:p>
      <w:pPr>
        <w:ind w:left="640" w:right="160" w:hanging="313"/>
        <w:spacing w:after="0" w:line="276" w:lineRule="auto"/>
        <w:tabs>
          <w:tab w:leader="none" w:pos="635"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giving trading advice of any kind about the Company except that they should, when appropriate, advise others not to trade if doing so might violate the law or this Insider Trading Policy; and</w:t>
      </w:r>
    </w:p>
    <w:p>
      <w:pPr>
        <w:ind w:left="640" w:hanging="313"/>
        <w:spacing w:after="0"/>
        <w:tabs>
          <w:tab w:leader="none" w:pos="64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disclosing any material, nonpublic information about the Company, whether positive or negative (known as “</w:t>
      </w:r>
      <w:r>
        <w:rPr>
          <w:rFonts w:ascii="Times New Roman" w:cs="Times New Roman" w:eastAsia="Times New Roman" w:hAnsi="Times New Roman"/>
          <w:sz w:val="21"/>
          <w:szCs w:val="21"/>
          <w:i w:val="1"/>
          <w:iCs w:val="1"/>
          <w:color w:val="auto"/>
        </w:rPr>
        <w:t>tipping</w:t>
      </w:r>
      <w:r>
        <w:rPr>
          <w:rFonts w:ascii="Times New Roman" w:cs="Times New Roman" w:eastAsia="Times New Roman" w:hAnsi="Times New Roman"/>
          <w:sz w:val="21"/>
          <w:szCs w:val="2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noted above, these prohibitions also apply to any Affiliated Persons.</w:t>
      </w:r>
    </w:p>
    <w:p>
      <w:pPr>
        <w:spacing w:after="0" w:line="266" w:lineRule="exact"/>
        <w:rPr>
          <w:sz w:val="20"/>
          <w:szCs w:val="20"/>
          <w:color w:val="auto"/>
        </w:rPr>
      </w:pPr>
    </w:p>
    <w:p>
      <w:pPr>
        <w:ind w:right="120" w:firstLine="640"/>
        <w:spacing w:after="0" w:line="261" w:lineRule="auto"/>
        <w:rPr>
          <w:sz w:val="20"/>
          <w:szCs w:val="20"/>
          <w:color w:val="auto"/>
        </w:rPr>
      </w:pPr>
      <w:r>
        <w:rPr>
          <w:rFonts w:ascii="Times New Roman" w:cs="Times New Roman" w:eastAsia="Times New Roman" w:hAnsi="Times New Roman"/>
          <w:sz w:val="21"/>
          <w:szCs w:val="21"/>
          <w:color w:val="auto"/>
        </w:rPr>
        <w:t>The prohibition against trading while in possession of material, nonpublic information about the Company does not apply to periodic wage withholding contributions by the Company or employees of the Company which are used to purchase the Company’s securities pursuant to the employees’ advance instructions under the Company’s 2015 Employee Stock Purchase Plan. However, no employee may: (a) elect to participate in the plan or alter his or her instructions regarding the level of withholding or purchase by the employee of Company securities under such plan or (b) make cash contributions to such plan (other than through periodic wage withholding) while in possession of material, non-public information about the Company.</w:t>
      </w:r>
    </w:p>
    <w:p>
      <w:pPr>
        <w:spacing w:after="0" w:line="199" w:lineRule="exact"/>
        <w:rPr>
          <w:sz w:val="20"/>
          <w:szCs w:val="20"/>
          <w:color w:val="auto"/>
        </w:rPr>
      </w:pPr>
    </w:p>
    <w:p>
      <w:pPr>
        <w:ind w:right="300" w:firstLine="640"/>
        <w:spacing w:after="0" w:line="270" w:lineRule="auto"/>
        <w:rPr>
          <w:sz w:val="20"/>
          <w:szCs w:val="20"/>
          <w:color w:val="auto"/>
        </w:rPr>
      </w:pPr>
      <w:r>
        <w:rPr>
          <w:rFonts w:ascii="Times New Roman" w:cs="Times New Roman" w:eastAsia="Times New Roman" w:hAnsi="Times New Roman"/>
          <w:sz w:val="21"/>
          <w:szCs w:val="21"/>
          <w:color w:val="auto"/>
        </w:rPr>
        <w:t>Additionally, this Insider Trading Policy does not apply to (1) an exercise of an employee stock option when payment of the exercise price is made in cash or (2) the withholding by the Company of shares of stock upon vesting of restricted stock or upon settlement of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21"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1"/>
          <w:szCs w:val="21"/>
          <w:color w:val="auto"/>
        </w:rPr>
        <w:t>stock units to satisfy applicable tax withholding requirements if (a) such withholding is required by the applicable plan or award agreement or (b) the election to exercise such tax withholding right was made by the employee in compliance with this Insider Trading Policy and the Trading Procedures, if applicable. The policy does apply, however, to the use of outstanding Company securities to constitute part or all of the exercise price of such option, any sale of stock as part of a broker-assisted cashless exercise of such option, or any other market sale for the purpose of generating the cash needed to pay the exercise price of such option.</w:t>
      </w:r>
    </w:p>
    <w:p>
      <w:pPr>
        <w:spacing w:after="0" w:line="193" w:lineRule="exact"/>
        <w:rPr>
          <w:sz w:val="20"/>
          <w:szCs w:val="20"/>
          <w:color w:val="auto"/>
        </w:rPr>
      </w:pPr>
    </w:p>
    <w:p>
      <w:pPr>
        <w:ind w:firstLine="640"/>
        <w:spacing w:after="0" w:line="268" w:lineRule="auto"/>
        <w:rPr>
          <w:sz w:val="20"/>
          <w:szCs w:val="20"/>
          <w:color w:val="auto"/>
        </w:rPr>
      </w:pPr>
      <w:r>
        <w:rPr>
          <w:rFonts w:ascii="Times New Roman" w:cs="Times New Roman" w:eastAsia="Times New Roman" w:hAnsi="Times New Roman"/>
          <w:sz w:val="21"/>
          <w:szCs w:val="21"/>
          <w:color w:val="auto"/>
        </w:rPr>
        <w:t>These prohibitions continue whenever and for as long as Vericel Personnel know or are in possession of material, nonpublic information. Anyone scrutinizing such individual’s transactions will be doing so after the fact, with the benefit of hindsight. As a practical matter, before engaging in any transaction, all Vericel Personnel should carefully consider how enforcement authorities and others might view the transaction in hindsight.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Definition of Material, Nonpublic Information</w:t>
      </w:r>
    </w:p>
    <w:p>
      <w:pPr>
        <w:spacing w:after="0" w:line="256" w:lineRule="exact"/>
        <w:rPr>
          <w:sz w:val="20"/>
          <w:szCs w:val="20"/>
          <w:color w:val="auto"/>
        </w:rPr>
      </w:pPr>
    </w:p>
    <w:p>
      <w:pPr>
        <w:ind w:firstLine="640"/>
        <w:spacing w:after="0" w:line="264" w:lineRule="auto"/>
        <w:rPr>
          <w:sz w:val="20"/>
          <w:szCs w:val="20"/>
          <w:color w:val="auto"/>
        </w:rPr>
      </w:pPr>
      <w:r>
        <w:rPr>
          <w:rFonts w:ascii="Times New Roman" w:cs="Times New Roman" w:eastAsia="Times New Roman" w:hAnsi="Times New Roman"/>
          <w:sz w:val="21"/>
          <w:szCs w:val="21"/>
          <w:color w:val="auto"/>
        </w:rPr>
        <w:t>This Insider Trading Policy prohibits Vericel Personnel from trading in the Company’s securities if they are in possession of information about the Company that is both “</w:t>
      </w:r>
      <w:r>
        <w:rPr>
          <w:rFonts w:ascii="Times New Roman" w:cs="Times New Roman" w:eastAsia="Times New Roman" w:hAnsi="Times New Roman"/>
          <w:sz w:val="21"/>
          <w:szCs w:val="21"/>
          <w:i w:val="1"/>
          <w:iCs w:val="1"/>
          <w:color w:val="auto"/>
        </w:rPr>
        <w:t>material</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i w:val="1"/>
          <w:iCs w:val="1"/>
          <w:color w:val="auto"/>
        </w:rPr>
        <w:t>nonpublic</w:t>
      </w:r>
      <w:r>
        <w:rPr>
          <w:rFonts w:ascii="Times New Roman" w:cs="Times New Roman" w:eastAsia="Times New Roman" w:hAnsi="Times New Roman"/>
          <w:sz w:val="21"/>
          <w:szCs w:val="21"/>
          <w:color w:val="auto"/>
        </w:rPr>
        <w:t>.” If any Vericel Personnel have a question whether certain information they are aware of is material or is not public, they are encouraged to consult with the Insider Trading Compliance Officer.</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i w:val="1"/>
          <w:iCs w:val="1"/>
          <w:color w:val="auto"/>
        </w:rPr>
        <w:t>What is “Material” Information?</w:t>
      </w:r>
    </w:p>
    <w:p>
      <w:pPr>
        <w:spacing w:after="0" w:line="258" w:lineRule="exact"/>
        <w:rPr>
          <w:sz w:val="20"/>
          <w:szCs w:val="20"/>
          <w:color w:val="auto"/>
        </w:rPr>
      </w:pPr>
    </w:p>
    <w:p>
      <w:pPr>
        <w:ind w:right="40" w:firstLine="640"/>
        <w:spacing w:after="0" w:line="261" w:lineRule="auto"/>
        <w:rPr>
          <w:sz w:val="20"/>
          <w:szCs w:val="20"/>
          <w:color w:val="auto"/>
        </w:rPr>
      </w:pPr>
      <w:r>
        <w:rPr>
          <w:rFonts w:ascii="Times New Roman" w:cs="Times New Roman" w:eastAsia="Times New Roman" w:hAnsi="Times New Roman"/>
          <w:sz w:val="21"/>
          <w:szCs w:val="21"/>
          <w:color w:val="auto"/>
        </w:rPr>
        <w:t>Information about the Company is “material” if it could reasonably be expected to affect the investment or voting decisions of a stockholder or investor, or if the disclosure of the information could reasonably be expected to significantly alter the total mix of information in the marketplace about the Company. 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items are types of information that should be considered carefully to determine whether they are material:</w:t>
      </w:r>
    </w:p>
    <w:p>
      <w:pPr>
        <w:spacing w:after="0" w:line="199" w:lineRule="exact"/>
        <w:rPr>
          <w:sz w:val="20"/>
          <w:szCs w:val="20"/>
          <w:color w:val="auto"/>
        </w:rPr>
      </w:pPr>
    </w:p>
    <w:p>
      <w:pPr>
        <w:ind w:left="640" w:hanging="313"/>
        <w:spacing w:after="0"/>
        <w:tabs>
          <w:tab w:leader="none" w:pos="640" w:val="left"/>
        </w:tabs>
        <w:numPr>
          <w:ilvl w:val="0"/>
          <w:numId w:val="55"/>
        </w:numPr>
        <w:rPr>
          <w:rFonts w:ascii="Arial" w:cs="Arial" w:eastAsia="Arial" w:hAnsi="Arial"/>
          <w:sz w:val="21"/>
          <w:szCs w:val="21"/>
          <w:color w:val="auto"/>
        </w:rPr>
      </w:pPr>
      <w:r>
        <w:rPr>
          <w:rFonts w:ascii="Times New Roman" w:cs="Times New Roman" w:eastAsia="Times New Roman" w:hAnsi="Times New Roman"/>
          <w:sz w:val="21"/>
          <w:szCs w:val="21"/>
          <w:color w:val="auto"/>
        </w:rPr>
        <w:t>projections of future earnings or losses, or other earnings guidance;</w:t>
      </w:r>
    </w:p>
    <w:p>
      <w:pPr>
        <w:spacing w:after="0" w:line="64" w:lineRule="exact"/>
        <w:rPr>
          <w:rFonts w:ascii="Arial" w:cs="Arial" w:eastAsia="Arial" w:hAnsi="Arial"/>
          <w:sz w:val="21"/>
          <w:szCs w:val="21"/>
          <w:color w:val="auto"/>
        </w:rPr>
      </w:pPr>
    </w:p>
    <w:p>
      <w:pPr>
        <w:ind w:left="640" w:right="240" w:hanging="313"/>
        <w:spacing w:after="0" w:line="285" w:lineRule="auto"/>
        <w:tabs>
          <w:tab w:leader="none" w:pos="635"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information related to decisions by regulatory authorities regarding the Company’s products and/or product candidates or other regulatory developments or guidance;</w:t>
      </w:r>
    </w:p>
    <w:p>
      <w:pPr>
        <w:ind w:left="640" w:right="80" w:hanging="313"/>
        <w:spacing w:after="0" w:line="278" w:lineRule="auto"/>
        <w:tabs>
          <w:tab w:leader="none" w:pos="635"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results of clinical trials, collaborations, licenses or matters related to the status of clinical trials (e.g., enrollment), including the timing of such announcements;</w:t>
      </w:r>
    </w:p>
    <w:p>
      <w:pPr>
        <w:ind w:left="640" w:hanging="313"/>
        <w:spacing w:after="0"/>
        <w:tabs>
          <w:tab w:leader="none" w:pos="64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earnings or revenue that are inconsistent with the consensus expectations of the investment community;</w:t>
      </w:r>
    </w:p>
    <w:p>
      <w:pPr>
        <w:spacing w:after="0" w:line="65" w:lineRule="exact"/>
        <w:rPr>
          <w:rFonts w:ascii="Times New Roman" w:cs="Times New Roman" w:eastAsia="Times New Roman" w:hAnsi="Times New Roman"/>
          <w:sz w:val="21"/>
          <w:szCs w:val="21"/>
          <w:color w:val="auto"/>
        </w:rPr>
      </w:pPr>
    </w:p>
    <w:p>
      <w:pPr>
        <w:ind w:left="640" w:hanging="313"/>
        <w:spacing w:after="0"/>
        <w:tabs>
          <w:tab w:leader="none" w:pos="64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results of a completed period;</w:t>
      </w:r>
    </w:p>
    <w:p>
      <w:pPr>
        <w:spacing w:after="0" w:line="65" w:lineRule="exact"/>
        <w:rPr>
          <w:rFonts w:ascii="Times New Roman" w:cs="Times New Roman" w:eastAsia="Times New Roman" w:hAnsi="Times New Roman"/>
          <w:sz w:val="21"/>
          <w:szCs w:val="21"/>
          <w:color w:val="auto"/>
        </w:rPr>
      </w:pPr>
    </w:p>
    <w:p>
      <w:pPr>
        <w:ind w:left="640" w:right="160" w:hanging="313"/>
        <w:spacing w:after="0" w:line="288" w:lineRule="auto"/>
        <w:tabs>
          <w:tab w:leader="none" w:pos="635"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potential restatements of the Company’s financial statements, changes in auditors or auditor notification that the Company may no longer rely on an auditor’s audit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21"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0" w:hanging="313"/>
        <w:spacing w:after="0"/>
        <w:tabs>
          <w:tab w:leader="none" w:pos="6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substantial changes in the Company’s accounting methods or policies;</w:t>
      </w:r>
    </w:p>
    <w:p>
      <w:pPr>
        <w:spacing w:after="0" w:line="65" w:lineRule="exact"/>
        <w:rPr>
          <w:rFonts w:ascii="Times New Roman" w:cs="Times New Roman" w:eastAsia="Times New Roman" w:hAnsi="Times New Roman"/>
          <w:sz w:val="21"/>
          <w:szCs w:val="21"/>
          <w:color w:val="auto"/>
        </w:rPr>
      </w:pPr>
    </w:p>
    <w:p>
      <w:pPr>
        <w:ind w:left="640" w:hanging="313"/>
        <w:spacing w:after="0"/>
        <w:tabs>
          <w:tab w:leader="none" w:pos="6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expansion or curtailment of significant operations;</w:t>
      </w:r>
    </w:p>
    <w:p>
      <w:pPr>
        <w:spacing w:after="0" w:line="65" w:lineRule="exact"/>
        <w:rPr>
          <w:rFonts w:ascii="Times New Roman" w:cs="Times New Roman" w:eastAsia="Times New Roman" w:hAnsi="Times New Roman"/>
          <w:sz w:val="21"/>
          <w:szCs w:val="21"/>
          <w:color w:val="auto"/>
        </w:rPr>
      </w:pPr>
    </w:p>
    <w:p>
      <w:pPr>
        <w:ind w:left="640" w:hanging="313"/>
        <w:spacing w:after="0"/>
        <w:tabs>
          <w:tab w:leader="none" w:pos="6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substantial changes in reimbursement practices;</w:t>
      </w:r>
    </w:p>
    <w:p>
      <w:pPr>
        <w:spacing w:after="0" w:line="78" w:lineRule="exact"/>
        <w:rPr>
          <w:rFonts w:ascii="Times New Roman" w:cs="Times New Roman" w:eastAsia="Times New Roman" w:hAnsi="Times New Roman"/>
          <w:sz w:val="21"/>
          <w:szCs w:val="21"/>
          <w:color w:val="auto"/>
        </w:rPr>
      </w:pPr>
    </w:p>
    <w:p>
      <w:pPr>
        <w:ind w:left="640" w:hanging="313"/>
        <w:spacing w:after="0"/>
        <w:tabs>
          <w:tab w:leader="none" w:pos="6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pending or proposed mergers, acquisitions, tender offers, joint ventures or dispositions of significant assets;</w:t>
      </w:r>
    </w:p>
    <w:p>
      <w:pPr>
        <w:spacing w:after="0" w:line="65" w:lineRule="exact"/>
        <w:rPr>
          <w:rFonts w:ascii="Times New Roman" w:cs="Times New Roman" w:eastAsia="Times New Roman" w:hAnsi="Times New Roman"/>
          <w:sz w:val="21"/>
          <w:szCs w:val="21"/>
          <w:color w:val="auto"/>
        </w:rPr>
      </w:pPr>
    </w:p>
    <w:p>
      <w:pPr>
        <w:ind w:left="640" w:hanging="313"/>
        <w:spacing w:after="0"/>
        <w:tabs>
          <w:tab w:leader="none" w:pos="6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management or the Board of Directors;</w:t>
      </w:r>
    </w:p>
    <w:p>
      <w:pPr>
        <w:spacing w:after="0" w:line="65" w:lineRule="exact"/>
        <w:rPr>
          <w:rFonts w:ascii="Times New Roman" w:cs="Times New Roman" w:eastAsia="Times New Roman" w:hAnsi="Times New Roman"/>
          <w:sz w:val="21"/>
          <w:szCs w:val="21"/>
          <w:color w:val="auto"/>
        </w:rPr>
      </w:pPr>
    </w:p>
    <w:p>
      <w:pPr>
        <w:ind w:left="640" w:hanging="313"/>
        <w:spacing w:after="0"/>
        <w:tabs>
          <w:tab w:leader="none" w:pos="6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actual or threatened litigation or governmental investigations or major developments in such matters;</w:t>
      </w:r>
    </w:p>
    <w:p>
      <w:pPr>
        <w:spacing w:after="0" w:line="65" w:lineRule="exact"/>
        <w:rPr>
          <w:rFonts w:ascii="Times New Roman" w:cs="Times New Roman" w:eastAsia="Times New Roman" w:hAnsi="Times New Roman"/>
          <w:sz w:val="21"/>
          <w:szCs w:val="21"/>
          <w:color w:val="auto"/>
        </w:rPr>
      </w:pPr>
    </w:p>
    <w:p>
      <w:pPr>
        <w:ind w:left="640" w:right="340" w:hanging="313"/>
        <w:spacing w:after="0" w:line="285" w:lineRule="auto"/>
        <w:tabs>
          <w:tab w:leader="none" w:pos="635"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developments regarding products and/or product candidates, customers, suppliers, orders, contracts or financing sources (e.g., the acquisition or loss of a contract);</w:t>
      </w:r>
    </w:p>
    <w:p>
      <w:pPr>
        <w:ind w:left="640" w:hanging="313"/>
        <w:spacing w:after="0"/>
        <w:tabs>
          <w:tab w:leader="none" w:pos="6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dividend policy, declarations of stock splits, or public or private sales of additional securities;</w:t>
      </w:r>
    </w:p>
    <w:p>
      <w:pPr>
        <w:spacing w:after="0" w:line="65" w:lineRule="exact"/>
        <w:rPr>
          <w:rFonts w:ascii="Times New Roman" w:cs="Times New Roman" w:eastAsia="Times New Roman" w:hAnsi="Times New Roman"/>
          <w:sz w:val="21"/>
          <w:szCs w:val="21"/>
          <w:color w:val="auto"/>
        </w:rPr>
      </w:pPr>
    </w:p>
    <w:p>
      <w:pPr>
        <w:ind w:left="640" w:right="860" w:hanging="313"/>
        <w:spacing w:after="0" w:line="278" w:lineRule="auto"/>
        <w:tabs>
          <w:tab w:leader="none" w:pos="635"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potential defaults under any credit agreements or indentures of the Company, or the existence of material liquidity deficiencies;</w:t>
      </w:r>
    </w:p>
    <w:p>
      <w:pPr>
        <w:ind w:left="640" w:hanging="313"/>
        <w:spacing w:after="0"/>
        <w:tabs>
          <w:tab w:leader="none" w:pos="6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cybersecurity incidents that materially affect the Company’s products, services, relationships or competitive conditions; and</w:t>
      </w:r>
    </w:p>
    <w:p>
      <w:pPr>
        <w:spacing w:after="0" w:line="65" w:lineRule="exact"/>
        <w:rPr>
          <w:rFonts w:ascii="Times New Roman" w:cs="Times New Roman" w:eastAsia="Times New Roman" w:hAnsi="Times New Roman"/>
          <w:sz w:val="21"/>
          <w:szCs w:val="21"/>
          <w:color w:val="auto"/>
        </w:rPr>
      </w:pPr>
    </w:p>
    <w:p>
      <w:pPr>
        <w:ind w:left="640" w:hanging="313"/>
        <w:spacing w:after="0"/>
        <w:tabs>
          <w:tab w:leader="none" w:pos="6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bankruptcies or receiverships.</w:t>
      </w:r>
    </w:p>
    <w:p>
      <w:pPr>
        <w:spacing w:after="0" w:line="252" w:lineRule="exact"/>
        <w:rPr>
          <w:sz w:val="20"/>
          <w:szCs w:val="20"/>
          <w:color w:val="auto"/>
        </w:rPr>
      </w:pPr>
    </w:p>
    <w:p>
      <w:pPr>
        <w:ind w:right="280" w:firstLine="640"/>
        <w:spacing w:after="0" w:line="276" w:lineRule="auto"/>
        <w:rPr>
          <w:sz w:val="20"/>
          <w:szCs w:val="20"/>
          <w:color w:val="auto"/>
        </w:rPr>
      </w:pPr>
      <w:r>
        <w:rPr>
          <w:rFonts w:ascii="Times New Roman" w:cs="Times New Roman" w:eastAsia="Times New Roman" w:hAnsi="Times New Roman"/>
          <w:sz w:val="21"/>
          <w:szCs w:val="21"/>
          <w:color w:val="auto"/>
        </w:rPr>
        <w:t>The Securities and Exchange Commission (the “SEC”) has stated that there is no fixed quantitative threshold amount for determining materiality, and that even very small quantitative changes can be qualitatively material if they would result in a movement in the price of the Company’s securities.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i w:val="1"/>
          <w:iCs w:val="1"/>
          <w:color w:val="auto"/>
        </w:rPr>
        <w:t>What is “Nonpublic” Information?</w:t>
      </w:r>
    </w:p>
    <w:p>
      <w:pPr>
        <w:spacing w:after="0" w:line="258" w:lineRule="exact"/>
        <w:rPr>
          <w:sz w:val="20"/>
          <w:szCs w:val="20"/>
          <w:color w:val="auto"/>
        </w:rPr>
      </w:pPr>
    </w:p>
    <w:p>
      <w:pPr>
        <w:ind w:right="20" w:firstLine="640"/>
        <w:spacing w:after="0" w:line="259" w:lineRule="auto"/>
        <w:rPr>
          <w:sz w:val="20"/>
          <w:szCs w:val="20"/>
          <w:color w:val="auto"/>
        </w:rPr>
      </w:pPr>
      <w:r>
        <w:rPr>
          <w:rFonts w:ascii="Times New Roman" w:cs="Times New Roman" w:eastAsia="Times New Roman" w:hAnsi="Times New Roman"/>
          <w:sz w:val="21"/>
          <w:szCs w:val="21"/>
          <w:color w:val="auto"/>
        </w:rPr>
        <w:t>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 the distribution of a press release through a widely disseminated news or wire service, or by other means that are reasonably designed to provide broad public access. Before a person who possesses material, nonpublic information can trade, there also must be adequate time for the market as a whole to absorb the information that has been disclosed. For purposes of this Insider Trading Policy, information is considered nonpublic until the completion of the second business day after the day on which the information is publicly announced in a press release. If the information relates to the Company’s financial performance, the information is considered nonpublic until the completion of the second business day after the Company publishes its annual or quarterly earnings report.</w:t>
      </w:r>
    </w:p>
    <w:p>
      <w:pPr>
        <w:spacing w:after="0" w:line="203" w:lineRule="exact"/>
        <w:rPr>
          <w:sz w:val="20"/>
          <w:szCs w:val="20"/>
          <w:color w:val="auto"/>
        </w:rPr>
      </w:pPr>
    </w:p>
    <w:p>
      <w:pPr>
        <w:ind w:right="220" w:firstLine="640"/>
        <w:spacing w:after="0" w:line="264" w:lineRule="auto"/>
        <w:rPr>
          <w:sz w:val="20"/>
          <w:szCs w:val="20"/>
          <w:color w:val="auto"/>
        </w:rPr>
      </w:pPr>
      <w:r>
        <w:rPr>
          <w:rFonts w:ascii="Times New Roman" w:cs="Times New Roman" w:eastAsia="Times New Roman" w:hAnsi="Times New Roman"/>
          <w:sz w:val="21"/>
          <w:szCs w:val="21"/>
          <w:color w:val="auto"/>
        </w:rPr>
        <w:t>For example, if the Company announces material information of which Vericel Personnel are aware before trading begins on a Tuesday, the first time Vericel Personnel can buy or sell Company securities is the opening of the market on Thursday. However, if the Company announces this material information after trading closes on that Tuesday, the first time that Vericel Personnel can buy or sell Company securities is the opening of the market on Friday.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21"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 Are there any Restrictions on the Use of Electronic Bulletin Boards, Internet Chat Rooms or Websites?</w:t>
      </w:r>
    </w:p>
    <w:p>
      <w:pPr>
        <w:spacing w:after="0" w:line="258" w:lineRule="exact"/>
        <w:rPr>
          <w:sz w:val="20"/>
          <w:szCs w:val="20"/>
          <w:color w:val="auto"/>
        </w:rPr>
      </w:pPr>
    </w:p>
    <w:p>
      <w:pPr>
        <w:ind w:right="20" w:firstLine="640"/>
        <w:spacing w:after="0" w:line="259" w:lineRule="auto"/>
        <w:rPr>
          <w:sz w:val="20"/>
          <w:szCs w:val="20"/>
          <w:color w:val="auto"/>
        </w:rPr>
      </w:pPr>
      <w:r>
        <w:rPr>
          <w:rFonts w:ascii="Times New Roman" w:cs="Times New Roman" w:eastAsia="Times New Roman" w:hAnsi="Times New Roman"/>
          <w:sz w:val="21"/>
          <w:szCs w:val="21"/>
          <w:color w:val="auto"/>
        </w:rPr>
        <w:t>While the Company encourages its stockholders and potential investors to obtain as much information as possible about the Company, the Company believes that information should come from its publicly-filed SEC reports, press releases and external website or from a designated Company spokesperson, rather than from speculation or unauthorized disclosures by the Company’s directors, officers or employees. For this reason, the Company has designated certain members of management to respond to inquiries regarding the Company’s business and prospects. This centralization of communication is designed to ensure that the information the Company discloses is accurate and considered in light of previous disclosures. Formal announcements are generally reviewed by management and legal counsel before they are made public. Any communications that do not go through this review process create an increased risk to the Company, as well as to the individual responsible for the communication, of civil and criminal liability.</w:t>
      </w:r>
    </w:p>
    <w:p>
      <w:pPr>
        <w:spacing w:after="0" w:line="203" w:lineRule="exact"/>
        <w:rPr>
          <w:sz w:val="20"/>
          <w:szCs w:val="20"/>
          <w:color w:val="auto"/>
        </w:rPr>
      </w:pPr>
    </w:p>
    <w:p>
      <w:pPr>
        <w:ind w:firstLine="640"/>
        <w:spacing w:after="0" w:line="258" w:lineRule="auto"/>
        <w:rPr>
          <w:sz w:val="20"/>
          <w:szCs w:val="20"/>
          <w:color w:val="auto"/>
        </w:rPr>
      </w:pPr>
      <w:r>
        <w:rPr>
          <w:rFonts w:ascii="Times New Roman" w:cs="Times New Roman" w:eastAsia="Times New Roman" w:hAnsi="Times New Roman"/>
          <w:sz w:val="21"/>
          <w:szCs w:val="21"/>
          <w:color w:val="auto"/>
        </w:rPr>
        <w:t>In addition, on the Internet, and particularly through social media, such as electronic bulletin boards and chat rooms, discussions about companies and their business prospects have become increasingly common. Inappropriate communications disseminated on the Internet may pose an inherently greater risk due to the size of the audience they can reach. These forums have the potential to move a stock price significantly, and very rapidly – yet the information disseminated through the Internet and social media forums often is unreliable, and in some cases, may be deliberately false. The SEC has investigated and prosecuted a number of fraudulent schemes involving communications in these forums. Vericel Personnel may encounter information about the Company on the Internet that they believe is harmful or inaccurate, or other information that they believe is true or beneficial for the Company. Although Vericel Personnel may have a natural tendency to deny or confirm such information, any sort of response, even if it presents accurate information, could be considered improper disclosure and could result in legal liability to Vericel Personnel and/or to the Company.</w:t>
      </w:r>
    </w:p>
    <w:p>
      <w:pPr>
        <w:spacing w:after="0" w:line="206" w:lineRule="exact"/>
        <w:rPr>
          <w:sz w:val="20"/>
          <w:szCs w:val="20"/>
          <w:color w:val="auto"/>
        </w:rPr>
      </w:pPr>
    </w:p>
    <w:p>
      <w:pPr>
        <w:ind w:firstLine="640"/>
        <w:spacing w:after="0" w:line="257" w:lineRule="auto"/>
        <w:rPr>
          <w:sz w:val="20"/>
          <w:szCs w:val="20"/>
          <w:color w:val="auto"/>
        </w:rPr>
      </w:pPr>
      <w:r>
        <w:rPr>
          <w:rFonts w:ascii="Times New Roman" w:cs="Times New Roman" w:eastAsia="Times New Roman" w:hAnsi="Times New Roman"/>
          <w:sz w:val="21"/>
          <w:szCs w:val="21"/>
          <w:color w:val="auto"/>
        </w:rPr>
        <w:t xml:space="preserve">The Company is committed to preventing inadvertent disclosures of material, nonpublic information, preventing unwitting participation in Internet-based securities fraud, and avoiding the appearance of impropriety by persons associated with the Company. Accordingly, this Insider Trading Policy prohibits Vericel Personnel from discussing material, nonpublic information about the Company with anyone, including other employees, except as required in the performance of their duties. Vericel Personnel should not under any circumstances provide information or discuss matters involving the Company with the news media, any broker-dealer, analyst, investment banker, investment advisor, institutional investment manager, investment company or stockholder, even if they are contacted directly by such persons, without express prior authorization. This restriction applies whether or not Vericel Personnel identify themselves as associated with the Company. Vericel Personnel should refer all such contact or inquiries to </w:t>
      </w:r>
      <w:r>
        <w:rPr>
          <w:rFonts w:ascii="Times New Roman" w:cs="Times New Roman" w:eastAsia="Times New Roman" w:hAnsi="Times New Roman"/>
          <w:sz w:val="21"/>
          <w:szCs w:val="21"/>
          <w:b w:val="1"/>
          <w:bCs w:val="1"/>
          <w:color w:val="auto"/>
        </w:rPr>
        <w:t>Dominick Colangelo, President and Chief Executive Officer, or Joe Mara, Chief Financial Officer, c/o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Vericel Corporation, 64 Sidney Street, Cambridge, MA 02139</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640"/>
        <w:spacing w:after="0" w:line="268" w:lineRule="auto"/>
        <w:rPr>
          <w:sz w:val="20"/>
          <w:szCs w:val="20"/>
          <w:color w:val="auto"/>
        </w:rPr>
      </w:pPr>
      <w:r>
        <w:rPr>
          <w:rFonts w:ascii="Times New Roman" w:cs="Times New Roman" w:eastAsia="Times New Roman" w:hAnsi="Times New Roman"/>
          <w:sz w:val="21"/>
          <w:szCs w:val="21"/>
          <w:color w:val="auto"/>
        </w:rPr>
        <w:t>This Insider Trading Policy also prohibits Vericel Personnel from making any comments or postings about the Company on any Internet bulletin boards, via social media, chat rooms or websites, or responding to comments or postings about the Company’s business made by others. This restriction applies whether or not Vericel Personnel identify themselves as associated with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 What are the Penalties for Insider Trading and Noncompliance with this Insider Trading Policy?</w:t>
      </w:r>
    </w:p>
    <w:p>
      <w:pPr>
        <w:spacing w:after="0" w:line="258" w:lineRule="exact"/>
        <w:rPr>
          <w:sz w:val="20"/>
          <w:szCs w:val="20"/>
          <w:color w:val="auto"/>
        </w:rPr>
      </w:pPr>
    </w:p>
    <w:p>
      <w:pPr>
        <w:ind w:right="340" w:firstLine="640"/>
        <w:spacing w:after="0" w:line="268" w:lineRule="auto"/>
        <w:rPr>
          <w:sz w:val="20"/>
          <w:szCs w:val="20"/>
          <w:color w:val="auto"/>
        </w:rPr>
      </w:pPr>
      <w:r>
        <w:rPr>
          <w:rFonts w:ascii="Times New Roman" w:cs="Times New Roman" w:eastAsia="Times New Roman" w:hAnsi="Times New Roman"/>
          <w:sz w:val="21"/>
          <w:szCs w:val="21"/>
          <w:color w:val="auto"/>
        </w:rPr>
        <w:t>Both the SEC and the national securities exchanges, through the Financial Industry Regulatory Authority (FINRA), investigate and are very effective at detecting insider trading. The SEC, together with the U.S. Attorneys, pursue insider trading violations vigorously. For instance, cases have been successfully prosecuted against trading by employees in foreign accounts, trading by family members and friends, and trading involving only a small number of shares.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penalties for violating insider trading or tipping rules can be severe and include:</w:t>
      </w:r>
    </w:p>
    <w:p>
      <w:pPr>
        <w:spacing w:after="0" w:line="252" w:lineRule="exact"/>
        <w:rPr>
          <w:sz w:val="20"/>
          <w:szCs w:val="20"/>
          <w:color w:val="auto"/>
        </w:rPr>
      </w:pPr>
    </w:p>
    <w:p>
      <w:pPr>
        <w:ind w:left="640" w:hanging="313"/>
        <w:spacing w:after="0"/>
        <w:tabs>
          <w:tab w:leader="none" w:pos="640" w:val="left"/>
        </w:tabs>
        <w:numPr>
          <w:ilvl w:val="0"/>
          <w:numId w:val="57"/>
        </w:numPr>
        <w:rPr>
          <w:rFonts w:ascii="Arial" w:cs="Arial" w:eastAsia="Arial" w:hAnsi="Arial"/>
          <w:sz w:val="21"/>
          <w:szCs w:val="21"/>
          <w:color w:val="auto"/>
        </w:rPr>
      </w:pPr>
      <w:r>
        <w:rPr>
          <w:rFonts w:ascii="Times New Roman" w:cs="Times New Roman" w:eastAsia="Times New Roman" w:hAnsi="Times New Roman"/>
          <w:sz w:val="21"/>
          <w:szCs w:val="21"/>
          <w:color w:val="auto"/>
        </w:rPr>
        <w:t>disgorgement of the profit gained or loss avoided by the trading;</w:t>
      </w:r>
    </w:p>
    <w:p>
      <w:pPr>
        <w:spacing w:after="0" w:line="64" w:lineRule="exact"/>
        <w:rPr>
          <w:rFonts w:ascii="Arial" w:cs="Arial" w:eastAsia="Arial" w:hAnsi="Arial"/>
          <w:sz w:val="21"/>
          <w:szCs w:val="21"/>
          <w:color w:val="auto"/>
        </w:rPr>
      </w:pPr>
    </w:p>
    <w:p>
      <w:pPr>
        <w:ind w:left="640" w:right="80" w:hanging="313"/>
        <w:spacing w:after="0" w:line="278" w:lineRule="auto"/>
        <w:tabs>
          <w:tab w:leader="none" w:pos="635"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the loss suffered by the persons who, contemporaneously with the purchase or sale of securities that are subject of such violation, have purchased or sold, as applicable, securities of the same class;</w:t>
      </w:r>
    </w:p>
    <w:p>
      <w:pPr>
        <w:ind w:left="640" w:hanging="313"/>
        <w:spacing w:after="0"/>
        <w:tabs>
          <w:tab w:leader="none" w:pos="6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criminal fines of up to $5,000,000;</w:t>
      </w:r>
    </w:p>
    <w:p>
      <w:pPr>
        <w:spacing w:after="0" w:line="78" w:lineRule="exact"/>
        <w:rPr>
          <w:rFonts w:ascii="Times New Roman" w:cs="Times New Roman" w:eastAsia="Times New Roman" w:hAnsi="Times New Roman"/>
          <w:sz w:val="21"/>
          <w:szCs w:val="21"/>
          <w:color w:val="auto"/>
        </w:rPr>
      </w:pPr>
    </w:p>
    <w:p>
      <w:pPr>
        <w:ind w:left="640" w:hanging="313"/>
        <w:spacing w:after="0"/>
        <w:tabs>
          <w:tab w:leader="none" w:pos="6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civil fines of up to three times the profit made or loss avoided; and</w:t>
      </w:r>
    </w:p>
    <w:p>
      <w:pPr>
        <w:spacing w:after="0" w:line="65" w:lineRule="exact"/>
        <w:rPr>
          <w:rFonts w:ascii="Times New Roman" w:cs="Times New Roman" w:eastAsia="Times New Roman" w:hAnsi="Times New Roman"/>
          <w:sz w:val="21"/>
          <w:szCs w:val="21"/>
          <w:color w:val="auto"/>
        </w:rPr>
      </w:pPr>
    </w:p>
    <w:p>
      <w:pPr>
        <w:ind w:left="640" w:hanging="313"/>
        <w:spacing w:after="0"/>
        <w:tabs>
          <w:tab w:leader="none" w:pos="6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imprisonment for up to 20 years.</w:t>
      </w:r>
    </w:p>
    <w:p>
      <w:pPr>
        <w:spacing w:after="0" w:line="252" w:lineRule="exact"/>
        <w:rPr>
          <w:sz w:val="20"/>
          <w:szCs w:val="20"/>
          <w:color w:val="auto"/>
        </w:rPr>
      </w:pPr>
    </w:p>
    <w:p>
      <w:pPr>
        <w:jc w:val="both"/>
        <w:ind w:right="80" w:firstLine="640"/>
        <w:spacing w:after="0" w:line="270" w:lineRule="auto"/>
        <w:rPr>
          <w:sz w:val="20"/>
          <w:szCs w:val="20"/>
          <w:color w:val="auto"/>
        </w:rPr>
      </w:pPr>
      <w:r>
        <w:rPr>
          <w:rFonts w:ascii="Times New Roman" w:cs="Times New Roman" w:eastAsia="Times New Roman" w:hAnsi="Times New Roman"/>
          <w:sz w:val="21"/>
          <w:szCs w:val="21"/>
          <w:color w:val="auto"/>
        </w:rPr>
        <w:t>The Company may also have “controlling person” liability for trading violations, subjecting it to civil penalties of up to the greater of $1,525,000 (subject to periodic inflation adjustments) or three times the profit made or loss avoided, as well as criminal penalties of up to $25,000,000, and could under certain circumstances be subject to private lawsuits.</w:t>
      </w:r>
    </w:p>
    <w:p>
      <w:pPr>
        <w:spacing w:after="0" w:line="199" w:lineRule="exact"/>
        <w:rPr>
          <w:sz w:val="20"/>
          <w:szCs w:val="20"/>
          <w:color w:val="auto"/>
        </w:rPr>
      </w:pPr>
    </w:p>
    <w:p>
      <w:pPr>
        <w:ind w:right="260" w:firstLine="640"/>
        <w:spacing w:after="0" w:line="261" w:lineRule="auto"/>
        <w:rPr>
          <w:sz w:val="20"/>
          <w:szCs w:val="20"/>
          <w:color w:val="auto"/>
        </w:rPr>
      </w:pPr>
      <w:r>
        <w:rPr>
          <w:rFonts w:ascii="Times New Roman" w:cs="Times New Roman" w:eastAsia="Times New Roman" w:hAnsi="Times New Roman"/>
          <w:sz w:val="21"/>
          <w:szCs w:val="21"/>
          <w:color w:val="auto"/>
        </w:rPr>
        <w:t>Violation of this Insider Trading Policy or any federal or state insider trading laws may subject the person violating such policy or laws to disciplinary action by the Company up to and including termination. The Company reserves the right to determine, in its own discretion and on the basis of the information available to it, whether this Insider Trading Policy has been violated. The Company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E. Does the Company have any Other Policies Regarding Confidential Information?</w:t>
      </w:r>
    </w:p>
    <w:p>
      <w:pPr>
        <w:spacing w:after="0" w:line="258" w:lineRule="exact"/>
        <w:rPr>
          <w:sz w:val="20"/>
          <w:szCs w:val="20"/>
          <w:color w:val="auto"/>
        </w:rPr>
      </w:pPr>
    </w:p>
    <w:p>
      <w:pPr>
        <w:ind w:right="380" w:firstLine="640"/>
        <w:spacing w:after="0" w:line="288" w:lineRule="auto"/>
        <w:rPr>
          <w:sz w:val="20"/>
          <w:szCs w:val="20"/>
          <w:color w:val="auto"/>
        </w:rPr>
      </w:pPr>
      <w:r>
        <w:rPr>
          <w:rFonts w:ascii="Times New Roman" w:cs="Times New Roman" w:eastAsia="Times New Roman" w:hAnsi="Times New Roman"/>
          <w:sz w:val="21"/>
          <w:szCs w:val="21"/>
          <w:color w:val="auto"/>
        </w:rPr>
        <w:t>The Company also has strict policies relating to safeguarding the confidentiality of its internal, proprietary information. These policies include procedures regarding identifying,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21"/>
          <w:szCs w:val="21"/>
          <w:color w:val="auto"/>
        </w:rPr>
        <w:t>marking and safeguarding confidential information and employee confidentiality agreements. Vericel Personnel should comply with these policies at all times.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F. How Do Vericel Personnel Report a Violation of this Insider Trading Policy?</w:t>
      </w:r>
    </w:p>
    <w:p>
      <w:pPr>
        <w:spacing w:after="0" w:line="272" w:lineRule="exact"/>
        <w:rPr>
          <w:sz w:val="20"/>
          <w:szCs w:val="20"/>
          <w:color w:val="auto"/>
        </w:rPr>
      </w:pPr>
    </w:p>
    <w:p>
      <w:pPr>
        <w:ind w:right="20" w:firstLine="640"/>
        <w:spacing w:after="0" w:line="259" w:lineRule="auto"/>
        <w:rPr>
          <w:sz w:val="20"/>
          <w:szCs w:val="20"/>
          <w:color w:val="auto"/>
        </w:rPr>
      </w:pPr>
      <w:r>
        <w:rPr>
          <w:rFonts w:ascii="Times New Roman" w:cs="Times New Roman" w:eastAsia="Times New Roman" w:hAnsi="Times New Roman"/>
          <w:sz w:val="21"/>
          <w:szCs w:val="21"/>
          <w:color w:val="auto"/>
        </w:rPr>
        <w:t>If Vericel Personnel have a question about this Insider Trading Policy, including whether certain information they are aware of is material or has been made public, they are encouraged to consult with the Insider Trading Compliance Officer. In addition, if Vericel Personnel violate this Insider Trading Policy or any federal or state laws governing insider trading, or know of any such violation by any director, officer or employee of the Company, they must report the violation immediately to the Insider Trading Compliance Officer. However, if the conduct in question involves the Insider Trading Compliance Officer, if the Vericel Personnel has reported such conduct to the Insider Trading Compliance Officer and do not believe that he or she has dealt with it properly, or if Vericel Personnel do not feel that they can discuss the matter with the Insider Trading Compliance Officer, they may raise the matter with the Company’s Chief Financial Officer.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G. Is This Insider Trading Policy Subject to Modification?</w:t>
      </w:r>
    </w:p>
    <w:p>
      <w:pPr>
        <w:spacing w:after="0" w:line="258" w:lineRule="exact"/>
        <w:rPr>
          <w:sz w:val="20"/>
          <w:szCs w:val="20"/>
          <w:color w:val="auto"/>
        </w:rPr>
      </w:pPr>
    </w:p>
    <w:p>
      <w:pPr>
        <w:ind w:right="40" w:firstLine="640"/>
        <w:spacing w:after="0" w:line="261" w:lineRule="auto"/>
        <w:rPr>
          <w:sz w:val="20"/>
          <w:szCs w:val="20"/>
          <w:color w:val="auto"/>
        </w:rPr>
      </w:pPr>
      <w:r>
        <w:rPr>
          <w:rFonts w:ascii="Times New Roman" w:cs="Times New Roman" w:eastAsia="Times New Roman" w:hAnsi="Times New Roman"/>
          <w:sz w:val="21"/>
          <w:szCs w:val="21"/>
          <w:color w:val="auto"/>
        </w:rPr>
        <w:t>The Company may at any time change this Insider Trading Policy or adopt such other policies or procedures which it considers appropriate to carry out the purposes of its policies regarding insider trading and the disclosure of Company information. Notice of any such change will be delivered to Vericel Personnel by regular or electronic mail (or other delivery option used by the Company) by the Company. Vericel Personnel will be deemed to have received, be bound by and agree to revisions of this Insider Trading Policy when such revisions have been delivered to them, unless they object to any revision in a written statement received by the Insider Trading Compliance Officer, within two (2) business days of such delivery.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H. Responsibilities Regarding the Nonpublic Information of Other Companies</w:t>
      </w:r>
    </w:p>
    <w:p>
      <w:pPr>
        <w:spacing w:after="0" w:line="272" w:lineRule="exact"/>
        <w:rPr>
          <w:sz w:val="20"/>
          <w:szCs w:val="20"/>
          <w:color w:val="auto"/>
        </w:rPr>
      </w:pPr>
    </w:p>
    <w:p>
      <w:pPr>
        <w:ind w:right="100" w:firstLine="640"/>
        <w:spacing w:after="0" w:line="261" w:lineRule="auto"/>
        <w:rPr>
          <w:sz w:val="20"/>
          <w:szCs w:val="20"/>
          <w:color w:val="auto"/>
        </w:rPr>
      </w:pPr>
      <w:r>
        <w:rPr>
          <w:rFonts w:ascii="Times New Roman" w:cs="Times New Roman" w:eastAsia="Times New Roman" w:hAnsi="Times New Roman"/>
          <w:sz w:val="21"/>
          <w:szCs w:val="21"/>
          <w:color w:val="auto"/>
        </w:rPr>
        <w:t>In the course of providing services to the Company, Vericel Personnel may also gain access to material, nonpublic information regarding the Company’s current or potential future distributors, vendors, customers, collaborators, suppliers and competitors. In addition to maintaining compliance with this Insider Trading Policy, Vericel Personnel are also responsible for not violating insider trading laws with respect to any such information, including through any unauthorized disclosure or other misuse of any nonpublic information of such companies, as well as insider trading and tipping based on the material nonpublic information of such other companies.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 * *</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ACKNOWLEDGEMENT</w:t>
      </w:r>
    </w:p>
    <w:p>
      <w:pPr>
        <w:spacing w:after="0" w:line="256"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21"/>
          <w:szCs w:val="21"/>
          <w:color w:val="auto"/>
        </w:rPr>
        <w:t>This Insider Trading Policy will be delivered to all Vericel Personnel at the start of their employment or relationship with the Company. Upon first receiving a copy of this Insider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21"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21"/>
          <w:szCs w:val="21"/>
          <w:color w:val="auto"/>
        </w:rPr>
        <w:t>Trading Policy, each individual must acknowledge that he or she has received a copy and agrees to comply with the terms of this Insider Trading Policy, and, if applicable, the Trading Procedures contained herein. The acknowledgement attached hereto must be returned within ten (10) days of receipt to:</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Insider Trading Compliance Officer</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Vericel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64 Sidney Street</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Cambridge, MA 02139</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sflynn@vcel.com</w:t>
      </w:r>
    </w:p>
    <w:p>
      <w:pPr>
        <w:spacing w:after="0" w:line="242"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21"/>
          <w:szCs w:val="21"/>
          <w:color w:val="auto"/>
        </w:rPr>
        <w:t>This acknowledgement will constitute consent for the Company to impose sanctions for violations of the Insider Trading Policy and to issue any necessary stop-transfer orders to the Company’s transfer agent to ensure compliance.</w:t>
      </w:r>
    </w:p>
    <w:p>
      <w:pPr>
        <w:spacing w:after="0" w:line="168" w:lineRule="exact"/>
        <w:rPr>
          <w:sz w:val="20"/>
          <w:szCs w:val="20"/>
          <w:color w:val="auto"/>
        </w:rPr>
      </w:pPr>
    </w:p>
    <w:p>
      <w:pPr>
        <w:ind w:right="60" w:firstLine="640"/>
        <w:spacing w:after="0" w:line="264" w:lineRule="auto"/>
        <w:rPr>
          <w:sz w:val="20"/>
          <w:szCs w:val="20"/>
          <w:color w:val="auto"/>
        </w:rPr>
      </w:pPr>
      <w:r>
        <w:rPr>
          <w:rFonts w:ascii="Times New Roman" w:cs="Times New Roman" w:eastAsia="Times New Roman" w:hAnsi="Times New Roman"/>
          <w:sz w:val="21"/>
          <w:szCs w:val="21"/>
          <w:color w:val="auto"/>
        </w:rPr>
        <w:t>All Vericel Personnel will be required upon the Company’s request to re-acknowledge and agree to comply with the Insider Trading Policy (including any amendments or modifications). For such purpose, an individual will be deemed to have acknowledged and agreed to comply with the Insider Trading Policy, as amended from time to time, when copies of such items have been delivered by regular or electronic mail (or other delivery option used by the Company) by the Insider Trading Compliance Officer or his or her designee.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 *</w:t>
      </w:r>
    </w:p>
    <w:p>
      <w:pPr>
        <w:spacing w:after="0" w:line="248" w:lineRule="exact"/>
        <w:rPr>
          <w:sz w:val="20"/>
          <w:szCs w:val="20"/>
          <w:color w:val="auto"/>
        </w:rPr>
      </w:pPr>
    </w:p>
    <w:p>
      <w:pPr>
        <w:ind w:right="40" w:firstLine="640"/>
        <w:spacing w:after="0" w:line="269" w:lineRule="auto"/>
        <w:rPr>
          <w:sz w:val="20"/>
          <w:szCs w:val="20"/>
          <w:color w:val="auto"/>
        </w:rPr>
      </w:pPr>
      <w:r>
        <w:rPr>
          <w:rFonts w:ascii="Times New Roman" w:cs="Times New Roman" w:eastAsia="Times New Roman" w:hAnsi="Times New Roman"/>
          <w:sz w:val="21"/>
          <w:szCs w:val="21"/>
          <w:b w:val="1"/>
          <w:bCs w:val="1"/>
          <w:color w:val="auto"/>
        </w:rPr>
        <w:t>Failure to observe this Insider Trading Policy could lead to significant legal issues, including fines and/or imprisonment, and could have other serious consequences, including the termination of employment or service relationship with the Company. Questions regarding this Insider Trading Policy are encouraged and may be directed to the Insider Trading Compliance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EFFECTIVE: May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21"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ACKNOWLEDGMENT</w:t>
      </w:r>
    </w:p>
    <w:p>
      <w:pPr>
        <w:spacing w:after="0" w:line="256" w:lineRule="exact"/>
        <w:rPr>
          <w:sz w:val="20"/>
          <w:szCs w:val="20"/>
          <w:color w:val="auto"/>
        </w:rPr>
      </w:pPr>
    </w:p>
    <w:p>
      <w:pPr>
        <w:ind w:right="20" w:firstLine="640"/>
        <w:spacing w:after="0" w:line="260" w:lineRule="auto"/>
        <w:rPr>
          <w:sz w:val="20"/>
          <w:szCs w:val="20"/>
          <w:color w:val="auto"/>
        </w:rPr>
      </w:pPr>
      <w:r>
        <w:rPr>
          <w:rFonts w:ascii="Times New Roman" w:cs="Times New Roman" w:eastAsia="Times New Roman" w:hAnsi="Times New Roman"/>
          <w:sz w:val="21"/>
          <w:szCs w:val="21"/>
          <w:color w:val="auto"/>
        </w:rPr>
        <w:t>I hereby acknowledge that I have read, that I understand, and that I agree to comply with, the Statement of Company Policy on Insider Trading and Disclosure (the “Insider Trading Policy”) of Vericel Corporation (the “Company”). I further acknowledge and agree that I am responsible for ensuring compliance with the Insider Trading Policy by all of my Affiliated Persons. I also understand and agree that I will be subject to all sanctions, up to and including termination of employment, that may be imposed by the Company, in its sole discretion, for violations of the Insider Trading Policy and that the Company may give stop-transfer and other instructions to the Company’s transfer agent against the transfer of any Company securities in a transaction that the Company considers to be in violation of the Insider Trading Policy.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54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33655</wp:posOffset>
            </wp:positionV>
            <wp:extent cx="25673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256730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33655</wp:posOffset>
            </wp:positionV>
            <wp:extent cx="16433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1643380" cy="8255"/>
                    </a:xfrm>
                    <a:prstGeom prst="rect">
                      <a:avLst/>
                    </a:prstGeom>
                    <a:noFill/>
                  </pic:spPr>
                </pic:pic>
              </a:graphicData>
            </a:graphic>
          </wp:anchor>
        </w:drawing>
      </w:r>
    </w:p>
    <w:p>
      <w:pPr>
        <w:spacing w:after="0" w:line="29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33655</wp:posOffset>
            </wp:positionV>
            <wp:extent cx="25673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2567305" cy="8255"/>
                    </a:xfrm>
                    <a:prstGeom prst="rect">
                      <a:avLst/>
                    </a:prstGeom>
                    <a:noFill/>
                  </pic:spPr>
                </pic:pic>
              </a:graphicData>
            </a:graphic>
          </wp:anchor>
        </w:drawing>
      </w: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33655</wp:posOffset>
            </wp:positionV>
            <wp:extent cx="25673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2567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Vericel Denmark ApS, a Danish private limited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Vericel Security Corporation, a Massachusetts corporation</w:t>
      </w:r>
    </w:p>
    <w:p>
      <w:pPr>
        <w:sectPr>
          <w:pgSz w:w="11900" w:h="16838" w:orient="portrait"/>
          <w:cols w:equalWidth="0" w:num="1">
            <w:col w:w="11240"/>
          </w:cols>
          <w:pgMar w:left="320" w:top="11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20"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333-281607) and Form S-8 (Nos. 333-241700, 333-264747, 333-217741, 333-205338, 333-187346, 333-174758, 333-163832, 333-140624, 333-121006, 333-231163, and 333-272119) of Vericel Corporation of our report dated February 27, 2025 relating to the financial statements and the effectiveness of internal control over financial reporting, which appears in this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11240"/>
          </w:cols>
          <w:pgMar w:left="320" w:top="11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0" w:lineRule="exact"/>
        <w:rPr>
          <w:sz w:val="20"/>
          <w:szCs w:val="20"/>
          <w:color w:val="auto"/>
        </w:rPr>
      </w:pPr>
    </w:p>
    <w:p>
      <w:pPr>
        <w:ind w:left="420" w:hanging="173"/>
        <w:spacing w:after="0"/>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Vericel Corporation for the year ended December 31, 2024;</w:t>
      </w:r>
    </w:p>
    <w:p>
      <w:pPr>
        <w:spacing w:after="0" w:line="219" w:lineRule="exact"/>
        <w:rPr>
          <w:rFonts w:ascii="Times New Roman" w:cs="Times New Roman" w:eastAsia="Times New Roman" w:hAnsi="Times New Roman"/>
          <w:sz w:val="18"/>
          <w:szCs w:val="18"/>
          <w:color w:val="auto"/>
        </w:rPr>
      </w:pPr>
    </w:p>
    <w:p>
      <w:pPr>
        <w:ind w:right="400" w:firstLine="247"/>
        <w:spacing w:after="0" w:line="307" w:lineRule="auto"/>
        <w:tabs>
          <w:tab w:leader="none" w:pos="418"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440" w:firstLine="247"/>
        <w:spacing w:after="0" w:line="277" w:lineRule="auto"/>
        <w:tabs>
          <w:tab w:leader="none" w:pos="4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220" w:firstLine="247"/>
        <w:spacing w:after="0" w:line="262" w:lineRule="auto"/>
        <w:tabs>
          <w:tab w:leader="none" w:pos="4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380" w:firstLine="527"/>
        <w:spacing w:after="0" w:line="262" w:lineRule="auto"/>
        <w:tabs>
          <w:tab w:leader="none" w:pos="76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160" w:firstLine="527"/>
        <w:spacing w:after="0" w:line="262" w:lineRule="auto"/>
        <w:tabs>
          <w:tab w:leader="none" w:pos="77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880" w:firstLine="527"/>
        <w:spacing w:after="0" w:line="277" w:lineRule="auto"/>
        <w:tabs>
          <w:tab w:leader="none" w:pos="76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right="100" w:firstLine="527"/>
        <w:spacing w:after="0" w:line="262" w:lineRule="auto"/>
        <w:tabs>
          <w:tab w:leader="none" w:pos="77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180" w:firstLine="247"/>
        <w:spacing w:after="0" w:line="277" w:lineRule="auto"/>
        <w:tabs>
          <w:tab w:leader="none" w:pos="4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right="300" w:firstLine="527"/>
        <w:spacing w:after="0" w:line="277" w:lineRule="auto"/>
        <w:tabs>
          <w:tab w:leader="none" w:pos="75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240" w:firstLine="527"/>
        <w:spacing w:after="0" w:line="277" w:lineRule="auto"/>
        <w:tabs>
          <w:tab w:leader="none" w:pos="76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7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8"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Mara, certify that:</w:t>
      </w:r>
    </w:p>
    <w:p>
      <w:pPr>
        <w:spacing w:after="0" w:line="220" w:lineRule="exact"/>
        <w:rPr>
          <w:sz w:val="20"/>
          <w:szCs w:val="20"/>
          <w:color w:val="auto"/>
        </w:rPr>
      </w:pPr>
    </w:p>
    <w:p>
      <w:pPr>
        <w:ind w:left="420" w:hanging="173"/>
        <w:spacing w:after="0"/>
        <w:tabs>
          <w:tab w:leader="none" w:pos="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Vericel Corporation for the year ended December 31, 2024;</w:t>
      </w:r>
    </w:p>
    <w:p>
      <w:pPr>
        <w:spacing w:after="0" w:line="219" w:lineRule="exact"/>
        <w:rPr>
          <w:rFonts w:ascii="Times New Roman" w:cs="Times New Roman" w:eastAsia="Times New Roman" w:hAnsi="Times New Roman"/>
          <w:sz w:val="18"/>
          <w:szCs w:val="18"/>
          <w:color w:val="auto"/>
        </w:rPr>
      </w:pPr>
    </w:p>
    <w:p>
      <w:pPr>
        <w:ind w:right="400" w:firstLine="247"/>
        <w:spacing w:after="0" w:line="307" w:lineRule="auto"/>
        <w:tabs>
          <w:tab w:leader="none" w:pos="41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440" w:firstLine="247"/>
        <w:spacing w:after="0" w:line="277" w:lineRule="auto"/>
        <w:tabs>
          <w:tab w:leader="none" w:pos="4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220" w:firstLine="247"/>
        <w:spacing w:after="0" w:line="262" w:lineRule="auto"/>
        <w:tabs>
          <w:tab w:leader="none" w:pos="4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380" w:firstLine="527"/>
        <w:spacing w:after="0" w:line="262" w:lineRule="auto"/>
        <w:tabs>
          <w:tab w:leader="none" w:pos="76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160" w:firstLine="527"/>
        <w:spacing w:after="0" w:line="262" w:lineRule="auto"/>
        <w:tabs>
          <w:tab w:leader="none" w:pos="77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880" w:firstLine="527"/>
        <w:spacing w:after="0" w:line="277" w:lineRule="auto"/>
        <w:tabs>
          <w:tab w:leader="none" w:pos="76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right="100" w:firstLine="527"/>
        <w:spacing w:after="0" w:line="262" w:lineRule="auto"/>
        <w:tabs>
          <w:tab w:leader="none" w:pos="77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180" w:firstLine="247"/>
        <w:spacing w:after="0" w:line="277" w:lineRule="auto"/>
        <w:tabs>
          <w:tab w:leader="none" w:pos="4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right="300" w:firstLine="527"/>
        <w:spacing w:after="0" w:line="277" w:lineRule="auto"/>
        <w:tabs>
          <w:tab w:leader="none" w:pos="75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240" w:firstLine="527"/>
        <w:spacing w:after="0" w:line="277" w:lineRule="auto"/>
        <w:tabs>
          <w:tab w:leader="none" w:pos="76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2025</w:t>
      </w:r>
    </w:p>
    <w:p>
      <w:pPr>
        <w:spacing w:after="0" w:line="27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Joseph Mara</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8"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1" w:lineRule="exact"/>
        <w:rPr>
          <w:sz w:val="20"/>
          <w:szCs w:val="20"/>
          <w:color w:val="auto"/>
        </w:rPr>
      </w:pPr>
    </w:p>
    <w:p>
      <w:pPr>
        <w:ind w:right="740" w:firstLine="24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Vericel Corporation (Company) on Form 10-K for the year ended December 31, 2024, as filed with the Securities and Exchange Commission on the date hereof (Report), each of the undersigned officers of the Company, certify, pursuant to 18 U.S.C. Section 1350, as adopted pursuant to Section 906 of the Sarbanes-Oxley Act of 2002 (Section 906), the following:</w:t>
      </w:r>
    </w:p>
    <w:p>
      <w:pPr>
        <w:spacing w:after="0" w:line="176" w:lineRule="exact"/>
        <w:rPr>
          <w:sz w:val="20"/>
          <w:szCs w:val="20"/>
          <w:color w:val="auto"/>
        </w:rPr>
      </w:pPr>
    </w:p>
    <w:p>
      <w:pPr>
        <w:ind w:left="780" w:hanging="253"/>
        <w:spacing w:after="0"/>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19" w:lineRule="exact"/>
        <w:rPr>
          <w:rFonts w:ascii="Times New Roman" w:cs="Times New Roman" w:eastAsia="Times New Roman" w:hAnsi="Times New Roman"/>
          <w:sz w:val="18"/>
          <w:szCs w:val="18"/>
          <w:color w:val="auto"/>
        </w:rPr>
      </w:pPr>
    </w:p>
    <w:p>
      <w:pPr>
        <w:ind w:left="780" w:hanging="253"/>
        <w:spacing w:after="0"/>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7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Joseph Mara</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61" w:lineRule="exact"/>
        <w:rPr>
          <w:sz w:val="20"/>
          <w:szCs w:val="20"/>
          <w:color w:val="auto"/>
        </w:rPr>
      </w:pPr>
    </w:p>
    <w:p>
      <w:pPr>
        <w:ind w:right="140" w:firstLine="240"/>
        <w:spacing w:after="0" w:line="27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lowerRoman"/>
      <w:start w:val="1"/>
    </w:lvl>
    <w:lvl w:ilvl="1">
      <w:lvlJc w:val="left"/>
      <w:lvlText w:val="(%2)"/>
      <w:numFmt w:val="lowerRoman"/>
      <w:start w:val="2"/>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lowerLetter"/>
      <w:start w:val="1"/>
    </w:lvl>
  </w:abstractNum>
  <w:abstractNum w:abstractNumId="32">
    <w:nsid w:val="542289EC"/>
    <w:multiLevelType w:val="hybridMultilevel"/>
    <w:lvl w:ilvl="0">
      <w:lvlJc w:val="left"/>
      <w:lvlText w:val="%1."/>
      <w:numFmt w:val="decimal"/>
      <w:start w:val="9"/>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1)"/>
      <w:numFmt w:val="lowerLetter"/>
      <w:start w:val="1"/>
    </w:lvl>
  </w:abstractNum>
  <w:abstractNum w:abstractNumId="35">
    <w:nsid w:val="7644A45C"/>
    <w:multiLevelType w:val="hybridMultilevel"/>
    <w:lvl w:ilvl="0">
      <w:lvlJc w:val="left"/>
      <w:lvlText w:val="%1."/>
      <w:numFmt w:val="decimal"/>
      <w:start w:val="12"/>
    </w:lvl>
  </w:abstractNum>
  <w:abstractNum w:abstractNumId="36">
    <w:nsid w:val="32FFF902"/>
    <w:multiLevelType w:val="hybridMultilevel"/>
    <w:lvl w:ilvl="0">
      <w:lvlJc w:val="left"/>
      <w:lvlText w:val="%1."/>
      <w:numFmt w:val="decimal"/>
      <w:start w:val="14"/>
    </w:lvl>
  </w:abstractNum>
  <w:abstractNum w:abstractNumId="37">
    <w:nsid w:val="684A481A"/>
    <w:multiLevelType w:val="hybridMultilevel"/>
    <w:lvl w:ilvl="0">
      <w:lvlJc w:val="left"/>
      <w:lvlText w:val="(%1)"/>
      <w:numFmt w:val="lowerLetter"/>
      <w:start w:val="1"/>
    </w:lvl>
    <w:lvl w:ilvl="1">
      <w:lvlJc w:val="left"/>
      <w:lvlText w:val="%2."/>
      <w:numFmt w:val="decimal"/>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upperLetter"/>
      <w:start w:val="2"/>
    </w:lvl>
  </w:abstractNum>
  <w:abstractNum w:abstractNumId="40">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1">
    <w:nsid w:val="1BA026FA"/>
    <w:multiLevelType w:val="hybridMultilevel"/>
    <w:lvl w:ilvl="0">
      <w:lvlJc w:val="left"/>
      <w:lvlText w:val="%1."/>
      <w:numFmt w:val="lowerLetter"/>
      <w:start w:val="2"/>
    </w:lvl>
  </w:abstractNum>
  <w:abstractNum w:abstractNumId="42">
    <w:nsid w:val="79A1DEAA"/>
    <w:multiLevelType w:val="hybridMultilevel"/>
    <w:lvl w:ilvl="0">
      <w:lvlJc w:val="left"/>
      <w:lvlText w:val="%1."/>
      <w:numFmt w:val="lowerLetter"/>
      <w:start w:val="3"/>
    </w:lvl>
  </w:abstractNum>
  <w:abstractNum w:abstractNumId="43">
    <w:nsid w:val="75C6C33A"/>
    <w:multiLevelType w:val="hybridMultilevel"/>
    <w:lvl w:ilvl="0">
      <w:lvlJc w:val="left"/>
      <w:lvlText w:val="%1"/>
      <w:numFmt w:val="decimal"/>
      <w:start w:val="1"/>
    </w:lvl>
    <w:lvl w:ilvl="1">
      <w:lvlJc w:val="left"/>
      <w:lvlText w:val="%2."/>
      <w:numFmt w:val="lowerLetter"/>
      <w:start w:val="4"/>
    </w:lvl>
  </w:abstractNum>
  <w:abstractNum w:abstractNumId="44">
    <w:nsid w:val="12E685FB"/>
    <w:multiLevelType w:val="hybridMultilevel"/>
    <w:lvl w:ilvl="0">
      <w:lvlJc w:val="left"/>
      <w:lvlText w:val="%1."/>
      <w:numFmt w:val="decimal"/>
      <w:start w:val="3"/>
    </w:lvl>
    <w:lvl w:ilvl="1">
      <w:lvlJc w:val="left"/>
      <w:lvlText w:val="%2."/>
      <w:numFmt w:val="lowerLetter"/>
      <w:start w:val="1"/>
    </w:lvl>
  </w:abstractNum>
  <w:abstractNum w:abstractNumId="45">
    <w:nsid w:val="70C6A529"/>
    <w:multiLevelType w:val="hybridMultilevel"/>
    <w:lvl w:ilvl="0">
      <w:lvlJc w:val="left"/>
      <w:lvlText w:val="%1."/>
      <w:numFmt w:val="lowerLetter"/>
      <w:start w:val="2"/>
    </w:lvl>
  </w:abstractNum>
  <w:abstractNum w:abstractNumId="46">
    <w:nsid w:val="520EEDD1"/>
    <w:multiLevelType w:val="hybridMultilevel"/>
    <w:lvl w:ilvl="0">
      <w:lvlJc w:val="left"/>
      <w:lvlText w:val="%1."/>
      <w:numFmt w:val="lowerLetter"/>
      <w:start w:val="4"/>
    </w:lvl>
  </w:abstractNum>
  <w:abstractNum w:abstractNumId="47">
    <w:nsid w:val="374A3FE6"/>
    <w:multiLevelType w:val="hybridMultilevel"/>
    <w:lvl w:ilvl="0">
      <w:lvlJc w:val="left"/>
      <w:lvlText w:val="%1"/>
      <w:numFmt w:val="decimal"/>
      <w:start w:val="1"/>
    </w:lvl>
    <w:lvl w:ilvl="1">
      <w:lvlJc w:val="left"/>
      <w:lvlText w:val="%2."/>
      <w:numFmt w:val="lowerLetter"/>
      <w:start w:val="6"/>
    </w:lvl>
  </w:abstractNum>
  <w:abstractNum w:abstractNumId="48">
    <w:nsid w:val="4F4EF005"/>
    <w:multiLevelType w:val="hybridMultilevel"/>
    <w:lvl w:ilvl="0">
      <w:lvlJc w:val="left"/>
      <w:lvlText w:val="%1."/>
      <w:numFmt w:val="decimal"/>
      <w:start w:val="4"/>
    </w:lvl>
    <w:lvl w:ilvl="1">
      <w:lvlJc w:val="left"/>
      <w:lvlText w:val="%2"/>
      <w:numFmt w:val="lowerLetter"/>
      <w:start w:val="1"/>
    </w:lvl>
  </w:abstractNum>
  <w:abstractNum w:abstractNumId="49">
    <w:nsid w:val="23F9C13C"/>
    <w:multiLevelType w:val="hybridMultilevel"/>
    <w:lvl w:ilvl="0">
      <w:lvlJc w:val="left"/>
      <w:lvlText w:val="%1."/>
      <w:numFmt w:val="decimal"/>
      <w:start w:val="5"/>
    </w:lvl>
  </w:abstractNum>
  <w:abstractNum w:abstractNumId="50">
    <w:nsid w:val="649BB77C"/>
    <w:multiLevelType w:val="hybridMultilevel"/>
    <w:lvl w:ilvl="0">
      <w:lvlJc w:val="left"/>
      <w:lvlText w:val="%1."/>
      <w:numFmt w:val="decimal"/>
      <w:start w:val="6"/>
    </w:lvl>
  </w:abstractNum>
  <w:abstractNum w:abstractNumId="51">
    <w:nsid w:val="275AC794"/>
    <w:multiLevelType w:val="hybridMultilevel"/>
    <w:lvl w:ilvl="0">
      <w:lvlJc w:val="left"/>
      <w:lvlText w:val="%1."/>
      <w:numFmt w:val="decimal"/>
      <w:start w:val="7"/>
    </w:lvl>
    <w:lvl w:ilvl="1">
      <w:lvlJc w:val="left"/>
      <w:lvlText w:val="%2."/>
      <w:numFmt w:val="lowerLetter"/>
      <w:start w:val="1"/>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3" Type="http://schemas.openxmlformats.org/officeDocument/2006/relationships/image" Target="media/image120.png"/><Relationship Id="rId145" Type="http://schemas.openxmlformats.org/officeDocument/2006/relationships/image" Target="media/image121.png"/><Relationship Id="rId149" Type="http://schemas.openxmlformats.org/officeDocument/2006/relationships/image" Target="media/image122.png"/><Relationship Id="rId151"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76" Type="http://schemas.openxmlformats.org/officeDocument/2006/relationships/image" Target="media/image126.png"/><Relationship Id="rId177" Type="http://schemas.openxmlformats.org/officeDocument/2006/relationships/image" Target="media/image127.png"/><Relationship Id="rId178" Type="http://schemas.openxmlformats.org/officeDocument/2006/relationships/image" Target="media/image128.png"/><Relationship Id="rId179" Type="http://schemas.openxmlformats.org/officeDocument/2006/relationships/image" Target="media/image129.png"/><Relationship Id="rId180" Type="http://schemas.openxmlformats.org/officeDocument/2006/relationships/image" Target="media/image130.png"/><Relationship Id="rId181" Type="http://schemas.openxmlformats.org/officeDocument/2006/relationships/image" Target="media/image131.png"/><Relationship Id="rId182" Type="http://schemas.openxmlformats.org/officeDocument/2006/relationships/image" Target="media/image132.png"/><Relationship Id="rId183" Type="http://schemas.openxmlformats.org/officeDocument/2006/relationships/image" Target="media/image133.png"/><Relationship Id="rId184" Type="http://schemas.openxmlformats.org/officeDocument/2006/relationships/image" Target="media/image134.png"/><Relationship Id="rId185" Type="http://schemas.openxmlformats.org/officeDocument/2006/relationships/image" Target="media/image135.png"/><Relationship Id="rId186"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127" Type="http://schemas.openxmlformats.org/officeDocument/2006/relationships/hyperlink" Target="https://www.sec.gov/Archives/edgar/data/887359/000129993309004957/exhibit1.htm" TargetMode="External"/><Relationship Id="rId128" Type="http://schemas.openxmlformats.org/officeDocument/2006/relationships/hyperlink" Target="https://www.sec.gov/Archives/edgar/data/887359/000095012310030777/b80276exv3w2.htm" TargetMode="External"/><Relationship Id="rId129" Type="http://schemas.openxmlformats.org/officeDocument/2006/relationships/hyperlink" Target="https://www.sec.gov/Archives/edgar/data/887359/000095012311029237/a59068exv3w1.htm" TargetMode="External"/><Relationship Id="rId130" Type="http://schemas.openxmlformats.org/officeDocument/2006/relationships/hyperlink" Target="https://www.sec.gov/Archives/edgar/data/887359/000110465914083052/a14-25082_1ex3d1.htm" TargetMode="External"/><Relationship Id="rId131" Type="http://schemas.openxmlformats.org/officeDocument/2006/relationships/hyperlink" Target="https://www.sec.gov/Archives/edgar/data/887359/000129993310004053/exhibit1.htm" TargetMode="External"/><Relationship Id="rId132" Type="http://schemas.openxmlformats.org/officeDocument/2006/relationships/hyperlink" Target="https://www.sec.gov/Archives/edgar/data/887359/000162828020002229/ex45descriptionofcapit.htm" TargetMode="External"/><Relationship Id="rId133" Type="http://schemas.openxmlformats.org/officeDocument/2006/relationships/hyperlink" Target="https://www.sec.gov/Archives/edgar/data/887359/000129993310003245/exhibit1.htm" TargetMode="External"/><Relationship Id="rId134" Type="http://schemas.openxmlformats.org/officeDocument/2006/relationships/hyperlink" Target="https://www.sec.gov/Archives/edgar/data/887359/000095012311029237/a59068exv10w3.htm" TargetMode="External"/><Relationship Id="rId135" Type="http://schemas.openxmlformats.org/officeDocument/2006/relationships/hyperlink" Target="https://www.sec.gov/Archives/edgar/data/887359/000110465914029503/a14-10941_1ex2d1.htm" TargetMode="External"/><Relationship Id="rId136" Type="http://schemas.openxmlformats.org/officeDocument/2006/relationships/hyperlink" Target="https://www.sec.gov/Archives/edgar/data/887359/000104746914008427/a2221856zdef14a.htm" TargetMode="External"/><Relationship Id="rId137" Type="http://schemas.openxmlformats.org/officeDocument/2006/relationships/hyperlink" Target="https://www.sec.gov/Archives/edgar/data/887359/000162828021003081/ex107vericellease64sidneys.htm" TargetMode="External"/><Relationship Id="rId138" Type="http://schemas.openxmlformats.org/officeDocument/2006/relationships/hyperlink" Target="https://www.sec.gov/ix?doc=/Archives/edgar/data/887359/000162828022012151/vcel-20220331.htm" TargetMode="External"/><Relationship Id="rId139" Type="http://schemas.openxmlformats.org/officeDocument/2006/relationships/hyperlink" Target="https://www.sec.gov/Archives/edgar/data/887359/000104746915002731/a2223905zdef14a.htm" TargetMode="External"/><Relationship Id="rId140" Type="http://schemas.openxmlformats.org/officeDocument/2006/relationships/hyperlink" Target="https://www.sec.gov/Archives/edgar/data/887359/000110465917057884/a17-22104_1ex10d1.htm" TargetMode="External"/><Relationship Id="rId141" Type="http://schemas.openxmlformats.org/officeDocument/2006/relationships/hyperlink" Target="https://www.sec.gov/Archives/edgar/data/887359/000162828024007824/ex109amendedandrestatednon.htm" TargetMode="External"/><Relationship Id="rId142" Type="http://schemas.openxmlformats.org/officeDocument/2006/relationships/hyperlink" Target="https://www.sec.gov/Archives/edgar/data/887359/000162828018006239/ex101-amendedmatricelagree.htm" TargetMode="External"/><Relationship Id="rId144" Type="http://schemas.openxmlformats.org/officeDocument/2006/relationships/hyperlink" Target="https://www.sec.gov/Archives/edgar/data/887359/000104746917001792/a2231357zdef14a.htm" TargetMode="External"/><Relationship Id="rId146" Type="http://schemas.openxmlformats.org/officeDocument/2006/relationships/hyperlink" Target="https://www.sec.gov/Archives/edgar/data/887359/000162828019002007/ex1049formofisoagreement20.htm" TargetMode="External"/><Relationship Id="rId147" Type="http://schemas.openxmlformats.org/officeDocument/2006/relationships/hyperlink" Target="https://www.sec.gov/Archives/edgar/data/887359/000162828019002007/ex1050formofnonemployeeiso.htm" TargetMode="External"/><Relationship Id="rId148" Type="http://schemas.openxmlformats.org/officeDocument/2006/relationships/hyperlink" Target="https://www.sec.gov/Archives/edgar/data/887359/000162828019002007/ex1051formofrsuawardagreem.htm" TargetMode="External"/><Relationship Id="rId150" Type="http://schemas.openxmlformats.org/officeDocument/2006/relationships/hyperlink" Target="https://www.sec.gov/Archives/edgar/data/887359/000110465919026009/a19-9116_1ex10d1.htm" TargetMode="External"/><Relationship Id="rId152" Type="http://schemas.openxmlformats.org/officeDocument/2006/relationships/hyperlink" Target="https://www.sec.gov/Archives/edgar/data/887359/000162828022012151/a102-formofcurrentemployee.htm" TargetMode="External"/><Relationship Id="rId153" Type="http://schemas.openxmlformats.org/officeDocument/2006/relationships/hyperlink" Target="https://www.sec.gov/Archives/edgar/data/887359/000162828022012151/a103-formofnewhireincentiv.htm" TargetMode="External"/><Relationship Id="rId154" Type="http://schemas.openxmlformats.org/officeDocument/2006/relationships/hyperlink" Target="https://www.sec.gov/Archives/edgar/data/887359/000162828022012151/a104-formofnonxqualifiedst.htm" TargetMode="External"/><Relationship Id="rId155" Type="http://schemas.openxmlformats.org/officeDocument/2006/relationships/hyperlink" Target="https://www.sec.gov/Archives/edgar/data/887359/000110465922053666/tm2213824d1_ex10-1.htm" TargetMode="External"/><Relationship Id="rId158" Type="http://schemas.openxmlformats.org/officeDocument/2006/relationships/hyperlink" Target="https://www.sec.gov/Archives/edgar/data/887359/000162828023026596/ex101vericelcorporationdef.htm" TargetMode="External"/><Relationship Id="rId159" Type="http://schemas.openxmlformats.org/officeDocument/2006/relationships/hyperlink" Target="https://www.sec.gov/Archives/edgar/data/887359/000162828023026596/ex102vericelcorporation202.htm" TargetMode="External"/><Relationship Id="rId160" Type="http://schemas.openxmlformats.org/officeDocument/2006/relationships/hyperlink" Target="https://www.sec.gov/Archives/edgar/data/887359/000162828023037583/ex101formofnewhireincentiv.htm" TargetMode="External"/><Relationship Id="rId161" Type="http://schemas.openxmlformats.org/officeDocument/2006/relationships/hyperlink" Target="https://www.sec.gov/Archives/edgar/data/887359/000162828023037583/ex102formofcurrentemployee.htm" TargetMode="External"/><Relationship Id="rId162" Type="http://schemas.openxmlformats.org/officeDocument/2006/relationships/hyperlink" Target="https://www.sec.gov/Archives/edgar/data/887359/000162828023037583/ex103formofnon-qualifiedst.htm" TargetMode="External"/><Relationship Id="rId163" Type="http://schemas.openxmlformats.org/officeDocument/2006/relationships/hyperlink" Target="https://www.sec.gov/Archives/edgar/data/887359/000162828024021399/ex101vericelcorporation202.htm" TargetMode="External"/><Relationship Id="rId164" Type="http://schemas.openxmlformats.org/officeDocument/2006/relationships/hyperlink" Target="https://www.sec.gov/Archives/edgar/data/887359/000162828019010077/ex109-mediwoundlicense.htm" TargetMode="External"/><Relationship Id="rId165" Type="http://schemas.openxmlformats.org/officeDocument/2006/relationships/hyperlink" Target="https://www.sec.gov/Archives/edgar/data/887359/000162828019010077/ex1010-mediwoundsupply.htm" TargetMode="External"/><Relationship Id="rId166" Type="http://schemas.openxmlformats.org/officeDocument/2006/relationships/hyperlink" Target="https://www.sec.gov/Archives/edgar/data/887359/000162828019010077/ex1012-1stamendmenttom.htm" TargetMode="External"/><Relationship Id="rId167" Type="http://schemas.openxmlformats.org/officeDocument/2006/relationships/hyperlink" Target="https://www.sec.gov/ix?doc=/Archives/edgar/data/887359/000110465921006897/tm213931d1_8k.htm" TargetMode="External"/><Relationship Id="rId168" Type="http://schemas.openxmlformats.org/officeDocument/2006/relationships/hyperlink" Target="https://www.sec.gov/Archives/edgar/data/887359/000162828021003081/ex1043vericel-xemploymenta.htm" TargetMode="External"/><Relationship Id="rId169" Type="http://schemas.openxmlformats.org/officeDocument/2006/relationships/hyperlink" Target="https://www.sec.gov/Archives/edgar/data/887359/000162828021003081/ex1044vericel-xemploymenta.htm" TargetMode="External"/><Relationship Id="rId170" Type="http://schemas.openxmlformats.org/officeDocument/2006/relationships/hyperlink" Target="https://www.sec.gov/Archives/edgar/data/887359/000162828022020355/a105-eightamendmenttothedi.htm" TargetMode="External"/><Relationship Id="rId171" Type="http://schemas.openxmlformats.org/officeDocument/2006/relationships/hyperlink" Target="https://www.sec.gov/Archives/edgar/data/887359/000162828024033905/ex102tenthamendmenttothedi.htm" TargetMode="External"/><Relationship Id="rId172" Type="http://schemas.openxmlformats.org/officeDocument/2006/relationships/hyperlink" Target="https://www.sec.gov/Archives/edgar/data/887359/000162828024046015/ex101eleventhamendmenttoth.htm" TargetMode="External"/><Relationship Id="rId173" Type="http://schemas.openxmlformats.org/officeDocument/2006/relationships/hyperlink" Target="https://www.sec.gov/Archives/edgar/data/887359/000162828022020355/a106-thirdamendmenttothedi.htm" TargetMode="External"/><Relationship Id="rId174" Type="http://schemas.openxmlformats.org/officeDocument/2006/relationships/hyperlink" Target="https://www.sec.gov/Archives/edgar/data/887359/000162828024033905/ex101fourthamendmenttothed.htm" TargetMode="External"/><Relationship Id="rId175" Type="http://schemas.openxmlformats.org/officeDocument/2006/relationships/hyperlink" Target="https://www.sec.gov/Archives/edgar/data/887359/000162828022029082/a1012-revolvingcreditagree.htm" TargetMode="External"/><Relationship Id="rId194" Type="http://schemas.openxmlformats.org/officeDocument/2006/relationships/hyperlink" Target="https://www.sec.gov/Archives/edgar/data/0000887359/000162828024007824/ex97policyforrecoupmentof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2025-02-27T08:13:21Z</dcterms:created>
  <dcterms:modified xsi:type="dcterms:W3CDTF">2025-02-27T08:13:21Z</dcterms:modified>
</cp:coreProperties>
</file>