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139"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340" w:right="280" w:hanging="8"/>
        <w:spacing w:after="0" w:line="282" w:lineRule="auto"/>
        <w:tabs>
          <w:tab w:leader="none" w:pos="61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5320" w:type="dxa"/>
            <w:vAlign w:val="bottom"/>
            <w:gridSpan w:val="3"/>
          </w:tcPr>
          <w:p>
            <w:pPr>
              <w:jc w:val="center"/>
              <w:ind w:right="888"/>
              <w:spacing w:after="0"/>
              <w:rPr>
                <w:sz w:val="20"/>
                <w:szCs w:val="20"/>
                <w:color w:val="auto"/>
              </w:rPr>
            </w:pPr>
            <w:r>
              <w:rPr>
                <w:rFonts w:ascii="Arial" w:cs="Arial" w:eastAsia="Arial" w:hAnsi="Arial"/>
                <w:sz w:val="18"/>
                <w:szCs w:val="18"/>
                <w:b w:val="1"/>
                <w:bCs w:val="1"/>
                <w:color w:val="auto"/>
                <w:w w:val="90"/>
              </w:rPr>
              <w:t>Commission File Number 001-35280</w:t>
            </w:r>
          </w:p>
        </w:tc>
      </w:tr>
      <w:tr>
        <w:trPr>
          <w:trHeight w:val="373"/>
        </w:trPr>
        <w:tc>
          <w:tcPr>
            <w:tcW w:w="1900" w:type="dxa"/>
            <w:vAlign w:val="bottom"/>
          </w:tcPr>
          <w:p>
            <w:pPr>
              <w:spacing w:after="0"/>
              <w:rPr>
                <w:sz w:val="24"/>
                <w:szCs w:val="24"/>
                <w:color w:val="auto"/>
              </w:rPr>
            </w:pPr>
          </w:p>
        </w:tc>
        <w:tc>
          <w:tcPr>
            <w:tcW w:w="5320" w:type="dxa"/>
            <w:vAlign w:val="bottom"/>
            <w:gridSpan w:val="3"/>
          </w:tcPr>
          <w:p>
            <w:pPr>
              <w:jc w:val="center"/>
              <w:ind w:right="888"/>
              <w:spacing w:after="0"/>
              <w:rPr>
                <w:sz w:val="20"/>
                <w:szCs w:val="20"/>
                <w:color w:val="auto"/>
              </w:rPr>
            </w:pPr>
            <w:r>
              <w:rPr>
                <w:rFonts w:ascii="Arial" w:cs="Arial" w:eastAsia="Arial" w:hAnsi="Arial"/>
                <w:sz w:val="32"/>
                <w:szCs w:val="32"/>
                <w:b w:val="1"/>
                <w:bCs w:val="1"/>
                <w:color w:val="auto"/>
              </w:rPr>
              <w:t>VERICEL CORPORATION</w:t>
            </w:r>
          </w:p>
        </w:tc>
      </w:tr>
      <w:tr>
        <w:trPr>
          <w:trHeight w:val="182"/>
        </w:trPr>
        <w:tc>
          <w:tcPr>
            <w:tcW w:w="1900" w:type="dxa"/>
            <w:vAlign w:val="bottom"/>
          </w:tcPr>
          <w:p>
            <w:pPr>
              <w:spacing w:after="0"/>
              <w:rPr>
                <w:sz w:val="15"/>
                <w:szCs w:val="15"/>
                <w:color w:val="auto"/>
              </w:rPr>
            </w:pPr>
          </w:p>
        </w:tc>
        <w:tc>
          <w:tcPr>
            <w:tcW w:w="5320" w:type="dxa"/>
            <w:vAlign w:val="bottom"/>
            <w:gridSpan w:val="3"/>
          </w:tcPr>
          <w:p>
            <w:pPr>
              <w:jc w:val="center"/>
              <w:ind w:right="908"/>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49"/>
        </w:trPr>
        <w:tc>
          <w:tcPr>
            <w:tcW w:w="1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2120" w:type="dxa"/>
            <w:vAlign w:val="bottom"/>
          </w:tcPr>
          <w:p>
            <w:pPr>
              <w:spacing w:after="0"/>
              <w:rPr>
                <w:sz w:val="21"/>
                <w:szCs w:val="21"/>
                <w:color w:val="auto"/>
              </w:rPr>
            </w:pPr>
          </w:p>
        </w:tc>
      </w:tr>
      <w:tr>
        <w:trPr>
          <w:trHeight w:val="326"/>
        </w:trPr>
        <w:tc>
          <w:tcPr>
            <w:tcW w:w="19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Michigan</w:t>
            </w:r>
          </w:p>
        </w:tc>
        <w:tc>
          <w:tcPr>
            <w:tcW w:w="5320" w:type="dxa"/>
            <w:vAlign w:val="bottom"/>
            <w:gridSpan w:val="3"/>
          </w:tcPr>
          <w:p>
            <w:pPr>
              <w:jc w:val="center"/>
              <w:ind w:left="4150"/>
              <w:spacing w:after="0"/>
              <w:rPr>
                <w:sz w:val="20"/>
                <w:szCs w:val="20"/>
                <w:color w:val="auto"/>
              </w:rPr>
            </w:pPr>
            <w:r>
              <w:rPr>
                <w:rFonts w:ascii="Arial" w:cs="Arial" w:eastAsia="Arial" w:hAnsi="Arial"/>
                <w:sz w:val="14"/>
                <w:szCs w:val="14"/>
                <w:b w:val="1"/>
                <w:bCs w:val="1"/>
                <w:color w:val="auto"/>
                <w:w w:val="90"/>
              </w:rPr>
              <w:t>94-3096597</w:t>
            </w:r>
          </w:p>
        </w:tc>
      </w:tr>
      <w:tr>
        <w:trPr>
          <w:trHeight w:val="203"/>
        </w:trPr>
        <w:tc>
          <w:tcPr>
            <w:tcW w:w="1900" w:type="dxa"/>
            <w:vAlign w:val="bottom"/>
          </w:tcPr>
          <w:p>
            <w:pPr>
              <w:jc w:val="center"/>
              <w:ind w:right="88"/>
              <w:spacing w:after="0"/>
              <w:rPr>
                <w:sz w:val="20"/>
                <w:szCs w:val="20"/>
                <w:color w:val="auto"/>
              </w:rPr>
            </w:pPr>
            <w:r>
              <w:rPr>
                <w:rFonts w:ascii="Arial" w:cs="Arial" w:eastAsia="Arial" w:hAnsi="Arial"/>
                <w:sz w:val="14"/>
                <w:szCs w:val="14"/>
                <w:color w:val="auto"/>
                <w:w w:val="94"/>
              </w:rPr>
              <w:t>(State or other jurisdiction of</w:t>
            </w: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20" w:type="dxa"/>
            <w:vAlign w:val="bottom"/>
          </w:tcPr>
          <w:p>
            <w:pPr>
              <w:jc w:val="center"/>
              <w:ind w:left="968"/>
              <w:spacing w:after="0"/>
              <w:rPr>
                <w:sz w:val="20"/>
                <w:szCs w:val="20"/>
                <w:color w:val="auto"/>
              </w:rPr>
            </w:pPr>
            <w:r>
              <w:rPr>
                <w:rFonts w:ascii="Arial" w:cs="Arial" w:eastAsia="Arial" w:hAnsi="Arial"/>
                <w:sz w:val="14"/>
                <w:szCs w:val="14"/>
                <w:color w:val="auto"/>
                <w:w w:val="97"/>
              </w:rPr>
              <w:t>(I.R.S. Employer</w:t>
            </w:r>
          </w:p>
        </w:tc>
      </w:tr>
      <w:tr>
        <w:trPr>
          <w:trHeight w:val="203"/>
        </w:trPr>
        <w:tc>
          <w:tcPr>
            <w:tcW w:w="1900" w:type="dxa"/>
            <w:vAlign w:val="bottom"/>
          </w:tcPr>
          <w:p>
            <w:pPr>
              <w:jc w:val="center"/>
              <w:ind w:right="88"/>
              <w:spacing w:after="0"/>
              <w:rPr>
                <w:sz w:val="20"/>
                <w:szCs w:val="20"/>
                <w:color w:val="auto"/>
              </w:rPr>
            </w:pPr>
            <w:r>
              <w:rPr>
                <w:rFonts w:ascii="Arial" w:cs="Arial" w:eastAsia="Arial" w:hAnsi="Arial"/>
                <w:sz w:val="14"/>
                <w:szCs w:val="14"/>
                <w:color w:val="auto"/>
                <w:w w:val="95"/>
              </w:rPr>
              <w:t>incorporation or organization)</w:t>
            </w: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20" w:type="dxa"/>
            <w:vAlign w:val="bottom"/>
          </w:tcPr>
          <w:p>
            <w:pPr>
              <w:jc w:val="center"/>
              <w:ind w:left="968"/>
              <w:spacing w:after="0"/>
              <w:rPr>
                <w:sz w:val="20"/>
                <w:szCs w:val="20"/>
                <w:color w:val="auto"/>
              </w:rPr>
            </w:pPr>
            <w:r>
              <w:rPr>
                <w:rFonts w:ascii="Arial" w:cs="Arial" w:eastAsia="Arial" w:hAnsi="Arial"/>
                <w:sz w:val="14"/>
                <w:szCs w:val="14"/>
                <w:color w:val="auto"/>
                <w:w w:val="99"/>
              </w:rPr>
              <w:t>Identification No.)</w:t>
            </w:r>
          </w:p>
        </w:tc>
      </w:tr>
      <w:tr>
        <w:trPr>
          <w:trHeight w:val="269"/>
        </w:trPr>
        <w:tc>
          <w:tcPr>
            <w:tcW w:w="19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160" w:type="dxa"/>
            <w:vAlign w:val="bottom"/>
            <w:gridSpan w:val="2"/>
          </w:tcPr>
          <w:p>
            <w:pPr>
              <w:jc w:val="center"/>
              <w:ind w:right="2048"/>
              <w:spacing w:after="0"/>
              <w:rPr>
                <w:sz w:val="20"/>
                <w:szCs w:val="20"/>
                <w:color w:val="auto"/>
              </w:rPr>
            </w:pPr>
            <w:r>
              <w:rPr>
                <w:rFonts w:ascii="Arial" w:cs="Arial" w:eastAsia="Arial" w:hAnsi="Arial"/>
                <w:sz w:val="18"/>
                <w:szCs w:val="18"/>
                <w:b w:val="1"/>
                <w:bCs w:val="1"/>
                <w:color w:val="auto"/>
                <w:w w:val="88"/>
              </w:rPr>
              <w:t>64 Sidney Street</w:t>
            </w:r>
          </w:p>
        </w:tc>
      </w:tr>
      <w:tr>
        <w:trPr>
          <w:trHeight w:val="176"/>
        </w:trPr>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160" w:type="dxa"/>
            <w:vAlign w:val="bottom"/>
            <w:gridSpan w:val="2"/>
          </w:tcPr>
          <w:p>
            <w:pPr>
              <w:jc w:val="center"/>
              <w:ind w:right="2048"/>
              <w:spacing w:after="0" w:line="176" w:lineRule="exact"/>
              <w:rPr>
                <w:sz w:val="20"/>
                <w:szCs w:val="20"/>
                <w:color w:val="auto"/>
              </w:rPr>
            </w:pPr>
            <w:r>
              <w:rPr>
                <w:rFonts w:ascii="Arial" w:cs="Arial" w:eastAsia="Arial" w:hAnsi="Arial"/>
                <w:sz w:val="18"/>
                <w:szCs w:val="18"/>
                <w:b w:val="1"/>
                <w:bCs w:val="1"/>
                <w:color w:val="auto"/>
                <w:w w:val="94"/>
              </w:rPr>
              <w:t>Cambridge, MA 02139</w:t>
            </w:r>
          </w:p>
        </w:tc>
      </w:tr>
      <w:tr>
        <w:trPr>
          <w:trHeight w:val="182"/>
        </w:trPr>
        <w:tc>
          <w:tcPr>
            <w:tcW w:w="1900" w:type="dxa"/>
            <w:vAlign w:val="bottom"/>
          </w:tcPr>
          <w:p>
            <w:pPr>
              <w:spacing w:after="0"/>
              <w:rPr>
                <w:sz w:val="15"/>
                <w:szCs w:val="15"/>
                <w:color w:val="auto"/>
              </w:rPr>
            </w:pPr>
          </w:p>
        </w:tc>
        <w:tc>
          <w:tcPr>
            <w:tcW w:w="5320" w:type="dxa"/>
            <w:vAlign w:val="bottom"/>
            <w:gridSpan w:val="3"/>
          </w:tcPr>
          <w:p>
            <w:pPr>
              <w:jc w:val="center"/>
              <w:ind w:right="948"/>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265"/>
        </w:trPr>
        <w:tc>
          <w:tcPr>
            <w:tcW w:w="1900" w:type="dxa"/>
            <w:vAlign w:val="bottom"/>
          </w:tcPr>
          <w:p>
            <w:pPr>
              <w:spacing w:after="0"/>
              <w:rPr>
                <w:sz w:val="23"/>
                <w:szCs w:val="23"/>
                <w:color w:val="auto"/>
              </w:rPr>
            </w:pPr>
          </w:p>
        </w:tc>
        <w:tc>
          <w:tcPr>
            <w:tcW w:w="5320" w:type="dxa"/>
            <w:vAlign w:val="bottom"/>
            <w:gridSpan w:val="3"/>
          </w:tcPr>
          <w:p>
            <w:pPr>
              <w:jc w:val="center"/>
              <w:ind w:right="92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(800) 556-0311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153670</wp:posOffset>
            </wp:positionV>
            <wp:extent cx="12947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17145"/>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45" w:lineRule="exact"/>
        <w:rPr>
          <w:sz w:val="24"/>
          <w:szCs w:val="24"/>
          <w:color w:val="auto"/>
        </w:rPr>
      </w:pPr>
    </w:p>
    <w:tbl>
      <w:tblPr>
        <w:tblLayout w:type="fixed"/>
        <w:tblInd w:w="34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Title of Class</w:t>
            </w:r>
          </w:p>
        </w:tc>
        <w:tc>
          <w:tcPr>
            <w:tcW w:w="1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224"/>
        </w:trPr>
        <w:tc>
          <w:tcPr>
            <w:tcW w:w="1620" w:type="dxa"/>
            <w:vAlign w:val="bottom"/>
          </w:tcPr>
          <w:p>
            <w:pPr>
              <w:spacing w:after="0"/>
              <w:rPr>
                <w:sz w:val="19"/>
                <w:szCs w:val="19"/>
                <w:color w:val="auto"/>
              </w:rPr>
            </w:pPr>
          </w:p>
        </w:tc>
        <w:tc>
          <w:tcPr>
            <w:tcW w:w="35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Common Stock (No par value)</w:t>
            </w:r>
          </w:p>
        </w:tc>
        <w:tc>
          <w:tcPr>
            <w:tcW w:w="3640" w:type="dxa"/>
            <w:vAlign w:val="bottom"/>
          </w:tcPr>
          <w:p>
            <w:pPr>
              <w:jc w:val="center"/>
              <w:spacing w:after="0"/>
              <w:rPr>
                <w:sz w:val="20"/>
                <w:szCs w:val="20"/>
                <w:color w:val="auto"/>
              </w:rPr>
            </w:pPr>
            <w:r>
              <w:rPr>
                <w:rFonts w:ascii="Arial" w:cs="Arial" w:eastAsia="Arial" w:hAnsi="Arial"/>
                <w:sz w:val="16"/>
                <w:szCs w:val="16"/>
                <w:color w:val="auto"/>
                <w:w w:val="95"/>
              </w:rPr>
              <w:t>The NASDAQ Stock Market, Inc.</w:t>
            </w:r>
          </w:p>
        </w:tc>
      </w:tr>
      <w:tr>
        <w:trPr>
          <w:trHeight w:val="338"/>
        </w:trPr>
        <w:tc>
          <w:tcPr>
            <w:tcW w:w="5160" w:type="dxa"/>
            <w:vAlign w:val="bottom"/>
            <w:gridSpan w:val="3"/>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3640" w:type="dxa"/>
            <w:vAlign w:val="bottom"/>
          </w:tcPr>
          <w:p>
            <w:pPr>
              <w:spacing w:after="0"/>
              <w:rPr>
                <w:sz w:val="24"/>
                <w:szCs w:val="24"/>
                <w:color w:val="auto"/>
              </w:rPr>
            </w:pPr>
          </w:p>
        </w:tc>
      </w:tr>
    </w:tbl>
    <w:p>
      <w:pPr>
        <w:spacing w:after="0" w:line="118" w:lineRule="exact"/>
        <w:rPr>
          <w:sz w:val="24"/>
          <w:szCs w:val="24"/>
          <w:color w:val="auto"/>
        </w:rPr>
      </w:pPr>
    </w:p>
    <w:p>
      <w:pPr>
        <w:ind w:left="340" w:right="2520"/>
        <w:spacing w:after="0" w:line="483"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ind w:right="160" w:firstLine="324"/>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9" w:lineRule="exact"/>
        <w:rPr>
          <w:sz w:val="24"/>
          <w:szCs w:val="24"/>
          <w:color w:val="auto"/>
        </w:rPr>
      </w:pPr>
    </w:p>
    <w:p>
      <w:pPr>
        <w:ind w:right="340" w:firstLine="324"/>
        <w:spacing w:after="0" w:line="23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19" w:lineRule="exact"/>
        <w:rPr>
          <w:sz w:val="24"/>
          <w:szCs w:val="24"/>
          <w:color w:val="auto"/>
        </w:rPr>
      </w:pPr>
    </w:p>
    <w:p>
      <w:pPr>
        <w:ind w:right="40" w:firstLine="324"/>
        <w:spacing w:after="0" w:line="272" w:lineRule="auto"/>
        <w:rPr>
          <w:sz w:val="20"/>
          <w:szCs w:val="20"/>
          <w:color w:val="auto"/>
        </w:rPr>
      </w:pPr>
      <w:r>
        <w:rPr>
          <w:rFonts w:ascii="Arial" w:cs="Arial" w:eastAsia="Arial" w:hAnsi="Arial"/>
          <w:sz w:val="15"/>
          <w:szCs w:val="15"/>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x</w:t>
      </w:r>
    </w:p>
    <w:p>
      <w:pPr>
        <w:spacing w:after="0" w:line="95" w:lineRule="exact"/>
        <w:rPr>
          <w:sz w:val="24"/>
          <w:szCs w:val="24"/>
          <w:color w:val="auto"/>
        </w:rPr>
      </w:pPr>
    </w:p>
    <w:p>
      <w:pPr>
        <w:jc w:val="both"/>
        <w:ind w:firstLine="324"/>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3" w:lineRule="exact"/>
        <w:rPr>
          <w:sz w:val="24"/>
          <w:szCs w:val="24"/>
          <w:color w:val="auto"/>
        </w:rPr>
      </w:pPr>
    </w:p>
    <w:p>
      <w:pPr>
        <w:ind w:left="2140"/>
        <w:spacing w:after="0"/>
        <w:tabs>
          <w:tab w:leader="none" w:pos="7780" w:val="left"/>
        </w:tabs>
        <w:rPr>
          <w:sz w:val="20"/>
          <w:szCs w:val="20"/>
          <w:color w:val="auto"/>
        </w:rPr>
      </w:pPr>
      <w:r>
        <w:rPr>
          <w:rFonts w:ascii="Arial" w:cs="Arial" w:eastAsia="Arial" w:hAnsi="Arial"/>
          <w:sz w:val="14"/>
          <w:szCs w:val="14"/>
          <w:color w:val="auto"/>
        </w:rPr>
        <w:t>Large accelerated filer - o</w:t>
      </w:r>
      <w:r>
        <w:rPr>
          <w:sz w:val="20"/>
          <w:szCs w:val="20"/>
          <w:color w:val="auto"/>
        </w:rPr>
        <w:tab/>
      </w:r>
      <w:r>
        <w:rPr>
          <w:rFonts w:ascii="Arial" w:cs="Arial" w:eastAsia="Arial" w:hAnsi="Arial"/>
          <w:sz w:val="13"/>
          <w:szCs w:val="13"/>
          <w:color w:val="auto"/>
        </w:rPr>
        <w:t>Accelerated filer - x</w:t>
      </w:r>
    </w:p>
    <w:p>
      <w:pPr>
        <w:spacing w:after="0" w:line="42" w:lineRule="exact"/>
        <w:rPr>
          <w:sz w:val="24"/>
          <w:szCs w:val="24"/>
          <w:color w:val="auto"/>
        </w:rPr>
      </w:pPr>
    </w:p>
    <w:p>
      <w:pPr>
        <w:ind w:left="2180"/>
        <w:spacing w:after="0"/>
        <w:tabs>
          <w:tab w:leader="none" w:pos="7480" w:val="left"/>
        </w:tabs>
        <w:rPr>
          <w:sz w:val="20"/>
          <w:szCs w:val="20"/>
          <w:color w:val="auto"/>
        </w:rPr>
      </w:pPr>
      <w:r>
        <w:rPr>
          <w:rFonts w:ascii="Arial" w:cs="Arial" w:eastAsia="Arial" w:hAnsi="Arial"/>
          <w:sz w:val="14"/>
          <w:szCs w:val="14"/>
          <w:color w:val="auto"/>
        </w:rPr>
        <w:t>Non-accelerated filer - o</w:t>
      </w:r>
      <w:r>
        <w:rPr>
          <w:sz w:val="20"/>
          <w:szCs w:val="20"/>
          <w:color w:val="auto"/>
        </w:rPr>
        <w:tab/>
      </w:r>
      <w:r>
        <w:rPr>
          <w:rFonts w:ascii="Arial" w:cs="Arial" w:eastAsia="Arial" w:hAnsi="Arial"/>
          <w:sz w:val="13"/>
          <w:szCs w:val="13"/>
          <w:color w:val="auto"/>
        </w:rPr>
        <w:t>Smaller reporting company - o</w:t>
      </w:r>
    </w:p>
    <w:p>
      <w:pPr>
        <w:spacing w:after="0" w:line="42" w:lineRule="exact"/>
        <w:rPr>
          <w:sz w:val="24"/>
          <w:szCs w:val="24"/>
          <w:color w:val="auto"/>
        </w:rPr>
      </w:pPr>
    </w:p>
    <w:p>
      <w:pPr>
        <w:ind w:left="1560"/>
        <w:spacing w:after="0"/>
        <w:rPr>
          <w:sz w:val="20"/>
          <w:szCs w:val="20"/>
          <w:color w:val="auto"/>
        </w:rPr>
      </w:pPr>
      <w:r>
        <w:rPr>
          <w:rFonts w:ascii="Arial" w:cs="Arial" w:eastAsia="Arial" w:hAnsi="Arial"/>
          <w:sz w:val="14"/>
          <w:szCs w:val="14"/>
          <w:color w:val="auto"/>
        </w:rPr>
        <w:t>(Do not check if a smaller reporting company)</w:t>
      </w:r>
    </w:p>
    <w:p>
      <w:pPr>
        <w:spacing w:after="0" w:line="11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40" w:lineRule="exact"/>
        <w:rPr>
          <w:sz w:val="24"/>
          <w:szCs w:val="24"/>
          <w:color w:val="auto"/>
        </w:rPr>
      </w:pPr>
    </w:p>
    <w:p>
      <w:pPr>
        <w:ind w:firstLine="324"/>
        <w:spacing w:after="0" w:line="225" w:lineRule="auto"/>
        <w:rPr>
          <w:sz w:val="20"/>
          <w:szCs w:val="20"/>
          <w:color w:val="auto"/>
        </w:rPr>
      </w:pPr>
      <w:r>
        <w:rPr>
          <w:rFonts w:ascii="Arial" w:cs="Arial" w:eastAsia="Arial" w:hAnsi="Arial"/>
          <w:sz w:val="16"/>
          <w:szCs w:val="16"/>
          <w:color w:val="auto"/>
        </w:rPr>
        <w:t>The aggregate market value of the registrant’s Common Stock, no par value (“Common Stock”), held by non-affiliates of the registrant (based on the closing sales price of the Common Stock as reported on the NASDAQ Capital Market) on June 30, 2016 was approximately $54,886,403. This computation excludes shares of Common Stock held by directors, officers and each person who holds 5% or more of the outstanding shares of Common Stock, since such persons may be deemed to be affiliates of the registrant. This determination of affiliate status is not necessarily a conclusive determination for other purposes.</w:t>
      </w:r>
    </w:p>
    <w:p>
      <w:pPr>
        <w:spacing w:after="0" w:line="11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March 10, 2017, 32,723,646 shares of Common Stock, no par value, were outstanding.</w:t>
      </w: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93" w:lineRule="exact"/>
        <w:rPr>
          <w:sz w:val="24"/>
          <w:szCs w:val="24"/>
          <w:color w:val="auto"/>
        </w:rPr>
      </w:pPr>
    </w:p>
    <w:p>
      <w:pPr>
        <w:ind w:left="3140"/>
        <w:spacing w:after="0"/>
        <w:tabs>
          <w:tab w:leader="none" w:pos="8260" w:val="left"/>
        </w:tabs>
        <w:rPr>
          <w:sz w:val="20"/>
          <w:szCs w:val="20"/>
          <w:color w:val="auto"/>
        </w:rPr>
      </w:pPr>
      <w:r>
        <w:rPr>
          <w:rFonts w:ascii="Arial" w:cs="Arial" w:eastAsia="Arial" w:hAnsi="Arial"/>
          <w:sz w:val="13"/>
          <w:szCs w:val="13"/>
          <w:b w:val="1"/>
          <w:bCs w:val="1"/>
          <w:color w:val="auto"/>
        </w:rPr>
        <w:t>Document</w:t>
      </w:r>
      <w:r>
        <w:rPr>
          <w:sz w:val="20"/>
          <w:szCs w:val="20"/>
          <w:color w:val="auto"/>
        </w:rPr>
        <w:tab/>
      </w:r>
      <w:r>
        <w:rPr>
          <w:rFonts w:ascii="Arial" w:cs="Arial" w:eastAsia="Arial" w:hAnsi="Arial"/>
          <w:sz w:val="13"/>
          <w:szCs w:val="13"/>
          <w:b w:val="1"/>
          <w:bCs w:val="1"/>
          <w:color w:val="auto"/>
        </w:rPr>
        <w:t>Form 10-K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646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p>
      <w:pPr>
        <w:spacing w:after="0" w:line="53"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14"/>
          <w:szCs w:val="14"/>
          <w:color w:val="auto"/>
        </w:rPr>
        <w:t>Proxy Statement for the Annual Meeting of Shareholders scheduled for May 3, 2017</w:t>
      </w:r>
      <w:r>
        <w:rPr>
          <w:sz w:val="20"/>
          <w:szCs w:val="20"/>
          <w:color w:val="auto"/>
        </w:rPr>
        <w:tab/>
      </w:r>
      <w:r>
        <w:rPr>
          <w:rFonts w:ascii="Arial" w:cs="Arial" w:eastAsia="Arial" w:hAnsi="Arial"/>
          <w:sz w:val="13"/>
          <w:szCs w:val="13"/>
          <w:color w:val="auto"/>
        </w:rPr>
        <w:t>Items 10, 11, 12, 13 and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VERICEL CORPORATION</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w w:val="99"/>
              </w:rPr>
              <w:t>ANNUAL REPORT ON FORM 10-K</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2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00" w:type="dxa"/>
            <w:vAlign w:val="bottom"/>
            <w:gridSpan w:val="19"/>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9"/>
                <w:szCs w:val="19"/>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8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Unresolved Staff Comments</w:t>
              </w:r>
            </w:hyperlink>
          </w:p>
        </w:tc>
        <w:tc>
          <w:tcPr>
            <w:tcW w:w="74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74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91"/>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Market for Registrant’s Common Equity, Related Shareholder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Selected Financial Data</w:t>
              </w:r>
            </w:hyperlink>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98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50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9.</w:t>
            </w:r>
          </w:p>
        </w:tc>
        <w:tc>
          <w:tcPr>
            <w:tcW w:w="9440" w:type="dxa"/>
            <w:vAlign w:val="bottom"/>
            <w:gridSpan w:val="20"/>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294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768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r>
      <w:tr>
        <w:trPr>
          <w:trHeight w:val="291"/>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36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Security Ownership of Certain Beneficial Owners and Management, and Related Shareholder Matters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32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91"/>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Exhibits and Financial Statement Schedules</w:t>
              </w:r>
            </w:hyperlink>
          </w:p>
        </w:tc>
        <w:tc>
          <w:tcPr>
            <w:tcW w:w="6280" w:type="dxa"/>
            <w:vAlign w:val="bottom"/>
            <w:gridSpan w:val="9"/>
          </w:tcPr>
          <w:p>
            <w:pPr>
              <w:spacing w:after="0"/>
              <w:rPr>
                <w:sz w:val="19"/>
                <w:szCs w:val="19"/>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Form 10-K Summary</w:t>
              </w:r>
            </w:hyperlink>
          </w:p>
        </w:tc>
        <w:tc>
          <w:tcPr>
            <w:tcW w:w="628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50"/>
        </w:trPr>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7">
              <w:r>
                <w:rPr>
                  <w:rFonts w:ascii="Arial" w:cs="Arial" w:eastAsia="Arial" w:hAnsi="Arial"/>
                  <w:sz w:val="18"/>
                  <w:szCs w:val="18"/>
                  <w:color w:val="0000EE"/>
                  <w:w w:val="85"/>
                </w:rPr>
                <w:t>Signatures</w:t>
              </w:r>
            </w:hyperlink>
          </w:p>
        </w:tc>
        <w:tc>
          <w:tcPr>
            <w:tcW w:w="50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Exhibit Index</w:t>
              </w:r>
            </w:hyperlink>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Glossary</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39"/>
        </w:trPr>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40" w:type="dxa"/>
            <w:vAlign w:val="bottom"/>
            <w:gridSpan w:val="15"/>
          </w:tcPr>
          <w:p>
            <w:pPr>
              <w:jc w:val="center"/>
              <w:ind w:left="329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This Annual Report on Form 10-K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Annual Report on Form 10-K under “Part I, Item 1A Risk Factors”.</w:t>
      </w:r>
    </w:p>
    <w:p>
      <w:pPr>
        <w:spacing w:after="0" w:line="1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Annual Report on Form 10-K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Except for the historical information presented, the matters discussed in this Report, including our product development and commercialization goals and expectations, our plans and anticipated timing and results of clinical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“we,” “us,” “our” and “Vericel” refer to Vericel Corporation.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Vericel Corporation is a leading developer of patient-specific expanded cell therapies for use in the treatment of patients with severe diseases and conditions. We currently have three U.S. Food and Drug Administration (FDA) approved autologous cell therapy products in the United States. Carticel® (autologous cultured chondrocytes),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Carticel will be replaced by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on porcine collagen membrane), an autologous cellularized scaffold product indicated for the repair of symptomatic, single or multiple full-thickness cartilage defects of the knee with or without bone involvement in adults, which was approved by the FDA on December 13, 2016. The first shipment and implantation of MACI occurred on January 31, 2017. We also market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(cultured epidermal autografts), a permanent skin replacement product for the treatment of patients with deep-dermal or full-thickness burns comprising greater than or equal to 30 percent of total body surface area (TBSA). Our development stage portfolio includes ixmyelocel-T, a patient-specific multicellular therapy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product portfolio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152400</wp:posOffset>
            </wp:positionV>
            <wp:extent cx="4570730" cy="2889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7073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objective is to become the leading cell therapy and regenerative medicine company by developing, manufacturing and marketing best-in-class therapies for patients with significant unmet medical needs that require the repair and regeneration of damaged tissues and organs.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achieve this objective, we intend to:</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the operating income from our U.S. MACI and Epicel business to pursue profitability;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the manufacturing costs for MACI through increased volume;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Epicel usage in the severely burned patient segment by increasing sales and marketing resources;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Capitalize on our recent FDA approval to label Epicel for use in pediatric patients and the related determination from the FDA that Epicel meets the criteria to be sold for profit.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May 30, 2014, we completed the acquisition of the Cell Therapy and Regenerative Medicine (CTRM) business of Sanofi, a French </w:t>
      </w:r>
      <w:r>
        <w:rPr>
          <w:rFonts w:ascii="Arial" w:cs="Arial" w:eastAsia="Arial" w:hAnsi="Arial"/>
          <w:sz w:val="16"/>
          <w:szCs w:val="16"/>
          <w:i w:val="1"/>
          <w:iCs w:val="1"/>
          <w:color w:val="auto"/>
        </w:rPr>
        <w:t>société</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anonyme </w:t>
      </w:r>
      <w:r>
        <w:rPr>
          <w:rFonts w:ascii="Arial" w:cs="Arial" w:eastAsia="Arial" w:hAnsi="Arial"/>
          <w:sz w:val="16"/>
          <w:szCs w:val="16"/>
          <w:color w:val="auto"/>
        </w:rPr>
        <w:t>(Sanofi), certain assets, including all of the outstanding equity interests of Genzyme Biosurgery ApS (now known as Vericel Denmark ApS), a</w:t>
      </w:r>
      <w:r>
        <w:rPr>
          <w:rFonts w:ascii="Arial" w:cs="Arial" w:eastAsia="Arial" w:hAnsi="Arial"/>
          <w:sz w:val="16"/>
          <w:szCs w:val="16"/>
          <w:i w:val="1"/>
          <w:iCs w:val="1"/>
          <w:color w:val="auto"/>
        </w:rPr>
        <w:t xml:space="preserve"> </w:t>
      </w:r>
      <w:r>
        <w:rPr>
          <w:rFonts w:ascii="Arial" w:cs="Arial" w:eastAsia="Arial" w:hAnsi="Arial"/>
          <w:sz w:val="16"/>
          <w:szCs w:val="16"/>
          <w:color w:val="auto"/>
        </w:rPr>
        <w:t>wholly-owned subsidiary of Sanofi, and a portfolio of patents and patent applications of Sanofi and certain of its subsidiaries, and assumed certain liabilities for purposes of acquiring the portion of the CTRM business, which researches, develops, manufactures, markets and sells Carticel, MACI and Epicel.</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Carticel and MACI are both cell therapy products for the treatment of cartilage defects in the knee and Epicel (cultured epidermal autografts) is a permanent skin replacement for the treatment of patients with severe deep-dermal or full-thickness burns comprising greater than or equal to 30 percent of TBSA. MACI was approved by the FDA on December 13, 2016 and the first shipment and implantation of MACI occurred on January 31, 2017. We plan to stop manufacturing and marketing Carticel as soon as practicable, and potentially as early as the end of the second quarter of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 of Cartilage Defects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Damage to cartilage in the knee can occur from acute trauma or repetitive trauma from playing sports, exercising, working or performing everyday activities. When damaged, cartilage in the knee does not usually heal on its own. If left untreated, cartilage defects can progress and lead to degenerative joint disease, osteoarthritis and potentially require total knee replacement, a poor option for younger and more active patients.</w:t>
      </w:r>
    </w:p>
    <w:p>
      <w:pPr>
        <w:spacing w:after="0" w:line="166"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a minimally invasive procedure that can be performed arthroscopically, osteochondral autografts for smaller cartilage injuries, osteochondral allografts, and autologous chondrocyte implantation (ACI) for larger injuries. More recently other products, sourced from allogeneic tissue have been commercialized. These products include DeNovo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NT (Zimmer Biomet), Cartiform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(Arthrex) and Prochondrix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(Allosource), which are subject to human tissue regulation. Products subject to human tissue regulation are not required to obtain a Biologics License prior to being marketed. Products, like MACI, which must meet the requirements for a Biologics License Application before being marketed, are required to demonstrate the clinical efficacy equal to or superior to a standard of care.</w:t>
      </w:r>
    </w:p>
    <w:p>
      <w:pPr>
        <w:spacing w:after="0" w:line="20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Carticel, was the first FDA-approved autologous cartilage repair product for the repair of symptomatic cartilage defects.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development, drilling/abrasion arthroplasty), or osteochondral allograft/autograft (transferring cartilage from one joint to another). Carticel received a BLA approval in 1997 and is currently marketed in the U.S. It is generally used on patients with larger lesions (greater than 3 cm</w:t>
      </w:r>
      <w:r>
        <w:rPr>
          <w:rFonts w:ascii="Arial" w:cs="Arial" w:eastAsia="Arial" w:hAnsi="Arial"/>
          <w:sz w:val="18"/>
          <w:szCs w:val="18"/>
          <w:color w:val="auto"/>
          <w:vertAlign w:val="superscript"/>
        </w:rPr>
        <w:t>2</w:t>
      </w:r>
      <w:r>
        <w:rPr>
          <w:rFonts w:ascii="Arial" w:cs="Arial" w:eastAsia="Arial" w:hAnsi="Arial"/>
          <w:sz w:val="18"/>
          <w:szCs w:val="18"/>
          <w:color w:val="auto"/>
        </w:rPr>
        <w:t>). Carticel will be replaced by MACI, which was approved on December 13, 2016 by the FDA.</w:t>
      </w:r>
    </w:p>
    <w:p>
      <w:pPr>
        <w:spacing w:after="0" w:line="1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MACI is an autologous cellular scaffold product consisting of autologous cultured chondrocytes seeded onto a resorbable Type I/III porcine-derived collagen membrane. Autologous cultured chondrocytes are human-derived cells which are obtained from the patient's own cartilage for the manufacture of MACI. MACI is implanted by orthopedic surgeons after obtaining a cartilage biopsy during an initial arthroscopic procedure. The patient’s chondrocytes, which are the cells that produce cartilage, are isolated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expanded in a manufacturing process compliant with current Good Manufacturing Practices (cGMP) and seeded onto a resorbable collagen membrane. During a second surgical procedure, MACI is implanted into the cartilage defect. MACI may produce a durable repair tissue with characteristics similar to the native cartilage. The therapeutic advantage of ACI relative to other approaches, such as microfracture, is that the autologous chondrocytes have the potential to produce the hyaline cartilage that is naturally present in the knee, rather than fibrous cartilage which lacks durability and the wear characteristics of hyaline cartilage. Carticel is a cell suspension and requires the suturing of a periosteal flap to contain the cell suspension in the defect. This procedure can be tedious and technically challenging requiring a large incision, or arthrotomy. The MACI implant contains the cells which, using proprietary means, are uniformly seeded on a collagen membrane and therefore there is no need to suture a membrane in place to confine the cell suspension to the defect area. This allows the implantation of MACI to be done through a smaller incision or mini-arthrotomy. MACI is simply trimmed to the size of the defect and fixed to the bone with an off-the-shelf surgical fibrin sealant. We plan to stop manufacturing and marketing Carticel as soon as practicable, and potentially as early as the end of the second quarter of 2017. We believe MACI will expand the ACI market since MACI shares the clinical advantages of Carticel while being less invasive, shortening procedure time, and eliminating the need for a periosteal harvest and suture fixation of the periosteal patch. In addition, the MACI implant ensures more uniform distribution of the cells in the cartilage defect and is supported by Phase 3 clinical data demonstrating a statistically significant improvement in pain and function scores compared to microfracture.</w:t>
      </w:r>
    </w:p>
    <w:p>
      <w:pPr>
        <w:spacing w:after="0" w:line="18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MACI received marketing authorization in Europe in June 2013 by meeting the requirements of the Advanced Therapy and Medicinal Product (ATMP) guidelines based on the results of the Superiority of MACI Implant versus Microfracture Treatment in patients with symptomatic articular cartilage defects in the knee (SUMMIT) trial in which MACI was manufactured at, and supplied from, the Cambridge, Massachusetts site. MACI became available in the EU and Australia in 2001. As part of the June 2014 restructuring, we temporarily suspended the marketing of MACI in Europe as of September 2014 primarily due to low utilization and an unfavorable pricing environment. The timing and strategy for a possible reintroduction in select EU countries have not yet been determined. We believe that MACI has significant advantages over Carticel and will increase overall ACI revenue in the U.S.</w:t>
      </w:r>
    </w:p>
    <w:p>
      <w:pPr>
        <w:spacing w:after="0" w:line="16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pivotal clinical trial supporting MACI registration in Europe and approval in the U.S. SUMMIT, was completed in 2012. Analysis of this 144 patient study demonstrated that there is a statistically significant greater improvement in the co-primary endpoint of pain and function for those patients treated with a MACI implant compared to microfracture which was the current standard of care at Week 104.</w:t>
      </w:r>
    </w:p>
    <w:p>
      <w:pPr>
        <w:spacing w:after="0" w:line="18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obtained MACI through its acquisition by Genzyme Corporation, a subsidiary of Sanofi, of Verigen AG (Verigen) in 2005. As part of its acquisition of Verigen, Genzyme Corporation agreed to make cash payments to Verigen upon the achievement of developmental milestones relating to regulatory and commercialization of MACI in the United States. In connection with our acquisition of the CTRM business, we agreed that if we further developed MACI in the U.S., we would be obligated to pay these milestone payments. In the third quarter of 2014, at our request, Sanofi entered into a settlement agreement with the former shareholders of Verigen whereby these shareholders agreed to discharge all obligations related to these MACI milestone payments in exchange for a one-time cash payment of €2.5 million (approximately $3.2 million). We accrued the liability in the third quarter of 2014 and paid the amount in full in October 2014. This agreement was reached in full settlement of any and all potential obligations to Verigen related to future MACI developmental milestones.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Opportunity for MACI</w:t>
      </w:r>
    </w:p>
    <w:p>
      <w:pPr>
        <w:spacing w:after="0" w:line="225"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In the U.S. annually, there are approximately 1 million arthroscopic procedures and more than 250,000 cartilage surgical procedures. Of these, approximately 50,000 are full thickness defects greater than 2 cm</w:t>
      </w:r>
      <w:r>
        <w:rPr>
          <w:rFonts w:ascii="Arial" w:cs="Arial" w:eastAsia="Arial" w:hAnsi="Arial"/>
          <w:sz w:val="25"/>
          <w:szCs w:val="25"/>
          <w:color w:val="auto"/>
          <w:vertAlign w:val="superscript"/>
        </w:rPr>
        <w:t>2</w:t>
      </w:r>
      <w:r>
        <w:rPr>
          <w:rFonts w:ascii="Arial" w:cs="Arial" w:eastAsia="Arial" w:hAnsi="Arial"/>
          <w:sz w:val="18"/>
          <w:szCs w:val="18"/>
          <w:color w:val="auto"/>
        </w:rPr>
        <w:t>. Approximately 10,000 of the patients with these types of defects meet our target market criteria which include being between the ages of 18 to 55 and leading an active lifestyle.</w:t>
      </w:r>
    </w:p>
    <w:p>
      <w:pPr>
        <w:spacing w:after="0" w:line="20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Typical initial cartilage surgical procedures include chondroplasty (debridement) and/or microfracture. These two procedures account for 98% of all cartilage surgical procedures. Although initial microfracture results demonstrate pain score improvement generally, only patients with Class 1, or the smallest defects, do not experience deterioration after 18 months. Patients seeking retreatment account for about 2.5% of the cartilage surgical repair market and often receive either allograft, autograft or ACI. Treatment with Carticel and MACI provides an opportunity to replace the damaged cartilage with a durable cartilage tissue.</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U.S., the orthopedic physician target audience is very concentrated, with 60% of our 2016 Carticel business originating from approximately 110 physicians. Our target Carticel and MACI audience is a group of physicians who self-identify as or have the formal specialty of sports medicine physicians. We believe this target audience is approximately 450 physicians. At the end of 2016 we expanded our field force from 21 to 28 representatives. Most private payers have a medical policy that allows treatment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Carticel and we are actively working with payers to ensure reimbursement for MACI. The 15 largest payers have a formal medical policy for Carticel, representing 132 million covered lives.</w:t>
      </w:r>
    </w:p>
    <w:p>
      <w:pPr>
        <w:spacing w:after="0" w:line="17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year ended December 31, 2016, Carticel generated net revenues of approximately $38.9 million. Carticel revenue is subject to seasonal fluctuations with stronger sales occurring in the fourth quarter and second quarter due to a number of factors including insurance copay limits and the time of year patients prefer to start rehabilitation. Over the last five years, the percentage of annual sales by quarter has ranged as follows: first quarter, 20% to 24%; second quarter, 24% to 26%; third quarter, 20% to 23%; and fourth quarter, 28% to 33%. We expect MACI to follow the same pattern.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Epicel (cultured epidermal autografts) is a permanent skin replacement for full thickness burns greater than or equal to 30% of TBSA. Epicel is currently the only FDA-approved autologous epidermal product available for large total surface area burns. Currently, approximately 100 patients are treated with Epicel in the U.S. each year. In the year ended December 31, 2016, net revenues were $15.5 million for Epicel.</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Epicel is produced by isolating and expanding keratinocytes, which are the predominant cell type in the epidermis or outer layer of the skin, obtained from a small biopsy of a patient’s healthy skin. Epicel is an important treatment option for patients with severe burns because these patients are generally understood to need a keratinocyte-based epithelium and there is very little skin, which is the only other source of keratinocyte-based epithelium, available for autografts for these patients.</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Epicel is a cell-based product that is regulated by the Center for Biologics Evaluation and Research (CBER) under medical device authorities. Epicel was designated as a Humanitarian Use Device (HUD) in 1998 and a Humanitarian Device Exemption (HDE) application for the product was submitted in 1999. HUDs are devices that are intended for diseases or conditions that affect not more than 8,000 individuals annually in the United States. On December 13, 2016, Section 3052 of the 21st Century Cures Act (Pub. L. No. 114-255) changed the population estimate required to qualify for the Humanitarian Use Device (HUD) designation from "fewer than 4,000" to "not more than 8,000."</w:t>
      </w:r>
    </w:p>
    <w:p>
      <w:pPr>
        <w:spacing w:after="0" w:line="1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February 18, 2016, the FDA approved our HDE supplement to revise the labeled indications of use to specifically include pediatric patients and to add pediatric labeling. Due to the change in the label to include use in pediatric patients, the FDA determined that Epicel met the eligibility criteria to be sold for profit as long as the number of devices distributed in any calendar year does not exceed the annual distribution number (ADN). The ADN is defined as the number of devices reasonably needed to treat, diagnose or cure a population of 8,000 individuals per year in the United States. The FDA has determined that the ADN for Epicel is 360,400 devices. The holder of the HDE must immediately notify FDA if the number of devices distributed during a calendar year exceeds the ADN.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the standard care.</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Opportunity for Epicel</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Each year in the U.S., more than 40,000 people are hospitalized for burns. More than 2,000 of these patients are treated for burns covering more than 30% of their TBSA, the labeled indication for Epicel. Of these patients, approximately 100 patients were treated with Epicel in 2016. Currently, the mortality rate for this group is approximately 34%, partially due to the lack of healthy tissue from which to harvest autografts. Although age can vary, the typical Epicel patient is young and has suffered full thickness burns due to occupational, household or auto accidents, trash burning with gasoline, inappropriate use of space heaters or carelessness with flammable materials. Many of the most severely burned patients are medivac transported to one of the 128 specialized burn centers across the U.S. While the average acute care hospital has less than 3 admissions for burns annually, these specialized burn centers average over 200 admissions per year.</w:t>
      </w:r>
    </w:p>
    <w:p>
      <w:pPr>
        <w:spacing w:after="0" w:line="18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Relative to clinical need, we believe Epicel is underutilized due to lack of consistent promotional effort. We expect Epicel’s utility to grow as commercial and medical efforts are appropriately dedicated to the product and providers. In 2014, a single sales representative supported Epicel, and in 2015 and 2016, we expanded our Epicel sales force to five, where it currently remains.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Epicel revenue is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approximately 100 patients per year. Over the last five years, the percentage of annual sales by quarter has ranged as follows: first quarter, 22% to 35%; second quarter, 22% to 28%; third quarter, 17% to 24%; and fourth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quarter, 23% to 30%. The variability between the same quarters in consecutive years has been as high as 10% of the annual volume. While the number of patients treated per year remains low, we expect these large swings in revenue in some quarters to continue.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 Technology Platform</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preapproval stage portfolio includes ixmyelocel-T, a unique patient-specific multicellular therapy derived from an adult patient’s own bone marrow, which utilized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We believe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MSCs and M2-like macrophages have a wide range of biological activities that promote repair and regeneration of damaged tissues through the paracrine effects of their secreted factors, as well as their direct cell activities. These cells produce high levels of potent anti-inflammatory and angiogenic factors, as well as factors involved in extracellular matrix remodeling. These cells also have direct activities such as phagocytosis of cellular debris and apoptotic cells, which control the inflammatory response, uptake of LDL and removal of cholesterol, and remodeling of extracellular matrix.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 Clinical Development Programs</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clinical development program is focused on addressing severe, chronic ischemic cardiovascular disease, an area of high unmet medical need. We have completed our Phase 1/2 clinical trials in DCM, and on March 10, 2016 we announced that our Phase 2b ixCELL-DCM study, which is a randomized, double-blind, placebo-controlled clinical trial for patients with advanced heart failure due to ischemic DCM, had met its primary endpoint of reduction in clinical cardiac events and that ixmyelocel-T has comparable incidence of adverse events, including serious adverse events, relative to patients in the placebo group.</w:t>
      </w:r>
    </w:p>
    <w:p>
      <w:pPr>
        <w:spacing w:after="0" w:line="1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Ixmyelocel-T has been granted a U.S. Orphan Drug designation by the FDA for the treatment of DCM, which we believe provides the potential for an efficient and cost-effective path to approval for ixmyelocel-T in this heart failure indication. An ixmyelocel-T investigator-initiated clinical study was conducted for the treatment of craniofacial reconstruction, and we have conducted clinical studies for the treatment of CLI. On February 16, 2017, the investigation of ixmyelocel-T for reduction in the risk of death and cardiovascular hospitalization in patients with chronic advanced heart failure due to ischemic dilated cardiomyopathy was designated a Fast Track Program.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Heart Failure Due to Dilated Cardiomyopathy</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Heart failure represents a significant unmet medical need and a growing public health problem. The American Heart Association reports that there are approximately six million patients currently suffering from heart failure in the United States and an estimated 550,000 new cases in the U.S. each year. Current medical costs to treat these patients exceed $25 billion and this is expected to more than triple to nearly $80 billion by 2030 as a result of a growing patient population and the high cost of the limited treatment alternatives for advanced heart failure patients, as described below.</w:t>
      </w:r>
    </w:p>
    <w:p>
      <w:pPr>
        <w:spacing w:after="0" w:line="17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DCM is a leading cause of heart failure and of heart transplantation in the United States. DCM is a disease characterized by weakening of the heart muscle, thinning of the heart walls, enlargement of the heart chambers, and the inability to sufficiently pump blood throughout the body. Patient prognosis depends on the stage and cause of the disease, but is typically characterized by a very poor quality of life and a high mortality rate.</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Current treatments for ischemic DCM patients that are refractory to further medical therapy such as prescription drugs, devices, and/or further revascularization procedures including bypass surgery and angioplasty, are limited to heart transplantation and placement of left ventricular assist devices (LVADs).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the refractory ischemic DCM market represents a substantial market opportunity for ixmyelocel-T. These refractory ischemic DCM patients are currently the target patient population for our clinical development of ixmyelocel-T. The estimated incidence of DCM is 148 cases per 100,000 persons, or 444,000 patients. The more severe or refractory (NYHA Class III/IV) ischemic DCM patient population is difficult to estimate, but we believe it to be approximately one third of the overall DCM population.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have conducted two Phase 2a multicenter, randomized, open-label clinical studies in patients with ischemic DCM and nonischemic DCM investigating surgical (IMPACT-DCM) and catheter-based (Catheter-DCM) delivery of ixmyelocel-T. Sixty-one patients were randomized, and of those, 59 received treatment in the phase 2a studies. We reported 12-month data for the surgical IMPACT-DCM study at the Heart Failure Society of America meeting in September 2011 and final 12-month results from the Catheter-DCM study at the Society for Cardiovascular Angiography and Interventions (SCAI) 2012 Scientific Sessions. The results have also been published in the journal Circulation Research in August of 2014. Results from these studies demonstrated that ixmyelocel-T was well-tolerated in patients with DCM. In the Catheter-DCM study and post-surgery in the IMPACT-DCM study, the incidence of adverse events was comparable between the ixmyelocel-T groups and the control groups.</w:t>
      </w:r>
    </w:p>
    <w:p>
      <w:pPr>
        <w:spacing w:after="0" w:line="17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While these exploratory Phase 2a studies were not powered for determining differences in efficacy between treatment groups, there were consistent trends of clinically meaningful improvement in clinical endpoints observed in the ischemic DCM groups in both studies. In these studies, fewer ischemic patients treated with ixmyelocel-T experienced a major adverse cardiac event, defined as all-cause deaths, all-cause hospitalizations, and unplanned outpatient or emergency department visits for IV treatment of acute worsening heart failure, or MACE, during follow up compared to control patients, representing greater than 50% reduction in the number of patients having a MACE event. A similar benefit was not seen in the non-ischemic patients. Heart failure exacerbation was the most common MACE. In the combined ischemic DCM groups across both studies, MACE were experienced by a lower percentage of ixmyelocel T-treated patients compared to control patients, representing greater than 50% reduction in the number of patients having a MACE event. Likewise, patients in the combined ischemic DCM groups that were treated with ixmyelocel-T had a reduction in the average number of MACE events per patient. MACE is the recommended endpoint (mortality and cardiovascular hospitalizations) in Phase 3 heart failure studies as stated in the FDA 2009 Somatic Cell Therapy for Cardiac Diseases Draft Guidance. Consistent positive trends also were observed in several secondary efficacy measures in the ischemic DCM groups. The majority of ixmyelocel-T-treated patients with ischemic DCM, but not control patients, had statistically significant improvement in New York Heart Association (NYHA) Class that was sustained over the 12 months following treatment. Improvement in NYHA Class is considered clinically meaningful. Additionally, a higher percentage of ixmyelocel T-treated ischemic DCM patients showed a clinically meaningful improvement in self-reported quality of life and a statistically significant increase in six-minute walk distance compared to the ischemic DCM control patients. In the trial, 28 clinical trial sites have treated 114 patients.</w:t>
      </w:r>
    </w:p>
    <w:p>
      <w:pPr>
        <w:spacing w:after="0" w:line="1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completed enrolling and treating patients in our completed Phase 2b ixCELL-DCM study in February, 2015. Patients were followed for 12 months for the primary efficacy endpoint of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are now being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will occur approximately one year later.</w:t>
      </w:r>
    </w:p>
    <w:p>
      <w:pPr>
        <w:spacing w:after="0" w:line="16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Given the expense required to conduct further development and our focus on growing our existing commercial products and becoming profitable, at this time we do not have current plans to initiate or fund a Phase 3 trial on our own. We are assessing all strategic options, including non-dilutive source of financing, such as a strategic partner, to fund the trial.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Cell Manufacturing and Cell Production Components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cell-manufacturing facility is located in Cambridge, Massachusetts, and is used for U.S. manufacturing and distribution of Carticel, MACI and Epicel manufacturing and worldwide distribution. The Cambridge facility also houses our research and development function, which is responsible for process development, release assay development, and technology transfers between sites and departments.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Throughout 2016 we also operated a centralized cell manufacturing facility in Ann Arbor, Michigan. The facility continues to support the final stage of the open label extension of the ixCELL-DCM clinical trial being conducted in the United States and Canada. Upon completion of treatment of patients in the open-label extension study there will be no current manufacturing activities. It will take time and resources to reinitiate manufacturing capabilities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bulk of our ongoing research and development activities are focused on exploring methods that improve our ability to efficiently manufacture high quality cell therapy products for patients. We have performed an in depth analysis of the cell culture processes used in the manufacture of Epicel, Carticel, MACI and ixmyelocel-T, and have identified several areas for their potential betterment.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success depends in part on our ability, and the ability of our future licensors, to obtain patent protection for our products and processes.</w:t>
      </w:r>
    </w:p>
    <w:p>
      <w:pPr>
        <w:spacing w:after="0" w:line="225" w:lineRule="exact"/>
        <w:rPr>
          <w:sz w:val="20"/>
          <w:szCs w:val="20"/>
          <w:color w:val="auto"/>
        </w:rPr>
      </w:pPr>
    </w:p>
    <w:p>
      <w:pPr>
        <w:jc w:val="both"/>
        <w:ind w:firstLine="297"/>
        <w:spacing w:after="0" w:line="253" w:lineRule="auto"/>
        <w:rPr>
          <w:sz w:val="20"/>
          <w:szCs w:val="20"/>
          <w:color w:val="auto"/>
        </w:rPr>
      </w:pPr>
      <w:r>
        <w:rPr>
          <w:rFonts w:ascii="Arial" w:cs="Arial" w:eastAsia="Arial" w:hAnsi="Arial"/>
          <w:sz w:val="18"/>
          <w:szCs w:val="18"/>
          <w:color w:val="auto"/>
        </w:rPr>
        <w:t xml:space="preserve">As part of the acquired CTRM business, we acquired a multinational intellectual property estate. The intellectual property estate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the combinations of chondrocytes and collagen membranes used in MACI, which are scheduled to expire in August of 2017 abroad. We own issued patents directed to methods of determination of the presence of chondrocytes in cell cultures used to produce both Carticel and MACI, which are scheduled to expire October 2029 in the US and in April 2028 abroad. When these patents expire, our opportunity to establish or maintain product revenue could be substantially reduced. See </w:t>
      </w:r>
      <w:r>
        <w:rPr>
          <w:rFonts w:ascii="Arial" w:cs="Arial" w:eastAsia="Arial" w:hAnsi="Arial"/>
          <w:sz w:val="18"/>
          <w:szCs w:val="18"/>
          <w:i w:val="1"/>
          <w:iCs w:val="1"/>
          <w:color w:val="auto"/>
        </w:rPr>
        <w:t>“</w:t>
      </w:r>
      <w:r>
        <w:rPr>
          <w:rFonts w:ascii="Arial" w:cs="Arial" w:eastAsia="Arial" w:hAnsi="Arial"/>
          <w:sz w:val="18"/>
          <w:szCs w:val="18"/>
          <w:color w:val="auto"/>
        </w:rPr>
        <w:t xml:space="preserve">Risk Factors </w:t>
      </w:r>
      <w:r>
        <w:rPr>
          <w:rFonts w:ascii="Arial" w:cs="Arial" w:eastAsia="Arial" w:hAnsi="Arial"/>
          <w:sz w:val="18"/>
          <w:szCs w:val="18"/>
          <w:i w:val="1"/>
          <w:iCs w:val="1"/>
          <w:color w:val="auto"/>
        </w:rPr>
        <w:t>-</w:t>
      </w:r>
      <w:r>
        <w:rPr>
          <w:rFonts w:ascii="Arial" w:cs="Arial" w:eastAsia="Arial" w:hAnsi="Arial"/>
          <w:sz w:val="18"/>
          <w:szCs w:val="18"/>
          <w:color w:val="auto"/>
        </w:rPr>
        <w:t xml:space="preserve"> Risks Related to Intellectual Property</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additional information. In certain foreign countries, selected patent rights covering Carticel are scheduled to expire in 2022.</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own a broadly filed trademark portfolio with registrations for Carticel, MACI, and Epicel.</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processes and technologies related to ixmyelocel-T include 3 issued United States patents. These patents are important patents that protect our cellular therapy.</w:t>
      </w:r>
    </w:p>
    <w:p>
      <w:pPr>
        <w:spacing w:after="0" w:line="170"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Certain patent equivalents to the United States patents have also been issued in other jurisdictions including Australia, Japan, and Canada, and under the European Patent Convention. Our most significant patent that protects the composition of the cellular therapy directly, “Mixed cell populations for tissue repair and separation technique for cell processing” (U.S. Patent 7,871,605), was issued in January 2011 and will expire in 2029. A divisional application of 7,871,605 (U.S. Patent 8,158,122) for administration of this composition to patients was issued in April 2012 and will expire in 2027. A second divisional application of 7,871,605 (U.S. Patent 8,394,631) directed to the methods of manufacture of our cell compositions was issued in March 2013 and will expire in 2027. In addition, we have 2 pending United States patent applications and equivalent applications in certain other countries claiming other aspects of our cell products and manufacturing processes. We own all of these patents. Patents that protected our automated bioreactor device and culture system expired in 2015, but we will continue to rely on trade secrets and un-patentable know-how.</w:t>
      </w:r>
    </w:p>
    <w:p>
      <w:pPr>
        <w:spacing w:after="0" w:line="1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2007, the use of ixmyelocel-T for the treatment of DCM received an Orphan Drug Designation from the FDA, which provides seven years of market exclusivity, should ixmyelocel-T receive FDA approval for this indication. The validity and breadth of claims in medical technology patents involve complex legal and factual questions and, therefore, may be highly uncertain. No assurance can be given that any patents based on pending patent applications or any future patent applications by us, or our future licensors, will be issued, that the scope of any patent protection will exclude competitors or provide competitive advantages to us, that any of the patents that have been or may be issued to us or our future licensors will be held valid if subsequently challenged or that others will not claim rights in or ownership of the patents and other proprietary rights held or licensed by us. Furthermore, there can be no assurance that others have not developed or will not develop similar products, duplicate any of our products or design around any patents that have been or may be issued to us or our future licensors. Since patent applications in the United States are maintained in secrecy until they are published 18 months after filing, we also cannot be certain that others did not first file applications for inventions covered by our and our future licensors’ pending patent applications, nor can we be certain that we will not infringe any patents that may be issued to others on such applications.</w:t>
      </w:r>
    </w:p>
    <w:p>
      <w:pPr>
        <w:spacing w:after="0" w:line="169"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We rely on certain licenses granted by a number of third parties, including Sanofi for certain patent rights. If we breach such agreements or otherwise fail to comply with such agreements, or if such agreements expire or are otherwise terminated, we may lose our rights in such patents.</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also rely on trade secrets and un-patentable know-how that we seek to protect, in part, by confidentiality agreements. It is our policy to require our employees, consultants, contractors, manufacturers, outside scientific collaborators and sponsored researchers and other advisors to execute confidentiality agreements upon the commencement of employment or consulting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 There can be no assurance, however, that these agreements will not be breached, that we would have adequate remedies for any breach, or that our trade secrets or un-patentable know-how will not otherwise become known or be independently developed by competitors.</w:t>
      </w:r>
    </w:p>
    <w:p>
      <w:pPr>
        <w:spacing w:after="0" w:line="16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success will also depend in part on our ability to develop additional commercially viable products without infringing the proprietary rights of others. We do not believe any of our approved products or our currently contemplated products or processes infringe any existing valid issued patent. However, the results of patent litigation are unpredictable, and no assurance can be given that patents do not exist or could not be filed which would have an adverse effect on our ability to market our products or maintain our competitive position with respect to our products. If our technology components, designs, products, processes or other subject matter are claimed under other existing United States or foreign patents, or are otherwise protected by third-party proprietary rights, we may be subject to infringement actions. In such event, we may challenge the validity of such patents or other proprietary rights or we may be required to obtain licenses from such companies in order to develop, manufacture or market our products. There can be no assurances that we would be able to obtain such licenses or that such licenses, if available, could be obtained on commercially reasonable terms. Furthermore, the failure either to develop a commercially viable alternative or obtain such licenses could result in delays in marketing our proposed products or the inability to proceed with the development, manufacture or sale of products requiring such licenses, which could have a material adverse effect on our business, financial condition and results of operations. If we are required to defend ourselves against charges of patent infringement or to protect our proprietary rights against third parties, substantial costs will be incurred regardless of whether we are successful. Such proceedings are typically protracted with no certainty of success. An adverse outcome could subject us to significant liabilities to third parties and force us to curtail or cease our development and sale of our products and processes.</w:t>
      </w:r>
    </w:p>
    <w:p>
      <w:pPr>
        <w:spacing w:after="0" w:line="17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our licensors’ research has been funded in part by the Department of Commerce and by a Small Business Innovation Research Grant obtained from the Department of Health and Human Services. As a result of such funding, the United States government has certain rights in the technology developed with such funding. These rights include a non-exclusive, fully paid-up, worldwide license under such inventions for any governmental purpose. We believe that the licensed patents that relate to this technology have expired.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Both our marketed and development stage products are specialty products with focused physician and institutional call points. The U.S. Carticel and MACI commercial organization is comprised of approximately 28 employees, including Cell Therapy Specialists and Regional Sales Directors. The target audience is a small (well under 1,000) set of sports medicine orthopedic surgeons. We are utilizing the same sales force for MACI.</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Reimbursement coverage for Carticel is widespread. The 15 largest payers, representing approximately 98% of commercial lives, have a formal medical policy that allows treatment with Carticel within labeled indications. These 15 plans represent approximately 132 million covered lives and include the top five national plans—WellPoint, United Healthcare, Aetna, CIGNA and Humana. We are actively working with payers to establish similar reimbursement for MACI.</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June 30, 2016, we reduced the scope of our agreement with US Bioservices Corporation (USB) by terminating their services with respect to a significant portion of our Carticel sales. Until June 30, 2016, USB was the exclusive distributor of Carticel in the United States. USB purchased and took title to Carticel upon shipment of the product. USB worked with the payers on behalf of patients and surgeons to ensure medical coverage and to obtain reimbursement for Carticel implantation procedures. We retained all responsibility for shipment of the product to the surgical suite and may have certain indemnification obligations to USB.</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April 5, 2016, we entered into a services agreement with Dohmen Life Science Services, LLC (DLSS) for DLSS to exclusively provide certain administrative and clinical support services for Carticel and MACI (the DLSS Agreement). Under the terms of the DLSS Agreement, DLSS agreed to exclusively design, develop and implement a patient support services program and provide billing and collection services for each product. We, together with DLSS, have jointly developed a plan to assist with the implementation of each program. Subject to certain exceptions, DLSS is responsible for all costs in connection with the development of each program. The initial term of the DLSS Agreement is for 36 months following the effective date of the DLSS Agreement. To augment the services provided by DLSS, on November 22, 2016, we entered into a distribution and services agreement with Vital Care, Inc. and affiliates for the provision of data reporting services and to purchase, bill and collect from certain payers for Carticel and MACI.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Sales of Epicel are supported by five Cell Therapy Specialists. This represents an expansion over past support levels. Since there are approximately 128 specialized burn centers in the U.S. increasing coverage to the majority of the target audience should be feasible with only a small number of incremental Cell Therapy Specialists.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target physician population for ixmyelocel-T, if approved, will likely be heart failure specialists and interventional cardiologists in secondary and tertiary cardiac facilities, a specialty audience which can be covered by a modest sized sales force. While we could augment our existing sales and marketing organization to cover the expanded physician audience, we intend to explore other options, including partnerships, to help minimize costs and increase penetration if and when the product is commercialized.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research and development activities and the manufacturing and marketing of our products are subject to the laws and regulations of governmental authorities in the United States and other countries in which our products will be marketed. Specifically, in the United States, the FDA regulates drugs, biologics and medical devices and requires new product approvals or clearances to assure safety and effectiveness of these products. Governments in other countries have similar requirements for testing and marketing. In the United States, in addition to meeting FDA regulations, we are also subject to other federal laws, such as the Occupational Safety and Health Act and the Environmental Protection Act, as well as certain state laws.</w:t>
      </w:r>
    </w:p>
    <w:p>
      <w:pPr>
        <w:spacing w:after="0" w:line="15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While some human cell or tissue products that are intended for implantation, transplantation, infusion, or transfer into a human recipient are regulated as human cell, tissue, and cellular and tissue-based products (HCT/Ps) and do not require the FDA’s premarket review, if these cell or tissue products do not meet the FDA’s requirements for regulation as an HCT/P they require premarket review and a marketing authorization. The type of marketing authorization required depends on how the product is regulated by the FDA. With the exception of Epicel (an HDE medical device), our cell products are regulated as biological products that require an approved BLA to be marketed in the U.S. Commercial production of these products needs to occur in FDA-registered facilities in compliance with cGMP requirements for biologics. Epicel is a humanitarian use medical device that has an approved HDE application.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Process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biologics under the Federal Food, Drug and Cosmetic Act (FFDCA) and the Public Health Service Act, and their implementing regulations. Obtaining approval of a BLA for new biological products is a lengthy process leading from development of a new product through preclinical and clinical testing. This process takes a number of years and the expenditure of significant resources. There can be no assurance that our current or future product candidates will ultimately receive approval.</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FFDCA and other federal and state statutes and regulations govern the research, testing, manufacture, safety, labeling, storage, record-keeping, approval, distribution, use, adverse event reporting, advertising and promotion of our products. Noncompliance with applicable requirements can result in civil penalties, recall, injunction or seizure of products, refusal of the government to approve our product approval applications or to allow us to enter into government supply contracts, withdrawal of previously approved applications and criminal prosecution.</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order to obtain FDA license,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may take several years to complete and could have an uncertain outcome. The FDA regulatory review and approval process is complex and can result in requests for additional data, increased development cost, time to market delays, or preclude us from bringing to market new products. The FDA may also require post-marketing studies and risk evaluation and mitigation strategies (REMS) as condition to approval. These requirements will add to the cost of regulatory compliance and the cost to sell our products, due to complex distribution and restricted commercial operations. Product approvals may be withdrawn if compliance with applicable regulations is not maintained or if safety issues are identified during routine safety monitoring following commercialization. For patented technologies, product development and the regulatory review/ approval process can materially reduce the period during which we will have the exclusive right to exploit such technologies. Regulatory exclusivity may offer some additional protection.</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Adequate and well-controlled clinical studies are required by the FDA for approval of a BLA. To conduct a clinical trial in the U.S., the study sponsor is required to submit an Investigational New Drug (IND) application including the study protocol prior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commencing human clinical trials. The submission must be supported by data, typically including the results of nonclinical, manufacturing and laboratory testing. The conduct of the nonclinical tests must comply with Good Laboratory Practice (GLP), and applicable cGMP requirements. Long term nonclinical testing, such as animal reproductive toxicity and carcinogenicity, is conducted if warranted and is submitted to the IND to support a future BLA. Following the initial submission of the IND, the FDA has 30 days to review the application and raise safety and other clinical trial issues. If questions or objections are not raised within that period, the clinical trial may commence according to the investigational protocol submitted to the FDA and following Institutional Review Board (IRB) approvals for each of the clinical sites where the study will be conducted. Protocol amendments need to be submitted and approved by FDA prior to implementation. We have submitted several INDs for ixmyelocel-T, and we conducted clinical investigations under these INDs. Clinical studies can also be conducted outside of the U.S. with or without a U.S. IND. However, a clinical trial application (CTA) or IND is required to be submitted to the local competent regulatory authority for the conduct of human clinical trials. The CTA has similar data requirements to those of an IND.</w:t>
      </w:r>
    </w:p>
    <w:p>
      <w:pPr>
        <w:spacing w:after="0" w:line="16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Carticel, MACI and ixmyelocel-T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as well as pre-approval inspections of the manufacturing facility by the FDA.</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sometimes overlap:</w:t>
      </w:r>
    </w:p>
    <w:p>
      <w:pPr>
        <w:spacing w:after="0" w:line="266" w:lineRule="exact"/>
        <w:rPr>
          <w:sz w:val="20"/>
          <w:szCs w:val="20"/>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Phase 1—The biological product is initially tested for safety and tolerability. In the case of biological products and those for severe or life-threatening diseases, the initial human testing is generally conducted in patients. These trials may also provide early evidence on effectiveness.</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trials may be required by the FDA as a condition of approval and are used to gain additional experience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7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drug being studied in clinical trials may be made available to individual patients in certain circumstances. Pursuant to the 21st Century Cures Act, or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later of 60 calendar days after the date of enactment of the Cures Act or the first initiation of a Phase 2 or Phase 3 trial of the investigational drug.</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After completion of the required clinical testing, a BLA is prepared and submitted to the FDA. FDA review and approval of the BLA is required before marketing of the product may begin in the United States. The BLA must include the results of all nonclinical, clinical, and other testing and a compilation of data relating to the quality and manufacture of the product, including, chemistry, manufacture, and controls, to demonstrate the safety, purity and potency, or efficacy, of the product based on these results. The cost of preparing and submitting a BLA is substantial. Under federal law, the submission of most BLAs is subject to an application user fee, as well as annual product and establishment user fees, which may total several million dollars and are increased annually.</w:t>
      </w:r>
    </w:p>
    <w:p>
      <w:pPr>
        <w:spacing w:after="0" w:line="15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including to review 90 percent of standard BLAs within 10 months from the date the application is accepted for filing. Although FDA often meets its user fee performance goals, the FDA can extend these timelines as warranted.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The FDA will not approve the product unless it verifies that compliance with requirements for cGMP is satisfactory and the BLA contains data that provide substantial evidence that the biologic is safe, pure and potent, or effective, for the intended use.</w:t>
      </w:r>
    </w:p>
    <w:p>
      <w:pPr>
        <w:spacing w:after="0" w:line="17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For certain products, the FDA also will not approve the product if the manufacturer is not in compliance with the Good Tissue Practices (GTPs). These are FDA regulations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In addition, a successful pre-approval inspection (PAI) of the manufacturing facility to demonstrate Good Manufacturing Practices (GMPs) consistent with the proposed manufacturing process depicted in the BLA is also required for approval. To assure GMP, GTP and GCP compliance, an applicant must incur significant expenditure of time, money and effort in the areas of training, record keeping, production, and quality control.</w:t>
      </w:r>
    </w:p>
    <w:p>
      <w:pPr>
        <w:spacing w:after="0" w:line="18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will review such resubmissions in two or six months depending on the type of information included. The FDA approval is never guaranteed, and the FDA may refuse to approve a BLA if the regulatory requirements are not satisfied.</w:t>
      </w:r>
    </w:p>
    <w:p>
      <w:pPr>
        <w:spacing w:after="0" w:line="15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REMS to help ensure that the benefits of the biologic outweigh the potential risks. REMS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19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current requirements, facilities manufacturing biological products for commercial distribution must be registered with the FDA. In addition to the preclinical studies and clinical trials, the BLA includes a description of the facilities, equipment and personnel involved in the manufacturing process. A biologics license, which is the product’s approval, is granted on the basis of inspections of the applicant’s facilities in which the primary focus is on compliance with cGMP and the ability to consistently manufacture the product in the facility in accordance with the BLA. If the FDA finds the results of the inspection unsatisfactory, it may decline to approve the BLA, resulting in a delay in production and commercialization of products.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181" w:lineRule="exact"/>
        <w:rPr>
          <w:sz w:val="20"/>
          <w:szCs w:val="20"/>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7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70" w:lineRule="exact"/>
        <w:rPr>
          <w:rFonts w:ascii="Arial" w:cs="Arial" w:eastAsia="Arial" w:hAnsi="Arial"/>
          <w:sz w:val="18"/>
          <w:szCs w:val="18"/>
          <w:color w:val="auto"/>
        </w:rPr>
      </w:pPr>
    </w:p>
    <w:p>
      <w:pPr>
        <w:jc w:val="both"/>
        <w:ind w:left="900" w:hanging="325"/>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71" w:lineRule="exact"/>
        <w:rPr>
          <w:rFonts w:ascii="Arial" w:cs="Arial" w:eastAsia="Arial" w:hAnsi="Arial"/>
          <w:sz w:val="17"/>
          <w:szCs w:val="17"/>
          <w:color w:val="auto"/>
        </w:rPr>
      </w:pPr>
    </w:p>
    <w:p>
      <w:pPr>
        <w:jc w:val="both"/>
        <w:ind w:left="900" w:right="2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Accelerated Approval for Regenerative Advanced Therapies</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As part of the 21st Century Cures Act, Congress recently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human cells, tissues, and cellular and tissue based products regulated solely under section 361 of the Public Health Service Act and 21 CFR Part 1271. The new program is intended to facilitate efficient development and expedite review of regenerative advanced therapies, which are intended to treat, modify, reverse, or cure a serious or life-threatening disease or condition. A sponsor may request that FDA designate a drug as a regenerative advanced therapy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w:t>
      </w:r>
      <w:r>
        <w:rPr>
          <w:rFonts w:ascii="Arial" w:cs="Arial" w:eastAsia="Arial" w:hAnsi="Arial"/>
          <w:sz w:val="18"/>
          <w:szCs w:val="18"/>
          <w:color w:val="231F20"/>
        </w:rPr>
        <w:t>review or accelerated approval through surrogate or intermediate endpoints reasonably likely to predict long-term clinical benefit, or</w:t>
      </w:r>
      <w:r>
        <w:rPr>
          <w:rFonts w:ascii="Arial" w:cs="Arial" w:eastAsia="Arial" w:hAnsi="Arial"/>
          <w:sz w:val="18"/>
          <w:szCs w:val="18"/>
          <w:color w:val="auto"/>
        </w:rPr>
        <w:t xml:space="preserve"> </w:t>
      </w:r>
      <w:r>
        <w:rPr>
          <w:rFonts w:ascii="Arial" w:cs="Arial" w:eastAsia="Arial" w:hAnsi="Arial"/>
          <w:sz w:val="18"/>
          <w:szCs w:val="18"/>
          <w:color w:val="231F20"/>
        </w:rPr>
        <w:t>reliance upon data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obtained from a meaningful number of sites. Therapies with a Regenerative Advanced Therapy Designation (RATD) will be eligible for accelerated approval through, as appropriate:</w:t>
      </w:r>
    </w:p>
    <w:p>
      <w:pPr>
        <w:spacing w:after="0" w:line="116" w:lineRule="exact"/>
        <w:rPr>
          <w:sz w:val="20"/>
          <w:szCs w:val="20"/>
          <w:color w:val="auto"/>
        </w:rPr>
      </w:pPr>
    </w:p>
    <w:p>
      <w:pPr>
        <w:ind w:left="520" w:hanging="215"/>
        <w:spacing w:after="0"/>
        <w:tabs>
          <w:tab w:leader="none" w:pos="5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surrogate or intermediate endpoints reasonably likely to predict long-term clinical benefit; or</w:t>
      </w:r>
    </w:p>
    <w:p>
      <w:pPr>
        <w:spacing w:after="0" w:line="171" w:lineRule="exact"/>
        <w:rPr>
          <w:rFonts w:ascii="Arial" w:cs="Arial" w:eastAsia="Arial" w:hAnsi="Arial"/>
          <w:sz w:val="18"/>
          <w:szCs w:val="18"/>
          <w:color w:val="231F20"/>
        </w:rPr>
      </w:pPr>
    </w:p>
    <w:p>
      <w:pPr>
        <w:ind w:left="580" w:hanging="275"/>
        <w:spacing w:after="0"/>
        <w:tabs>
          <w:tab w:leader="none" w:pos="5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reliance upon data obtained from a meaningful number of sites, including through expansion to additional sites, as appropriate.</w:t>
      </w:r>
    </w:p>
    <w:p>
      <w:pPr>
        <w:spacing w:after="0" w:line="171" w:lineRule="exact"/>
        <w:rPr>
          <w:sz w:val="20"/>
          <w:szCs w:val="20"/>
          <w:color w:val="auto"/>
        </w:rPr>
      </w:pPr>
    </w:p>
    <w:p>
      <w:pPr>
        <w:ind w:left="80" w:right="20" w:firstLine="216"/>
        <w:spacing w:after="0" w:line="277" w:lineRule="auto"/>
        <w:rPr>
          <w:sz w:val="20"/>
          <w:szCs w:val="20"/>
          <w:color w:val="auto"/>
        </w:rPr>
      </w:pPr>
      <w:r>
        <w:rPr>
          <w:rFonts w:ascii="Arial" w:cs="Arial" w:eastAsia="Arial" w:hAnsi="Arial"/>
          <w:sz w:val="18"/>
          <w:szCs w:val="18"/>
          <w:color w:val="231F20"/>
        </w:rPr>
        <w:t>Another benefit of RATD is that it creates the option to meet post-approval requirements beyond the standard, controlled clinical trial. Post-approval requirements can be met through:</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Clinical evidence, clinical studies, patient registries, or other sources of real world evidence, such as electronic health records;</w:t>
      </w:r>
    </w:p>
    <w:p>
      <w:pPr>
        <w:spacing w:after="0" w:line="171" w:lineRule="exact"/>
        <w:rPr>
          <w:rFonts w:ascii="Arial" w:cs="Arial" w:eastAsia="Arial" w:hAnsi="Arial"/>
          <w:sz w:val="18"/>
          <w:szCs w:val="18"/>
          <w:color w:val="231F20"/>
        </w:rPr>
      </w:pPr>
    </w:p>
    <w:p>
      <w:pPr>
        <w:ind w:left="660" w:hanging="328"/>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collection of larger confirmatory data sets; or</w:t>
      </w:r>
    </w:p>
    <w:p>
      <w:pPr>
        <w:spacing w:after="0" w:line="171" w:lineRule="exact"/>
        <w:rPr>
          <w:rFonts w:ascii="Arial" w:cs="Arial" w:eastAsia="Arial" w:hAnsi="Arial"/>
          <w:sz w:val="18"/>
          <w:szCs w:val="18"/>
          <w:color w:val="231F20"/>
        </w:rPr>
      </w:pPr>
    </w:p>
    <w:p>
      <w:pPr>
        <w:ind w:left="660" w:hanging="328"/>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Post-approval monitoring of all patients treated with such therapy prior to approval of the therapy.</w:t>
      </w:r>
    </w:p>
    <w:p>
      <w:pPr>
        <w:spacing w:after="0" w:line="17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231F20"/>
        </w:rPr>
        <w:t>Finally, the designation also includes early interactions with FDA to discuss any potential surrogate or intermediate endpoint to be used to support accelerated approval.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Humanitarian Device Exemption</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not more than 8,000 individuals in the United States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16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19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Except in certain circumstances, HUDs approved under an HDE cannot be sold for an amount that exceeds the costs of research and development, fabrication, and distribution of the device (i.e., for profit). Under the current HDE provision, as amended by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ADN for the device. The holder of the HDE must immediately notify the FDA if the number of devices distributed during a calendar year exceeds the ADN. The ADN is determined by the FDA when the agency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 We will rely, and expect to continue to rely, on third parties to manufacture or supply certain components, equipment, disposable devices, testing and other materials used in our manufacturing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process for any products that we commercialize or may commercialize. Manufacturers of our products are required to comply with applicable requirements in the cGMP regulations, including quality control and quality assurance and maintenance of records and documentation. We cannot be certain that we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17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9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the Pediatric Research Equity Act, or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dosage form. The intent of PREA is to compel sponsors whose products have pediatric applicability to study those products in pediatric populations, rather than ignoring pediatric indications for adult indications that could be more economically desirable.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United States Patent and Trademark Office, or PTO, in consultation with the FDA. We cannot be certain that the PTO and the FDA will grant a patent term extension related to MACI.</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 biological product can obtain pediatric market exclusivity in the United States.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22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The Patient Protection and Affordable Care Act, or the Affordable Care Act,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as shown through analytical studies, animal studies and a clinical study or studies. For the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 by which such products are manufactured, pose significant hurdles to implementation, which are still being worked out by the FDA. A reference biologic is granted 12 years of exclusivity from the time of first licensure of the reference product.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Once an FDA-regulated product is approved, the product will be subject to continuing post-approval regulatory requirements. For instance, the FDA closely regulates the post-approval marketing and promotion of biologics and devices including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for our products in advertising or promotion must be appropriately balanced with important safety information and otherwise adequately substantiated. Failure to comply with these requirements can result in adverse publicity and significant penalties, including the issuance of untitled or warning letters directing a company to correct deviations from FDA standards, corrective advertising, a requirement that future advertising and promotional materials be pre-cleared by the FDA, injunctions, and federal and state civil and criminal investigations and prosecutions.</w:t>
      </w:r>
    </w:p>
    <w:p>
      <w:pPr>
        <w:spacing w:after="0" w:line="1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Orphan Drug Act, the FDA may grant orphan drug designation to biologics intended to treat a rare disease or condition—generally a disease or condition that affects fewer than 200,000 individuals in the United States, or affects more than 200,000 individuals in the United States and for which there is no reasonable expectation that the cost of developing and making available in the United States a drug for such disease or condition will be recovered from sales of such drug. Orphan drug designation must be requested before submitting a BLA.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 Among the other benefits of orphan drug designation are tax credits for certain research and a waiver of the BLA application user fee.</w:t>
      </w:r>
    </w:p>
    <w:p>
      <w:pPr>
        <w:spacing w:after="0" w:line="15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Food and Drug Administration Safety and Innovation Act (FDASIA) added Section 529 to the FFDCA. Pursuant to that provision, FDA will award priority review vouchers to sponsors of rare pediatric disease product applications that meet certain criteria after approval of the application. The priority review voucher may be used by the sponsor or sold/transferred to another.</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United States, the research, manufacturing, distribution, sale and promotion of biological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noted above, in the United States,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 comprehensive compliance program that establishes internal controls to facilitate adherence to the rules and program requirements to which we are subject.</w:t>
      </w:r>
    </w:p>
    <w:p>
      <w:pPr>
        <w:spacing w:after="0" w:line="18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federal False Claims Act prohibits anyone from, among other things, knowingly presenting, or causing to be presented, for payment to federal programs (including Medicare and Medicaid) claims for items or services, including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$10,781 and $21,563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biological product manufacturers to track and report to the federal government certain payments or other transfers of value made to physicians and teaching hospitals made in the previous calendar year. These laws may affect our sales, marketing, and other promotional activities by imposing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In addition to regulations in the United States,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United States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for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Environment For Cell Therapy and Regenerative Medicine</w:t>
      </w:r>
    </w:p>
    <w:p>
      <w:pPr>
        <w:spacing w:after="0" w:line="22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biotechnology and medical device industries are characterized by rapidly evolving technology and intense competition. Our competitors include major multinational medical device companies, pharmaceutical companies, biotechnology companies and stem cell companies operating in the fields of tissue engineering, regenerative medicine, cardiac, vascular,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 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osteochondralautografts for smaller cartilage injuries, allografts, and autologous chondrocyte implants for larger, more complex injuries.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main competitor for Carticel and MACI in the U.S. is the microfracture procedure. Microfracture is a minimally invasive procedure that can be performed during the initial arthroscopic procedure. Short term results are generally considered good in smaller cartilage defects. Other competitive treatments in the U.S. include autograft/allograft procedures and a juvenile donor-derived allograft product DeNovo NT from Zimmer Holdings Inc. (Zimmer Biomet).</w:t>
      </w:r>
    </w:p>
    <w:p>
      <w:pPr>
        <w:spacing w:after="0" w:line="187"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Carticel and MACI are the only FDA-approved ACI products on the market in the United States. We are aware of two ACI products in development. Histogenics Corporation began a Phase 3 study of its Neocart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implant in February 2010. Neocart is an autologous chondrocyte tissue implant under development for treatment of symptomatic articular cartilage lesions on the femur. Aesculap Biologics, LLC initiated a Phase 3 study in 2014 of NovoCart 3D</w:t>
      </w:r>
      <w:r>
        <w:rPr>
          <w:rFonts w:ascii="Arial" w:cs="Arial" w:eastAsia="Arial" w:hAnsi="Arial"/>
          <w:sz w:val="24"/>
          <w:szCs w:val="24"/>
          <w:color w:val="auto"/>
          <w:vertAlign w:val="superscript"/>
        </w:rPr>
        <w:t>®</w:t>
      </w:r>
      <w:r>
        <w:rPr>
          <w:rFonts w:ascii="Arial" w:cs="Arial" w:eastAsia="Arial" w:hAnsi="Arial"/>
          <w:sz w:val="17"/>
          <w:szCs w:val="17"/>
          <w:color w:val="auto"/>
        </w:rPr>
        <w:t>, a matrix induced autologous chondrocyte product designed to repair articular cartilage defects of the knee.</w:t>
      </w:r>
    </w:p>
    <w:p>
      <w:pPr>
        <w:spacing w:after="0" w:line="9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competitive treatment alternatives to MACI in the EU are the same as those for Carticel and MACI in the U.S., including debridement/chondroplasty, microfracture, and osteochondralautografts. Although there is very little use of allografts or allograft-derived products, the competitive product environment is much more robust. Competitors include microfracture augmentation products such as ChondroGide® from Geistlich Pharma AG and direct ACI competitors including ChondroCelect® from TiGenix NV.</w:t>
      </w:r>
    </w:p>
    <w:p>
      <w:pPr>
        <w:spacing w:after="0" w:line="187"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Patients suffering catastrophic burns over a significant portion of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option for patients with TBSA burns greater than 70%. Avita Medical is developing ReCell</w:t>
      </w:r>
      <w:r>
        <w:rPr>
          <w:rFonts w:ascii="Arial" w:cs="Arial" w:eastAsia="Arial" w:hAnsi="Arial"/>
          <w:sz w:val="25"/>
          <w:szCs w:val="25"/>
          <w:color w:val="auto"/>
          <w:vertAlign w:val="superscript"/>
        </w:rPr>
        <w:t>®</w:t>
      </w:r>
      <w:r>
        <w:rPr>
          <w:rFonts w:ascii="Arial" w:cs="Arial" w:eastAsia="Arial" w:hAnsi="Arial"/>
          <w:sz w:val="18"/>
          <w:szCs w:val="18"/>
          <w:color w:val="auto"/>
        </w:rPr>
        <w:t>, a device which enables the on-site preparation of an autologous epithelial cell suspension, intended for the treatment of lower TBSA (&lt;50%) burns. Avita has fully enrolled its pivotal trial and projects approval of ReCell in 2017. In 2016 the FDA approved limited usage of ReCell under a special compassionate use protocol.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investigating ixmyelocel-T, an autologous cell therapy, in ischemic dilated cardiomyopathy (ischemic heart failure) and recently completed the blinded portion of the Phase 2b clinical trial and announced that the trial had met its primary endpoint of reduction in clinical cardiac events and that incidence of adverse events, including serious adverse events, in patients treated with ixmyelocel-T was comparable to patients in the placebo group. Competitor cell (autologous and allogeneic) and gene therapies are currently under clinical development in Phases 1, 2 and 3 in heart failure patients. Examples are, Mesoblast Ltd., which is conducting a Phase 3 trial with allogeneic cell therapy and Celyad, which completed a Phase 3 trial with a bone marrow derived autologous therapy in 2016 and reported that the primary endpoint was not met and that they are seeking a partner or strategic alternatives to complete development.</w:t>
      </w:r>
    </w:p>
    <w:p>
      <w:pPr>
        <w:spacing w:after="0" w:line="18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Our potential commercial products address a broad range of existing and emerging therapeutic markets, in which cell-based therapy is a new and as of yet, unproven, commercial strategy. In a large part, we face primary competition from existing medical devices and drug products. Some of our competitors have longer operating histories and substantially greater resources. These include companies such as Arthrex Inc. (Arthrex), Zimmer, Baxter International, Inc. (Baxter), Biomet, Inc., Johnson &amp; Johnson, Inc. (Johnson &amp; Johnson), Medtronic, Inc. (Medtronic), and others.</w:t>
      </w:r>
    </w:p>
    <w:p>
      <w:pPr>
        <w:spacing w:after="0" w:line="171"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the general area of cell-based therapies, we potentially compete with a variety of companies, most of whom are specialty medical products or biotechnology companies. Some of these, such as Arthrex and Zimmer, Baxter, Johnson &amp; Johnson, Medtronic and Miltenyi Biotec Inc. are well-established and have substantial technical and financial resources compared to ours. However, as cell-based products are only just emerging as viable medical therapies, many of our most direct competitors are smaller biotechnology and specialty medical products companies. These include Astellas Pharma (formerly Ocata Therapeutics, Inc. and Advanced Cell Technology, Inc.), Cytomedix, Inc. (formerly Aldagen, Inc.), Arteriocyte Medical Systems, Inc., Athersys, Inc., Cytori Therapeutics, Inc., International Stem Cell Corporation, Neostem, Inc., Terumo Medical Corporation (formerly Harvest Technologies Corporation), Mesoblast Ltd., Osiris Therapeutics, Inc., Pluristem, Inc. Stem Cells, Inc., Tengion, Inc., and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2016, we employed approximately 202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executive officers and key employees and their respective ages and positions as of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22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Position</w:t>
            </w:r>
          </w:p>
        </w:tc>
        <w:tc>
          <w:tcPr>
            <w:tcW w:w="120" w:type="dxa"/>
            <w:vAlign w:val="bottom"/>
            <w:vMerge w:val="restart"/>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vMerge w:val="restart"/>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Officer Since</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Dominick C. Colangelo (1)</w:t>
            </w:r>
          </w:p>
        </w:tc>
        <w:tc>
          <w:tcPr>
            <w:tcW w:w="1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Daniel R. Orlando (1)</w:t>
            </w:r>
          </w:p>
        </w:tc>
        <w:tc>
          <w:tcPr>
            <w:tcW w:w="120" w:type="dxa"/>
            <w:vAlign w:val="bottom"/>
          </w:tcPr>
          <w:p>
            <w:pPr>
              <w:spacing w:after="0"/>
              <w:rPr>
                <w:sz w:val="21"/>
                <w:szCs w:val="21"/>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Chief Operating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David Recker, MD</w:t>
            </w:r>
          </w:p>
        </w:tc>
        <w:tc>
          <w:tcPr>
            <w:tcW w:w="1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Medical Officer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Gerard Michel (1)</w:t>
            </w:r>
          </w:p>
        </w:tc>
        <w:tc>
          <w:tcPr>
            <w:tcW w:w="120" w:type="dxa"/>
            <w:vAlign w:val="bottom"/>
          </w:tcPr>
          <w:p>
            <w:pPr>
              <w:spacing w:after="0"/>
              <w:rPr>
                <w:sz w:val="19"/>
                <w:szCs w:val="19"/>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&amp; Vice President of Corporate</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Ross Tubo, PhD</w:t>
            </w:r>
          </w:p>
        </w:tc>
        <w:tc>
          <w:tcPr>
            <w:tcW w:w="1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Scientific Officer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0"/>
        </w:trPr>
        <w:tc>
          <w:tcPr>
            <w:tcW w:w="3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Denotes Executive Officer</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 xml:space="preserve">Dominick C. Colangelo — </w:t>
      </w:r>
      <w:r>
        <w:rPr>
          <w:rFonts w:ascii="Arial" w:cs="Arial" w:eastAsia="Arial" w:hAnsi="Arial"/>
          <w:sz w:val="18"/>
          <w:szCs w:val="18"/>
          <w:color w:val="auto"/>
        </w:rPr>
        <w:t>Mr. Colangelo joined Vericel Corporation in 2013 with more than twenty years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experience in the biopharmaceutical industry, including nearly a decade with Eli Lilly and Company. Most recently, he was President and Chief Executive Officer of Promedior, Inc. from 2009 to 2012. During his career, he has held a variety of executive positions of increasing responsibility in product development, pharmaceutical operations, sales and marketing, and corporate development. He has extensive experience in the acquisition, development and commercialization of therapies to treat fibrovascular, metabolic and cardiovascular diseases. During his tenure at Eli Lilly and Company, he held positions as Director of Strategy and Business Development for Lilly’s Diabetes Product Group and also served as a founding Managing Director of Lilly Ventures. Mr. Colangelo received his B.S.B.A. in Accounting, Magna Cum Laude, from the State University of New York at Buffalo and a J.D. degree, with Honors, from the Duke University School of Law.</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Daniel R. Orlando — </w:t>
      </w:r>
      <w:r>
        <w:rPr>
          <w:rFonts w:ascii="Arial" w:cs="Arial" w:eastAsia="Arial" w:hAnsi="Arial"/>
          <w:sz w:val="17"/>
          <w:szCs w:val="17"/>
          <w:color w:val="auto"/>
        </w:rPr>
        <w:t>Mr. Orlando joined Vericel as Chief Commercial Officer in August of 2012. Mr. Orlando served as interim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of Vericel from December 2012 to March 2013. He has more than 20 years of commercial product preparation and launch experience including leadership roles in sales, marketing and most recently as a vice president of business development for North and South America at Takeda Pharmaceuticals U.S.A., Inc., a wholly owned subsidiary of Takeda Pharmaceutical Limited (Takeda North America) from January 1999 to March 2012. As an early employee at Takeda North America, he served as the original brand director for Actos, which became the #1 branded anti-diabetic agent in the United States. Mr. Orlando’s initial pharmaceutical experience came in progressively expanding roles in sales and marketing at Abbott Laboratories. He holds an MBA from Florida Atlantic University and a BA in Economics with Honors from the University of Florida.</w:t>
      </w:r>
    </w:p>
    <w:p>
      <w:pPr>
        <w:spacing w:after="0" w:line="17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i w:val="1"/>
          <w:iCs w:val="1"/>
          <w:color w:val="auto"/>
        </w:rPr>
        <w:t xml:space="preserve">David Recker, MD — </w:t>
      </w:r>
      <w:r>
        <w:rPr>
          <w:rFonts w:ascii="Arial" w:cs="Arial" w:eastAsia="Arial" w:hAnsi="Arial"/>
          <w:sz w:val="17"/>
          <w:szCs w:val="17"/>
          <w:color w:val="auto"/>
        </w:rPr>
        <w:t>Dr. Recker joined Vericel in April 2014 and has more than 20 years of experience in drug development most recently at Takeda</w:t>
      </w:r>
      <w:r>
        <w:rPr>
          <w:rFonts w:ascii="Arial" w:cs="Arial" w:eastAsia="Arial" w:hAnsi="Arial"/>
          <w:sz w:val="17"/>
          <w:szCs w:val="17"/>
          <w:i w:val="1"/>
          <w:iCs w:val="1"/>
          <w:color w:val="auto"/>
        </w:rPr>
        <w:t xml:space="preserve"> </w:t>
      </w:r>
      <w:r>
        <w:rPr>
          <w:rFonts w:ascii="Arial" w:cs="Arial" w:eastAsia="Arial" w:hAnsi="Arial"/>
          <w:sz w:val="17"/>
          <w:szCs w:val="17"/>
          <w:color w:val="auto"/>
        </w:rPr>
        <w:t>Global Research &amp; Development, Inc. where he served as Senior Vice President for Clinical Science from 2002 to 2012. Dr. Recker has had responsibility for multiple development programs in a variety of therapeutic areas in his career. He is a Fellow of the American College of Physicians as well as a Fellow of the American College of Rheumatology. He holds an M.D. with Distinction from the University of Michigan where he conducted his internship and residency and was Chief Resident in Internal Medicine. He did his fellowship in training at the National Institutes of Health.</w:t>
      </w:r>
    </w:p>
    <w:p>
      <w:pPr>
        <w:spacing w:after="0" w:line="17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i w:val="1"/>
          <w:iCs w:val="1"/>
          <w:color w:val="auto"/>
        </w:rPr>
        <w:t xml:space="preserve">Gerard Michel — </w:t>
      </w:r>
      <w:r>
        <w:rPr>
          <w:rFonts w:ascii="Arial" w:cs="Arial" w:eastAsia="Arial" w:hAnsi="Arial"/>
          <w:sz w:val="17"/>
          <w:szCs w:val="17"/>
          <w:color w:val="auto"/>
        </w:rPr>
        <w:t>Mr. Michel joined Vericel in June of 2014 with over 25 years of experience in the pharmaceutical industry across multiple functional</w:t>
      </w:r>
      <w:r>
        <w:rPr>
          <w:rFonts w:ascii="Arial" w:cs="Arial" w:eastAsia="Arial" w:hAnsi="Arial"/>
          <w:sz w:val="17"/>
          <w:szCs w:val="17"/>
          <w:i w:val="1"/>
          <w:iCs w:val="1"/>
          <w:color w:val="auto"/>
        </w:rPr>
        <w:t xml:space="preserve"> </w:t>
      </w:r>
      <w:r>
        <w:rPr>
          <w:rFonts w:ascii="Arial" w:cs="Arial" w:eastAsia="Arial" w:hAnsi="Arial"/>
          <w:sz w:val="17"/>
          <w:szCs w:val="17"/>
          <w:color w:val="auto"/>
        </w:rPr>
        <w:t>areas. He has considerable experience in business development, raising capital and executing successful financial transactions. Mr. Michel was formerly chief financial officer and vice president, corporate development of Biodel Inc. from November 2007 to May 2014, where he oversaw strategic development, fundraising and capital structure management, marketing efforts, investor relations, and financial reporting and internal controls. Prior to his role at Biodel, from August 2002 to November 2007, Mr. Michel served as chief financial officer and vice president of corporate development of NPS Pharmaceuticals Inc., where he led the first syndicated royalty monetization. Prior to that, Mr. Michel was a Principal at Booz Allen Hamilton Inc. and also held a variety of commercial roles at both Lederle Labs and Wyeth Labs. Mr. Michel holds an M.S. in Microbiology from the University of Rochester School of Medicine, an M.B.A. from the Simon School of Business, and a B.S. in both Biology and Geology from the University of Rochester.</w:t>
      </w:r>
    </w:p>
    <w:p>
      <w:pPr>
        <w:spacing w:after="0" w:line="1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 xml:space="preserve">Ross Tubo, PhD </w:t>
      </w:r>
      <w:r>
        <w:rPr>
          <w:rFonts w:ascii="Arial" w:cs="Arial" w:eastAsia="Arial" w:hAnsi="Arial"/>
          <w:sz w:val="18"/>
          <w:szCs w:val="18"/>
          <w:color w:val="auto"/>
        </w:rPr>
        <w:t>— Dr. Tubo joined Vericel in April 2014 with more than twenty years of experience in cell therapy, regenerative medicine, and stem cell</w:t>
      </w:r>
      <w:r>
        <w:rPr>
          <w:rFonts w:ascii="Arial" w:cs="Arial" w:eastAsia="Arial" w:hAnsi="Arial"/>
          <w:sz w:val="18"/>
          <w:szCs w:val="18"/>
          <w:i w:val="1"/>
          <w:iCs w:val="1"/>
          <w:color w:val="auto"/>
        </w:rPr>
        <w:t xml:space="preserve"> </w:t>
      </w:r>
      <w:r>
        <w:rPr>
          <w:rFonts w:ascii="Arial" w:cs="Arial" w:eastAsia="Arial" w:hAnsi="Arial"/>
          <w:sz w:val="18"/>
          <w:szCs w:val="18"/>
          <w:color w:val="auto"/>
        </w:rPr>
        <w:t>biology. Prior to joining Vericel, Dr. Tubo served as a Principal of Research Translation, LLC from November 2010 to March 2014. Dr. Tubo was a pioneer in the research, development, and commercialization of the first FDA-approved autologous cell therapy for articular cartilage repair, Carticel. As Vice President of Stem Cell and Chemokine Biology for Genzyme Corporation, a position he held from 1998 to 2010, he developed a world-class research organization designed to understand the underlying cell and molecular mechanism(s) of action of MSCs in autoimmune disease and cancer. These efforts led to the identification of specific therapeutic targets for treatment of these diseases. He holds a Ph.D. in Cell and Molecular Biology from the State University of New York at Buffalo and completed post-doctoral studies at Harvard Medical School. In January 2017, Dr. Tubo retired as Chief Scientific Officer but will remain as a consultant in various capacities.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Additional information about Vericel is contained at our website, www.vcel.com. Information on our website is not incorporated by reference into this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to read and copy at the SEC’s Public Reference Room at 100 F Street, NE, Washington, D.C. 20549. You may obtain information about the Public Reference Room by calling the SEC at 1-800-SEC-0330. Reports filed with the SEC are also made available on its website at www.sec.gov. The following Corporate Governance documents are also posted on our website: Code of Business Conduct and Ethics, Code of Ethics for Senior Financial Officers, Board Member Attendance at Annual Meetings Policy, Director Nominations Policy, Shareholder Communications with Directors Policy and the Charters for each of the Committees of the Board of Directors.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anticipate continuing to incur losses and may not achieve or maintain profitability for some time or at all.</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net losses each year since our inception in 1989, including net losses of $19.6 million and $16.3 million for the years ended December 31, 2016 and 2015, respectively. As of December 31, 2016, we had accumulated a deficit of approximately $343.6 million and had $23.0 million of cash. Based on our current plan and cash on hand, we believe that we are positioned to sustain our operations until at least March 31, 2018.</w:t>
      </w:r>
    </w:p>
    <w:p>
      <w:pPr>
        <w:spacing w:after="0" w:line="16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Although we believe we will achieve profitability without the need to raise additional capital, we may continue to incur significant operating losses over the next several years despite sales increasing and margins improving, due to continuing expenses related to our research and development programs, and the expense associated with continuing the commercialization of our approved products and completing the development of our current or future product candidates. We cannot predict with any certainty the amount of future losses. Our ability to maintain profitability will depend on, among other things, increasing sales of our current products, improving gross margins, successfully commercializing our new products, completing the development of our current or 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complementary products. Therefore, we may not be able to achieve or sustain profitability.</w:t>
      </w:r>
    </w:p>
    <w:p>
      <w:pPr>
        <w:spacing w:after="0" w:line="1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longer term, we may need to raise additional funds in order to continue to complete product development programs and complete clinical trials needed to obtain approval for and commercialize our current or future product candidates or to capitalize on potential strategic opportunities. We cannot be certain that actual results will not differ materially from our current projections and that current capital will be sufficient to achieve profitability nor that funding will be available on favorable terms, if at all. Some of the factors that will impact our ability to raise additional capital and our overall success include:</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maintain our manufacturing facility's compliance with U.S. Food and Drug Administration (FDA) requirements including establishment and product fees;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development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requirements to maintain marketing authorization and licenses from regulatory bodies in the United States and other countries in good standing;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Staying ahead of technological developments by competitors.</w:t>
      </w:r>
    </w:p>
    <w:p>
      <w:pPr>
        <w:spacing w:after="0" w:line="21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While we have access to certain amounts of financing through a Loan and Security Agreement, dated as of September 9, 2016, as amended (SVB-MidCap Facility), with Silicon Valley Bank , MidCap Financial Trust and MidCap Funding III Trust (together, MidCap), which includes a revolving line of credit, and an at-the-market Sales Agreement with Cowen and Company, LLC (Cowen), dated October 10, 2016 (ATM), there are certain factors, such as volume of trading in our common stock and our stock price and the ability to terminate the agreement with notice, which limit the amount that can be raised in a short period of time through the SVB-MidCap Facility and the ATM. In addition there are limits to our borrowing level with SVB and MidCap based on a minimum net revenue covenant and accounts receivable balance. If funding is needed and we cannot raise such funds, we will not be able to develop, manufacture or enhance products, take advantage of future opportunities, or respond to competitive pressures or unanticipated requirements, which would have a material adverse impact on our business, financial condition and 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enter into written agreements with payers for reimbursement of our products and to obtain adequate reimbursement and reimbursement rates could have a material adverse effect on our financial condition and operating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30, 2016, we reduced the scope of our agreement with our prior distributor by terminating their services with respect to a significant portion of our Carticel sales. Prior to June 30, 2016, we sold Carticel to such distributor, which subsequently resold Carticel to patients and healthcare providers. We have transitioned to a new provider, Dohmen Life Science Services, LLC (DLSS), who provides a patient support services program and reimbursement services for both Carticel and MACI, as well as other third parties which provide billing and collection activities and data reporting services. With this new arrangement, we have assumed the credit and collection risk of third party payers who do not pay for our products. 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In response, certain healthcare providers are limiting coverage or reducing reimbursement rates for the products we provide. We cannot predict the extent to which reimbursement for our products will be affected by initiatives to reduce costs for healthcare providers. Failure to collect from such payers or to obtain or maintain written agreements with such payers or obtaining lower then estimated reimbursement for our products would adversely affect our business, financial conditions and results of operations.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Significant uncertainty exists as to the reimbursement status of newly approved therapeutics such as MACI. There can be no guarantee that we will be able to obtain the same or similar reimbursement rates or reimbursement for MACI as were seen for Carticel.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raise the required capital to conduct our operations, develop and commercialize our current or future product candidates and otherwise grow and expand our business.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Notwithstanding the net proceeds of approximately $18.0 million we received from our December 2016 public offering and the availability of funds under the SVB-MidCap Facility, we will require substantial additional capital resources to complete the development of ixmyelocel-T for the treatment of advanced heart failure due to ischemic DCM and potentially for other strategic opportunities.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order to grow and expand our business, to introduce other new product candidates into the marketplace, we may need to raise additional funds. We may also need significant additional funds or a collaborative partner, or both, to finance the research and development activities of our current or future cell therapy product candidates for additional indications or in additional 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52"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scale up our production capabilities for larger quantities of our products;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expansions, if and as required; 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Complementary business acquisitions or development opportunities.</w:t>
      </w:r>
    </w:p>
    <w:p>
      <w:pPr>
        <w:spacing w:after="0" w:line="23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October 10, 2016, we entered into our ATM with Cowen, pursuant to which we may sell shares of our common stock through Cowen, as sales agent, in registered transactions from our shelf registration statement filed in June 2015, for aggregate proceeds of up to $25.0 million. Shares of common stock sold under the ATM are to be sold at market prices. We will pay up to 3% of the gross proceeds to Cowen as a commission. 357,856 shares of common stock have been sold to date under the ATM and as of December 31, 2016 had remaining capacity of approximately $24.2 million. The extent to which we rely on the ATM as a source of funding will depend on a number of factors, including the prevailing market price of our common stock and the extent to which we are able to secure working capital from other sources. If obtaining sufficient funding from the ATM were to prove impracticable or prohibitively dilutive, we may need to secure other sources of funding in order to satisfy our working capital needs. Even if we sell the maximum amount we are eligible to sell to under the ATM, we may need additional capital to fully implement our business, operating and development plans. Should the financing we require to sustain our working capital needs be unavailable or prohibitively expensive should we require it, the consequences may have a material adverse effect on our business, operating results, financial condition and prospects.</w:t>
      </w:r>
    </w:p>
    <w:p>
      <w:pPr>
        <w:spacing w:after="0" w:line="17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further commercialize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developmental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and maintain required regulatory approvals would severely limit our ability to sell our products.</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must maintain our domestic regulatory approvals to continue to commercialize our products. We must demonstrate the safety, purity and potency, or efficacy, of cell therapy products to obtain FDA regulatory approval prior to marketing in the United States or other countries. Demonstration of safety and efficacy requires the conduct of nonclinical studies and well-controlled clinical trials in compliance with FDA, ICH (International Conference of Harmonization) and applicable local regulations. The FDA regulatory review process to obtain marketing approval is a rigorous process that requires demonstrating the ability to manufacture the product in compliance with current Good Manufacturing Practices (cGMP) in addition to demonstrating a favorable risk/benefit profile and making certain post-marketing commitments. Regulatory requirements outside the U.S. often require additional studies and data to obtain registration. Timelines can also be longer than those in the U.S. We must maintain our domestic and foreign regulatory approvals in compliance with FDA regulatory requirements and applicable local regulations to allow for continued commercialization. The safety, potency and purity of our products must be monitored to be in compliance with FDA requirements for safety, cGMP,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maintain cGMP compliance could result in severe and detrimental regulatory actions, including the loss of marketing approval.</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the regulatory requirements that affect our products and/or current or future product candidates could prevent, limit or delay our ability to market or develop new product candidates.</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FDA regulations establish the regulatory requirements for drugs, devices and biological products. Our cell therapy products are regulated as devices or biologics under current regulations. Biologics require Biologics License Application (BLA) approval in the U.S. prior to being marketed. The regulations and guidance that govern the approval of biological products for marketing in the U.S. are subject to review and change by the FDA and could have an adverse impact on our ability to continue to market our products and bring new products to the market.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product candidate, ixmyelocel-T, still needs to initiate and then successfully complete pivotal Phase 3 studies. If we do not successfully continue or complete the clinical development of ixmyelocel-T, and achieve regulatory approval, our growth prospects may be adversely impacted.</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near-term prospects depend in part upon our ability to successfully continue and complete clinical development of our product candidate, ixmyelocel-T, demonstrating adequate safety and effectiveness to obtain regulatory approval in the U.S. Our ability to finance our company and to generate revenues will depend on the results of the clinical studies required to demonstrate the safety and effectiveness of ixmyelocel-T to secure marketing authorization. Regulatory approval of ixmyelocel-T could be unsuccessful if it:</w:t>
      </w:r>
    </w:p>
    <w:p>
      <w:pPr>
        <w:spacing w:after="0" w:line="187" w:lineRule="exact"/>
        <w:rPr>
          <w:sz w:val="20"/>
          <w:szCs w:val="20"/>
          <w:color w:val="auto"/>
        </w:rPr>
      </w:pPr>
    </w:p>
    <w:p>
      <w:pPr>
        <w:ind w:left="660" w:right="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demonstrate acceptable safety and efficacy in clinical trials, or otherwise does not meet applicable regulatory requirements for regulatory approval;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offer sufficient, clinically meaningful therapeutic benefit over the standard of care/ existing therapies;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Cannot be produced in commercial quantities at an acceptable costs; 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not accepted as a safe, efficacious, and cost-effective treatment over the standard of care and/or current therapies by the medical community and third-party payers.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If the development or commercialization of ixmyelocel-T is not successful or is significantly delayed, our future prospects may be adversely impacted.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product development programs are based on novel technologies and are inherently risky.</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products are subject to the inherent risks of failure associated with the development of new products based on novel technologies. The innovative nature of our therapeutics creates significant challenges in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Further, when manufacturing autologous cell therapies, the number and the composition of the cell population varies from patient to 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 As a consequence, the development and regulatory approval process for autologous cell therapy products could be delayed or may never be completed.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While our acquired products have had some commercial success to date, the broader market may not understand or accept our products. Our products represent new treatments or therapies and compete with a number of more conventional products and therapies manufactured and marketed by others. The new nature of our products creates significant challenges in regards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degree of market acceptance of any of our marketed or potential new products will depend on a number of factors, including:</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demonstrated advantage over alternative treatment methods;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demonstrate to healthcare providers that our products provide a therapeutic advancement over standard of care or other competitive products / methods;</w:t>
      </w:r>
    </w:p>
    <w:p>
      <w:pPr>
        <w:ind w:left="680" w:hanging="348"/>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educate healthcare providers on the autologous use of patient-specific human tissue, to avoid potential confusion with and differentiate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ourselves from the ethical controversies associated with human fetal tissue and engineered human tissue;</w:t>
      </w:r>
    </w:p>
    <w:p>
      <w:pPr>
        <w:spacing w:after="0" w:line="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educate healthcare providers, patients and payers on the safety and adverse reactions involving our products;</w:t>
      </w:r>
    </w:p>
    <w:p>
      <w:pPr>
        <w:spacing w:after="0" w:line="9"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supply and demand and develop a core group of medical professionals familiar with and committed to the use of our products; and</w:t>
      </w:r>
    </w:p>
    <w:p>
      <w:pPr>
        <w:spacing w:after="0" w:line="1" w:lineRule="exact"/>
        <w:rPr>
          <w:rFonts w:ascii="Arial" w:cs="Arial" w:eastAsia="Arial" w:hAnsi="Arial"/>
          <w:sz w:val="18"/>
          <w:szCs w:val="18"/>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cost-effectiveness of our products and the reimbursement policies of government and third-party payers.</w:t>
      </w:r>
    </w:p>
    <w:p>
      <w:pPr>
        <w:spacing w:after="0" w:line="23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the medical community or patients do not accept the safety and effectiveness of our products or if our products fail to demonstrate a favorable risk/benefit profile, it could negatively affect our sales, which would have a material adverse impact on our business, financial condition and operations. While acceptance by the medical community may be fostered by broad evaluation via peer-reviewed literature, we may not have the resources to facilitate additional research that can result in additional scientific publications.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our product development activities successfully would materially limit our ability to operate or finance our operations.</w:t>
      </w:r>
    </w:p>
    <w:p>
      <w:pPr>
        <w:spacing w:after="0" w:line="2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order to obtain regulatory approval to commercialize our current and future cell product candidates in the United States, we must conduct adequate and well-controlled clinical trials to demonstrate the safety and effectiveness in compliance with current regulatory requirements. We may not be able to successfully complete the development of our current or future product candidates, or successfully market our technologies or current or future product candidates. We, and any of our potential collaborators, may encounter problems and delays relating to research and development, regulatory approval and intellectual property rights of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technologies and current or future product candidates. Our research and development programs may not be successful, and our cell culture technologies and current or future product candidates may not facilitate the production of cells outside the human body with the expected results. Our technologies and cell product candidates may not prove to be safe and effective in clinical trials, and we may not obtain the requisite regulatory approvals for our product candidates. If any of these events occur, we may not have adequate resources to continue operations for the period required to resolve any issues delaying commercialization and we may not be able to raise capital to finance our continued operations during the period required for resolution of any such issues.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must successfully complete our nonclinical and clinical development program to be able to demonstrate safety and efficacy to seek marketing approval of our current or future cell therapy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current or future development candidates.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results of early stage clinical trials do not ensure success in later clinical trials, and interim results are not necessarily predictive of final results. Data obtained from clinical activities are not always conclusive and may be susceptible of varying interpretations, which could delay, limit or prevent regulatory approval.</w:t>
      </w:r>
    </w:p>
    <w:p>
      <w:pPr>
        <w:spacing w:after="0" w:line="276" w:lineRule="exact"/>
        <w:rPr>
          <w:sz w:val="20"/>
          <w:szCs w:val="20"/>
          <w:color w:val="auto"/>
        </w:rPr>
      </w:pPr>
    </w:p>
    <w:p>
      <w:pPr>
        <w:ind w:right="380" w:firstLine="243"/>
        <w:spacing w:after="0" w:line="308" w:lineRule="auto"/>
        <w:rPr>
          <w:sz w:val="20"/>
          <w:szCs w:val="20"/>
          <w:color w:val="auto"/>
        </w:rPr>
      </w:pPr>
      <w:r>
        <w:rPr>
          <w:rFonts w:ascii="Arial" w:cs="Arial" w:eastAsia="Arial" w:hAnsi="Arial"/>
          <w:sz w:val="17"/>
          <w:szCs w:val="17"/>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4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With respect to any clinical trials affecting our products or current or future development candidates, failures or delays can occur at any stage of the trials, and may be directly or indirectly caused by a variety of factors, including but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our clinical trials and their subsequent performance in conducting accurate and reliable trials on a timely basis;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Institutional Review Board (IRB) and other regulatory approvals to commence a clinical trial;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anticipated rates of patient recruitment and enrollment in our clinical trials, or failing to reach the targeted number of patients due to competition for patients from other trials;</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or no availability of coverage, reimbursement and adequate payment from health maintenance organizations and other third party payers for the use of biological products supplied for use in our clinical trials;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adverse effects interrupting, delaying, or halting clinical trials of any current or future therapeutic product candidates, and possibly resulting in the FDA or other regulatory authorities denying approval of any current or future therapeutic product candidates;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replicate in large controlled trials safety and efficacy data obtained from a limited number of patients in uncontrolled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Unavailability of clinical trial supplies.</w:t>
      </w:r>
    </w:p>
    <w:p>
      <w:pPr>
        <w:spacing w:after="0" w:line="2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FDA, the IRBs, and the sponsor monitor the progress of clinical trials and they may suspend or terminate a clinical trial at any time due to patient safety or other considerations. The FDA may impose a clinical hold on our trials because of safety concerns that have arisen for products or product candidates that are similar to our product candidates.</w:t>
      </w:r>
    </w:p>
    <w:p>
      <w:pPr>
        <w:spacing w:after="0" w:line="181"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Our development activities are currently directed at improving product functionality for certain clinical indications, improving product shelf life,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products would be commercially available.</w:t>
      </w:r>
    </w:p>
    <w:p>
      <w:pPr>
        <w:spacing w:after="0" w:line="1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Even when successful clinical results are reported for a product from a completed clinical trial, the durability of response may not be sustained over time, or may not be sufficient to support regulatory approval.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of third parties, including Vention Medical, Sanofi or Matricel GmbH, to manufacture or supply certain components, equipment, disposable devices and other materials used in our MACI, Epicel and ixmyelocel-T cell manufacturing processes would impair our cell product development and commercialization.</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rely on third parties, including Vention Medical, Inc. (Vention), Sanofi and Matricel GmbH (Matricel) to manufacture and/or supply certain of our devices/manufacturing equipment and to manufacture and/or supply certain components, equipment, disposable devices and other materials used in our cell manufacturing process to develop our marketed cell therapy products and our product candidates. In many instances these third parties serve as our sole suppliers. For example, Vention is the sole supplier for the cell cassettes used in the ixmyelocel-T manufacturing process; Sanofi is the sole supplier of certain testing and washing services for Epicel; and Matricel is the sole supplier of the membrane for MACI. It would be difficult to obtain alternate sources of supply on a short-term basis.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market our current or future product candidates or conduct clinical trials on a timely and cost-competitive basis, if at all.</w:t>
      </w:r>
    </w:p>
    <w:p>
      <w:pPr>
        <w:spacing w:after="0" w:line="1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commercially feasible products on a timely and competitive basis.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 by our third-party manufacturers, including Matricel, to comply with the regulatory requirements set forth by the FDA with respect to our products could delay or prevent the completion of clinical trials, the approval of any product candidates or the commercialization of our products.</w:t>
      </w:r>
    </w:p>
    <w:p>
      <w:pPr>
        <w:spacing w:after="0" w:line="1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Third-party manufacturers, such as Matricel, are subject to inspection by the FDA for current Good Manufacturing Practice, or cGMP, compliance, as well as for their ability to manufacture the product or product candidate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15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current or future product candidates, and may cause delays or interruptions in the availability of our products for commercial distribution following FDA approval. This could result in higher costs to us or deprive us of potential product revenues.</w:t>
      </w:r>
    </w:p>
    <w:p>
      <w:pPr>
        <w:spacing w:after="0" w:line="18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Complying with cGMP,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prior to FDA approval. Failure to pass a pre-approval inspection may significantly delay FDA approval of our current or future product candidates. Failure to comply with cGMP requirements can result in regulatory action that can limit the ability to manufacture commercial products. As a result, our business, financial condition, and results of operations may be materially harmed.</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4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may use clinical research organizations (CROs) to assist in the conduct of our clinical trials. There are numerous alternative sources to provide these services. However, we may face delays outside of our control if these parties do not perform their obligations in a timely or competent fashion, or if we are forced to change service providers. Any third 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Good Clinical Practice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Any failure by a CRO, a clinical trial site, or clinical investigator, or us to successfully accomplish clinical trial monitoring, data collection, safety monitoring and data management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and contractual restrictions may make such a change difficult or impossible. Additionally, it may be difficult to find a replacement organization that can conduct our trials in an acceptable manner and at an acceptable cost.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7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manufacture of cell therapy products, such as our products and product candidates, is highly complex and is characterized by inherent risks and challenges such as autologous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Difficulty in characterizing biological materials or their interactions creates greater risk in the manufacturing process. We attempt to mitigate risk associated with the manufacture of biologics by continuing to improve the characterization of all of our input materials, utilizing multiple vendors for supply of qualified biological materials, and manufacturing some of these materials ourselves. However, there can be no assurance that we will be able to maintain adequate sources of biological materials or that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16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can be no assurance that we or any third party contractors with whom we enter into strategic relationships will be successful in streamlining manufacturing operations and implementing efficient, low-cost manufacturing capabilities and processes that will enable us to meet the quality, price and production standards or production volumes to achieve profitability. Our failure to develop these manufacturing processes in a timely manner could prevent us from achieving our growth and profitability objectives as projected or at all.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presently conduct all of our commercial manufacturing operations in the U.S. at one facility located in Cambridge, Massachusetts. As a result, all of the commercial manufacturing of our marketed products, MACI, Epicel and Carticel, for the U.S. market takes place at a single U.S. facility. If regulatory, manufacturing or other problems require us to discontinue production at the Cambridge facility, we will not be able to supply our products to our patients, which would adversely impact our business. If this facility or the equipment in it is significantly damaged or destroyed by fire, flood, power loss or similar events, we may not be able to quickly or inexpensively replace our manufacturing capacity or replace our facility at all. In the event of a temporary or protracted loss of this facility or equipment, we might not be able to transfer manufacturing to a third party. Even if we could transfer manufacturing from one facility to a third party, the shift would likely be expensive and time-consuming, particularly since an alternative facility would need to comply with the applicable regulatory and quality standard requirements whereby validation and FDA approval would be required before any products manufactured at that facility could be made commercially available.</w:t>
      </w:r>
    </w:p>
    <w:p>
      <w:pPr>
        <w:spacing w:after="0" w:line="18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Furthermore, upon completion of treatment of patients in the open-label extension study, there will be no current manufacturing activities at the Ann Arbor facility. It will take time and resources to reinitiate manufacturing capabilities in the future. We may not be able to quickly or inexpensively replace our manufacturing capacity at our facility or a new facility.</w:t>
      </w:r>
    </w:p>
    <w:p>
      <w:pPr>
        <w:spacing w:after="0" w:line="181" w:lineRule="exact"/>
        <w:rPr>
          <w:sz w:val="20"/>
          <w:szCs w:val="20"/>
          <w:color w:val="auto"/>
        </w:rPr>
      </w:pPr>
    </w:p>
    <w:p>
      <w:pPr>
        <w:jc w:val="both"/>
        <w:ind w:right="20" w:firstLine="300"/>
        <w:spacing w:after="0" w:line="277" w:lineRule="auto"/>
        <w:rPr>
          <w:sz w:val="20"/>
          <w:szCs w:val="20"/>
          <w:color w:val="auto"/>
        </w:rPr>
      </w:pPr>
      <w:r>
        <w:rPr>
          <w:rFonts w:ascii="Arial" w:cs="Arial" w:eastAsia="Arial" w:hAnsi="Arial"/>
          <w:sz w:val="18"/>
          <w:szCs w:val="18"/>
          <w:color w:val="auto"/>
        </w:rPr>
        <w:t>While we do maintain insurance coverage against damage to our property and equipment, if we have underestimated our insurance needs, we will not have sufficient insurance to cover losses above and beyond the limits on our policies.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cyber security incident could result in a loss of confidential data, give rise to remediation and other expenses, expose us to liability under HIPAA, consumer protection laws, or other common law theories, subject us to litigation and federal and state governmental inquiries, damage our reputation, and otherwise be disruptive to our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collect and store sensitive information, including intellectual property and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reviewed by internal and external parties. Despite these efforts, threats from malicious persons and groups, new vulnerabilities, and advanced new attacks against information systems create risk of cyber security incidents. There can be no assurance that we will not be subject to cyber security incidents that bypass our security measures, result in loss of personal health information or other data subject to privacy laws or disrupt our information systems or business. As a result, cyber security and the continued development and enhancement of our controls, processes and practices designed to protect our information systems from attack, damage or unauthorized access remain a priority for us. As cyber threats continue to evolve, we may be required to expend significant additional resources to continue to modify or enhance our protective measures or to investigate and remediate any cyber security vulnerabilities. The occurrence of any of these events could result in interruptions, delays, the loss, access, misappropriation, disclosure or corruption of data,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significant regulation with respect to the manufacturing of our products.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those involved in the preparation of a cellular therapy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 party contractors and suppliers are subject to pre-approval and routine FDA inspections for compliance with the applicable regulations as a condition of FDA approval of our products.</w:t>
      </w:r>
    </w:p>
    <w:p>
      <w:pPr>
        <w:spacing w:after="0" w:line="18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manufacturing facility in Cambridge, Massachusetts was inspected by the FDA in 2016 in connection with our commercialization of Carticel and for the pre-approval inspection for MACI. On May 27, 2016 and September 13, 2016, the FDA issued a Form 483 List of Inspectional Observations. A Form 483 is issued when, in an investigator’s judgment, the observed conditions or practices observed during an FDA inspection of the manufacturing facility indicate that an FDA-regulated product may be in violation of FDA’s requirements. We have completed or have planned remedial measures to improve our manufacturing process and have responded to all FDA observations and received FDA approval for MACI on December 13, 2016. Generally, if any such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 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 party waste disposal sites where we have sent wastes.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third party sites may require us to make additional expenditures, which could be material.</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obtain marketing authorization of any of our current or future cell therapy product candidates, including ixmyelocel-T, in the United States, the FDA requires us to submit a BLA, which is subject to the agency’s detailed review.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Biologics License Application (BLA) is a request for permission to introduce, or deliver for introduction, a biologic product into interstate commerce in the U.S. MACI and ixmyelocel-T are subject to the FDA’s biological product requirements. A BLA for MACI was submitted on January 4, 2016, and subsequently approved by the FDA on December 13, 2016. The Cambridge manufacturing facility was subject to a pre-approval inspection to demonstrate the capabilities to manufacture the product under cGMP requirements in compliance with the procedures provided in the BLA. MACI is considered a combination product consisting of the autologous cultured chondrocytes (the cell product) and ACI-Maix membrane (the device). The ACI-Maix membrane is manufactured by Matricel. The MACI regulatory approval in the U.S. is associated with a number of post-marketing commitments, including conducting a pediatric clinical study in the U.S. Conducting this study will require funding and resources. If the commitment is not met, the product may be withdrawn from the market by FDA.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this trend to dissipate in the near future.</w:t>
      </w:r>
    </w:p>
    <w:p>
      <w:pPr>
        <w:spacing w:after="0" w:line="17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 products to market. For example, the FDA approved Epicel as a HUD pursuant to an HDE application. A HUD is a medical device intended to benefit patients in the treatment or diagnosis of a disease or condition that affects not more than 8,000 individuals in the United States per year. A HUD with an approved HDE is approved by the FDA for marketing. However, Institutional Review Board (IRB) approval is required before a HUD can be used at a facility, with the exception of emergency use. The HDE holder is responsible for ensuring that a HUD approved under an HDE is administered only in facilities having an IRB constituted and acting in accordance with the agency’s regulation governing IRBs, including continuing review of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1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the HDE is suspended or revoked, marketing approval for Epicel would require the submission and approval of a premarket approval application (PMA) in order to be made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approval of a PMA, we could not market Epicel for sale in the U.S.</w:t>
      </w:r>
    </w:p>
    <w:p>
      <w:pPr>
        <w:spacing w:after="0" w:line="1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also required to implement and maintain stringent reporting, labeling and record keeping procedures. More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and submission of annual reports. Our failure to comply with U.S. federal, state and foreign governmental regulations could lead to the issuance of warning letters or untitled letters, the imposition of injunctions, suspensions or loss of regulatory approvals, product recalls, termination of distribution, product seizures or civil penalties. In the most extreme cases, criminal sanctions or closure of our manufacturing facility are possible.</w:t>
      </w:r>
    </w:p>
    <w:p>
      <w:pPr>
        <w:spacing w:after="0" w:line="18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addition, the pharmaceutical, biologic and medical device industries also are subject to many complex laws and regulations governing Medicare and Medicaid reimbursement and targeting healthcare fraud and abuse,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Various federal and state agencies have become increasingly vigilant in recent years in their investigation of various business practices, such as the federal Anti-kickback Statute and the federal False Claims Act. Governmental and regulatory actions against us can result in various actions that could adversely impact our operations, including:</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fines and penalties;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exclusion or the exclusion of our products from being reimbursed by federal and state healthcare programs (such as Medicare, Medicaid, Veterans Administration, or VA, health programs and Civilian Health and Medical Program Uniformed Service, or CHAMPUS);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civil or criminal prosecution or sanctions against us or our employees, such as fines, penalties or imprisonment.</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of these actions, in combination or alone, or even a public announcement that we are being investigated for possible violations of these laws, could have a material adverse effect on our business, financial condition, results of operations and cash flows.</w:t>
      </w:r>
    </w:p>
    <w:p>
      <w:pPr>
        <w:spacing w:after="0" w:line="170" w:lineRule="exact"/>
        <w:rPr>
          <w:sz w:val="20"/>
          <w:szCs w:val="20"/>
          <w:color w:val="auto"/>
        </w:rPr>
      </w:pPr>
    </w:p>
    <w:p>
      <w:pPr>
        <w:jc w:val="both"/>
        <w:ind w:firstLine="286"/>
        <w:spacing w:after="0" w:line="287" w:lineRule="auto"/>
        <w:rPr>
          <w:sz w:val="20"/>
          <w:szCs w:val="20"/>
          <w:color w:val="auto"/>
        </w:rPr>
      </w:pPr>
      <w:r>
        <w:rPr>
          <w:rFonts w:ascii="Arial" w:cs="Arial" w:eastAsia="Arial" w:hAnsi="Arial"/>
          <w:sz w:val="16"/>
          <w:szCs w:val="16"/>
          <w:color w:val="auto"/>
        </w:rPr>
        <w:t>The Sunset Clause provided under European Union (EU) pharmaceutical legislation, requires Marketing Authorization Holders (MAH) in the EU to place the product on the market within 3 years from the date of granting of the authorization. Otherwise, the authorization will cease to be valid. Likewise, for a product that was previously placed on the market and is no longer actually present on the market for 3 consecutive years from the last day of distribution, the authorization will cease to be valid. The rules have been the subject of interpretation by European Medicines Agency (EMA) and the European Commission to mean that the marketing authorization of a medicinal product will remain valid if at least one presentation of the existing product presentations is placed on the market in at least one Member State of the EU and the European Economic Area (EEA). In the case of MACI, this means that we have 3 years from the date of last distribution to make the product available in at least one Member State of the EU/EEA. In order to resume product supply in the EU/EEA, this will require the registration, qualification and approval of an EU compliant cGMP manufacturing facility within the allotted timeframe. In addition, we must comply with the Pediatric Investigational Plan (PIP) that is in place as a post-authorization commitment agreed with the EMA. The current PIP requires us to submit the results of the pediatric study prior to December 2017 according to the study protocol previously agreed between the EMA and the previous sponsor. Although the PIP commitment date can be modified and we can decide to make investments to register and qualify our cGMP manufacturing facility in the EU, the marketing authorization for MACI could be at risk of being revoked under the prevailing EU law if timely action is not taken by us.</w:t>
      </w:r>
    </w:p>
    <w:p>
      <w:pPr>
        <w:spacing w:after="0" w:line="16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applications, refuse to provide certificates to foreign governments for exports,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prosecution to the United States Department of Justice (DOJ). Adverse regulatory action, depending on its magnitude, may restrict us from effectively marketing and selling our products.</w:t>
      </w:r>
    </w:p>
    <w:p>
      <w:pPr>
        <w:spacing w:after="0" w:line="1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duties and tax requirements. Many of the regulations applicable to our products in these countries, such as the Medicinal Products Directive and the ATMP guidelines, governing products in the EU, are similar to those of the FDA. In addition, in many countries the national health or social security organizations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or ISO. If we fail to adequately address any of these regulations, our business will be harmed.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our products or current or future product candidates may require regulatory approvals. It may be necessary to recall or cease marketing our products until certain issues are resolved and regulatory approval is obtained.</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Changes or modifications in the manufacturing process may require the submission of supplements to our BLAs, Humanitarian Device Exemption (HDE) application, and Investigational New Drug applications (INDs). These supplements require the generation of data to support the change, review and approval by FDA to obtain authorization for the change in the commercial product or in the investigational biological product before they can be implemented. Obtaining regulatory approvals for these changes may require the conduct of new studies and purchase of new equipment to justify the change. This can be costly and time consuming. Regulatory delays can adversely impact our ability to improve our products and to introduce new products in a timely manner. This can be detrimental to our future growth.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7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are required to comply with cGMP and Good Tissue Practice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can be subject to regulatory action, including recall or withdrawal from the market.</w:t>
      </w:r>
    </w:p>
    <w:p>
      <w:pPr>
        <w:spacing w:after="0" w:line="19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Product manufacturers and their facilities are subject to payment of annual user fees and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or withdrawal of the product from the market.</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Advertising and promotional materials, including educational and web-site material, must comply with FDA’s promotional and advertising regulations in addition to other potentially applicable federal and state laws, and such materials for biologics are subject to submission and review by the Center of Biological Research, Advertising Promotional Labeling Branch.</w:t>
      </w:r>
    </w:p>
    <w:p>
      <w:pPr>
        <w:spacing w:after="0" w:line="181" w:lineRule="exact"/>
        <w:rPr>
          <w:sz w:val="20"/>
          <w:szCs w:val="20"/>
          <w:color w:val="auto"/>
        </w:rPr>
      </w:pPr>
    </w:p>
    <w:p>
      <w:pPr>
        <w:jc w:val="both"/>
        <w:ind w:firstLine="289"/>
        <w:spacing w:after="0" w:line="264" w:lineRule="auto"/>
        <w:rPr>
          <w:sz w:val="20"/>
          <w:szCs w:val="20"/>
          <w:color w:val="auto"/>
        </w:rPr>
      </w:pPr>
      <w:r>
        <w:rPr>
          <w:rFonts w:ascii="Arial" w:cs="Arial" w:eastAsia="Arial" w:hAnsi="Arial"/>
          <w:sz w:val="18"/>
          <w:szCs w:val="18"/>
          <w:color w:val="auto"/>
        </w:rPr>
        <w:t>The failure by us or one of our suppliers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Client notifications for repair, replacement, or refunds of a device;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Denying, refusing or delaying our requests for approval of new products or proposed changes to existing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Withdrawing product approvals that have already been granted;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to approve a pending marketing application, such as a BLA or supplements to a BLA submitted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actions were to occur it would harm our reputation and cause our product sales and profitability to suffer, preventing us from generating revenue. Furthermore, our key suppliers may have compliance issues which could impact our ability to manufacture our products on a timely basis and in the required quantities.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marketed products may be used by physicians for indications that are not approved by the FDA. If the FDA finds that we marketed our products in a manner that promoted off-label use, we may be subject to civil or criminal penalties.</w:t>
      </w:r>
    </w:p>
    <w:p>
      <w:pPr>
        <w:spacing w:after="0" w:line="170"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Under the Federal Food, Drug, and Cosmetic Act (FFDCA) and other laws, we are prohibited from promoting our products for off-label uses. This means, for example, that we may not make claims about the use of any of our marketed products, including MACI, Carticel or Epicel, outside of their approved labeling and indications. Therefore, our sales representatives may not proactively discuss or provide information on off-label uses. The FDA does not, however, restrict physicians from prescribing products for off-label uses in the practice of medicine. Should the FDA determine that our activities constitute the promotion of off-label uses, the FDA could bring an action to prevent us from distributing MACI, Carticel or Epicel for the off-label use and could impose fines and penalties on us and our executives.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 Office of Inspector General within the Department of Health and Human Services, the DOJ, or another federal or state agency determines that we have promoted off-label use of our products, we may be subject to various penalties, including civil or criminal penalties, and the off-label use of our products may result in injuries that lead to product liability suits, which could be costly to our business.</w:t>
      </w:r>
    </w:p>
    <w:p>
      <w:pPr>
        <w:spacing w:after="0" w:line="166"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addition to the FDA restrictions on our marketed products, several other types of state and federal healthcare laws have been applied by DOJ and state attorneys general to restrict certain marketing practices in the pharmaceutical industry. While physicians may prescribe products for off-label uses and indications, if other federal or state regulatory authorities determine that we have engaged in off-label promotion through remuneration, kickbacks or other monetary benefits to prescribers, we may be subject to civil or criminal penalties and could be prohibited from participating in government healthcare programs such as Medicaid and Medicare. In addition, government agencies or departments could conclude that we have engaged in off-label promotion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ability to finance our operations. In addition, the off-label use of our products may increase the risk of injury to patients, and, in turn, the risk of product liability claims. Product liability claims are expensive to defend and could divert our management’s attention and result in substantial damage awards against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sale of any of our products may be limited by health insurance coverage and government regulation.</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Maintaining and growing sales of our products will depend in large part on the availability of adequate coverage and the extent to which third-party payers, including health insurance companies, health maintenance organizations (HMOs),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We might need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 levels, we may not be able to successfully grow the sales of our products or commercialize any current and future product candidates for which marketing approval is obtained.</w:t>
      </w:r>
    </w:p>
    <w:p>
      <w:pPr>
        <w:spacing w:after="0" w:line="17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Coverage decisions and payment amounts are established at the discretion of the individual third-party payer, and the regulations that govern pricing, coverage and reimbursement vary widely from country to country. Many private payers in the United States, however, use coverage decisions and payment amounts determined by the Centers for Medicare &amp; Medicaid Services (CMS), as guidelines in setting their coverage and reimbursement policies. As the portion of the U.S. population over the age of 65 and eligible for Medicare continues to grow, we may be more vulnerable to coverage and reimbursement limitations imposed by CMS. While certain procedures using our products are currently covered by Medicare and other third-party payers, future action by CMS or other government agencies may diminish payments to physicians, outpatient centers and/or hospitals for covered services. As a result, we cannot be certain that the procedures performed with our products will be reimbursed at a cost-effective level or reimbursed at all.</w:t>
      </w:r>
    </w:p>
    <w:p>
      <w:pPr>
        <w:spacing w:after="0" w:line="16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 cost-effective level. Nor can we be certain that third-party payers using a methodology that sets amounts based on the type of procedure performed, such as those utilized by Medicare and in many privately managed care systems, will view the cost of our products to be justified so as to incorporate such costs into the overall cost of the procedure. Moreover, we are unable to predict what changes will be made to the reimbursement methodologies used by third-party payers in the future.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All of our products face intense competition from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7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Furthermore, our competitors may have developed, or could in the future develop, new technologies that compete with our products or even render our products obsolete. As an example, in the past, published studies have suggested that hematopoietic stem cell therapy use for bone marrow transplantation, following marrow ablation due to chemotherapy, may have limited clinical benefit in the treatment of breast cancer, which was a significant portion of the overall hematopoietic stem cell transplant market. This resulted in the practical elimination of this market for our cell-based product for this application.</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cell manufacturing system for ixmyelocel-T is designed to improve and automate the processes for producing cells used in therapeutic procedures. Even if we are able to demonstrate improved or equivalent results, the cost or process of treatment and other factors may cause researchers and practitioners to not use our products and we could suffer a competitive disadvantage. 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w:t>
      </w:r>
    </w:p>
    <w:p>
      <w:pPr>
        <w:spacing w:after="0" w:line="15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commercial success of our products depends in part on general public acceptance of the use of human tissue for the treatment of human diseases and other conditions. While not as controversial as the use of embryonic stem cells and fetal tissue, the 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animal-derived materials could harm our product development and commercialization efforts.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(BSE),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United States, there have been a number of legislative and regulatory changes to the healthcare system in ways that could affect our future results of operations and the future results of operations of our potential customers.</w:t>
      </w:r>
    </w:p>
    <w:p>
      <w:pPr>
        <w:spacing w:after="0" w:line="17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Affordable Care Act), which includes measures to significantly change the way health care is financed by both governmental and private insurers. Among the provisions of the Affordable Care Act of importance to the pharmaceutical industry are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products, apportioned among these entities according to their market share in certain government healthcare programs;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both the volume of sales and manufacturers’ Medicaid rebate liability;</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New requirements to report certain financial arrangements with physicians and teaching hospitals, as defined in the Affordable Care Act and its implementing regulations, including reporting any “transfer of value” made or distributed to physicians and teaching hospitals and reporting any ownership and investment interests held by physicians and their immediate family members during the preceding calendar year, with data collection</w:t>
      </w:r>
    </w:p>
    <w:p>
      <w:pPr>
        <w:ind w:left="660"/>
        <w:spacing w:after="0"/>
        <w:rPr>
          <w:sz w:val="20"/>
          <w:szCs w:val="20"/>
          <w:color w:val="auto"/>
        </w:rPr>
      </w:pPr>
      <w:r>
        <w:rPr>
          <w:rFonts w:ascii="Arial" w:cs="Arial" w:eastAsia="Arial" w:hAnsi="Arial"/>
          <w:sz w:val="18"/>
          <w:szCs w:val="18"/>
          <w:color w:val="auto"/>
        </w:rPr>
        <w:t>and reporting to the Centers for Medicare &amp; Medicaid Services (CMS) required by the 90th day of each calendar year;</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5"/>
          <w:szCs w:val="5"/>
          <w:color w:val="auto"/>
        </w:rPr>
        <w:t>•</w:t>
      </w:r>
    </w:p>
    <w:p>
      <w:pPr>
        <w:spacing w:after="0" w:line="6" w:lineRule="exact"/>
        <w:rPr>
          <w:sz w:val="20"/>
          <w:szCs w:val="20"/>
          <w:color w:val="auto"/>
        </w:rPr>
      </w:pPr>
    </w:p>
    <w:p>
      <w:pPr>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health care fraud and abuse laws, including the False Claims Act and the Anti-Kickback Statute, new government investigative powers, and enhanced penalties for noncompliance;</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has authority to recommend certain changes to the Medicare program that could result in reduced payments for prescription products and those recommendations could have the effect of law even if Congress does not act on the recommendations;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the CMS to test innovative payment and service delivery models to lower Medicare and Medicaid spending.</w:t>
      </w:r>
    </w:p>
    <w:p>
      <w:pPr>
        <w:spacing w:after="0" w:line="17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future of the Affordable Care Act and its impact on the pharmaceutical industry and the healthcare system remains uncertain. Some of the provisions of the Affordable Care Act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Affordable Care Act.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Thus, the full impact of the Affordable Care Act, or any law replacing elements of it, on our business remains unclear.</w:t>
      </w:r>
    </w:p>
    <w:p>
      <w:pPr>
        <w:spacing w:after="0" w:line="19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On August 2, 2011, the Budget Control Act of 2011, among other things, created measures for spending reductions by Congress. This includes aggregate reductions to Medicare payments to providers of up to 2% per fiscal year. Then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 care funding, which could have a material adverse effect on our customers and accordingly, our financial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While we cannot predict the full outcome of any such government action or legislation, it may harm our ability to market our products and generate revenues.</w:t>
      </w:r>
    </w:p>
    <w:p>
      <w:pPr>
        <w:spacing w:after="0" w:line="181" w:lineRule="exact"/>
        <w:rPr>
          <w:sz w:val="20"/>
          <w:szCs w:val="20"/>
          <w:color w:val="auto"/>
        </w:rPr>
      </w:pPr>
    </w:p>
    <w:p>
      <w:pPr>
        <w:ind w:right="200" w:firstLine="243"/>
        <w:spacing w:after="0" w:line="312" w:lineRule="auto"/>
        <w:rPr>
          <w:sz w:val="20"/>
          <w:szCs w:val="20"/>
          <w:color w:val="auto"/>
        </w:rPr>
      </w:pPr>
      <w:r>
        <w:rPr>
          <w:rFonts w:ascii="Arial" w:cs="Arial" w:eastAsia="Arial" w:hAnsi="Arial"/>
          <w:sz w:val="16"/>
          <w:szCs w:val="16"/>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Tissue based products are regulated differently in different countries. Many foreign jurisdictions have a different and may have a more difficult regulatory pathway for human tissue 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Any adverse events in our clinical trials for a future product under development could negatively impact our product candidates.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Competitor companies or hospitals may be able to take advantage of the EU rules permitting sales of unlicensed medicines for individual patients to sell competing products without a marketing authorization.</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the healthcare professional's direct personal responsibility.</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This may, in certain countries, also apply to products manufactured in a country outside the EU and imported to treat specific patients or small groups of patients. In addition, Advanced Therapy Medicinal Products do not need a marketing authorization if they are prepared on a non-routine basis and are used within the same EU member state in a hospital under the exclusive professional responsibility of a medical practitioner and in accordance with a medical prescription for a custom-made product for an individual patient (named-patient basis).</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and financial market conditions may exacerbate certain risks affecting our business.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 volatility in the financial markets, there may be a delay or disruption in the performance or satisfaction of commitments to us by these third parties, which could adversely affect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our key manufacturing, quality and other management personnel and the loss of any of these individuals could harm our business.</w:t>
      </w:r>
    </w:p>
    <w:p>
      <w:pPr>
        <w:spacing w:after="0" w:line="26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patent protection for Epicel.</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 party reimbursement for Epicel, any of which would materially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our issued patents relating to Carticel and MACI will expire soon or have already expired and others may be insufficient to protect our business.</w:t>
      </w:r>
    </w:p>
    <w:p>
      <w:pPr>
        <w:spacing w:after="0" w:line="26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issued patents in the United States and in certain foreign countries that relate to the combinations of chondrocytes and collagen membranes used in Carticel and MACI. However, the issued patents relating to MACI expired in the U.S. and will expire by August of 2017 in Europe. Furthermore, the issued patents relating to Carticel are scheduled to expire by 2022 in Europe. When these patents expire we may be subject to increased competition and our opportunity to establish or maintain product revenue could be substantially reduced or eliminated.</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our patents and proprietary rights do not provide substantial protection, then our business and competitive position will suffer.</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 party will not claim ownership in one of our patents or patent applications. We cannot assure you that a third party does not have or will not obtain patents that dominate the patents we own or license now or in the future.</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Patent law relating to the scope of claims in the biotechnology field is evolving and our patent rights in this country and abroad are subject to this uncertainty. For example, from time to time, the U.S. Supreme Court (Supreme Court), other federal courts, the U.S. Congress or the United States Patent and Trademark Office (USPTO) may change the standards of patentability and any such changes could have a negative impact on our business. There have been several cases involving “gene patents” and diagnostic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claims that have been considered by the Supreme Court. A suit brought by multiple plaintiffs, including the American Civil Liberties Union (ACLU) against Myriad Genetics (Myriad) and the USPTO, could impact biotechnology and diagnostic patents. That case involves certain of Myriad’s U.S. patents related to the breast cancer susceptibility genes BRCA1 and BRCA2. The Federal Circuit court issued a written decision on July 29, 2011 that reversed the decision of the U.S. District Court for the Southern District of New York that Myriad’s composition claims to “isolated” DNA molecules cover unpatentable subject matter. The Federal Circuit court instead held that the breast cancer genes are patentable subject matter. Subsequently, on March 20, 2012, the Supreme Court issued a decision in Mayo Collaborative v. Prometheus Laboratories (Prometheus) a case involving patent claims directed to optimizing the amount of drug administered to a specific patient. According to that decision, Prometheus’ claims failed to add enough inventive content to the underlying correlations to allow the processes they describe to qualify as patent-eligible processes that apply natural laws. The Supreme Court subsequently granted certiorari in the Myriad case, vacated the judgment, and remanded the case back to the Federal Circuit court for further consideration in light of their decision in the Prometheus case. The Federal Circuit court heard oral arguments on July 20, 2012, and issued a decision on August 16, 2012. The Federal Circuit court reaffirmed its earlier decision and held that composition of matter claims directed to isolated nucleic acids are patent-eligible subject matter, but that method claims consisting of only abstract mental processes are not patent-eligible. On September 25, 2012, the ACLU filed a petition for a writ of certiorari asking the Supreme Court to review the Federal Circuit court’s decision with respect to the composition of matter claims. On November 30, 2012, the Supreme Court granted the petition and agreed to review the case. On June 13, 2013, the Supreme Court issued a decision in the Myriad case. According to the decision, claims directed to genomic DNA cover unpatentable subject matter. However, claims directed to cDNA are patent eligible subject matter.</w:t>
      </w:r>
    </w:p>
    <w:p>
      <w:pPr>
        <w:spacing w:after="0" w:line="16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March 4, 2014, the USPTO issued a memorandum entitled “2014 Procedure For Subject Matter Eligibility Analysis Of Claims Reciting Or Involving Laws Of Nature/Natural Principles, Natural Phenomena, And/Or Natural Products”. This memorandum provides guidance to patent examiners for examining claims reciting laws of nature/natural principles, natural phenomena, and/or natural products for patent eligibility in view of the Supreme Court decisions in Prometheus and Myriad. The guidance indicates that claims reciting such natural subject matter, read as a whole, that do not significantly differ from such natural subject matter should be rejected as non-statutory subject matter. 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7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Congress directed the USPTO to study effective ways to provide independent, confirming genetic diagnostic test activity where gene patents and exclusive licensing for primary genetic diagnostic tests exist. This study will examine the impact that independent second opinion testing has on providing medical care to patients; the effect that providing independent second opinion genetic diagnostic testing would have on the existing patent and license holders of an exclusive genetic test; the impact of current practices on testing results and performance; and the role of insurance coverage on the provision of genetic diagnostic tests. The USPTO was directed to report the findings of the study to Congress and provide recommendations for establishing the availability of independent confirming genetic diagnostic test activity by June 16, 2012. On August 28, 2012, the Department of Commerce sent a letter to the House and Senate Judiciary Committee leadership updating them on the status of the genetic testing report. The letter stated in part: “Given the complexity and diversity of the opinions, comments, and suggestions provided by interested parties, and the important policy considerations involved, we believe that further review, discussion, and analysis are required before a final report can be submitted to Congress.” The USPTO issued a Request for Comments and Notice of Public Hearing on Genetic Diagnostic Testing on January 25, 2012, and held additional public hearings in February and March 2013. It is unclear whether the results of this study will be acted upon by the USPTO or result in Congressional efforts to change the law or process in a manner that could negatively impact our present or future patent portfolio.</w:t>
      </w:r>
    </w:p>
    <w:p>
      <w:pPr>
        <w:spacing w:after="0" w:line="18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There can be no assurance that the Supreme Court’s decision in either the Myriad or Prometheus case will not have a negative impact on biotechnology patents generally or the ability of biotechnology companies to obtain or enforce their patents in the future. Such negative decisions by the Supreme Court could have a material adverse effect on our existing patent portfolio and our ability to protect and enforce our intellectual property in the future.</w:t>
      </w:r>
    </w:p>
    <w:p>
      <w:pPr>
        <w:spacing w:after="0" w:line="147"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We also rely on trade secrets and un-patentable know-how that we seek to protect, in part, by confidentiality agreements with our employees, consultants, suppliers and licensees. These agreements may be breached, and we might not have adequate remedies for any breach. Our competitors may also independently develop technologies substantially equivalent or superior to ours. If this were to occur, our business and competitive position would suffer.</w:t>
      </w:r>
    </w:p>
    <w:p>
      <w:pPr>
        <w:spacing w:after="0" w:line="14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Given our patent position in regard to our products, if we are unable to protect the confidentiality of our proprietary information and know-how related to these products, our competitive position would be impaired and our business, financial condition and results of operations could be adversely affected.</w:t>
      </w:r>
    </w:p>
    <w:p>
      <w:pPr>
        <w:spacing w:after="0" w:line="10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Some of our technology, including our knowledge regarding the processing of our products, is unpatented and is maintained by us as trade secrets. In an effort to protect these trade secrets, we require our employees, consultants, collaborators and advisors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189"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With respect to MACI and ixmyelocel-T,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successful challenge to our trademarks could force us to rebrand Epicel, Carticel, or MACI.</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4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5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 fees, and force us to pay significant license fees and royalties or cease the development and sale of our products and processes.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hired and expect to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If we infringe the rights of third parties we could be prevented from selling products, forced to pay damages, and defend against litigation</w:t>
      </w:r>
      <w:r>
        <w:rPr>
          <w:rFonts w:ascii="Arial" w:cs="Arial" w:eastAsia="Arial" w:hAnsi="Arial"/>
          <w:sz w:val="17"/>
          <w:szCs w:val="17"/>
          <w:color w:val="auto"/>
        </w:rPr>
        <w:t>.</w:t>
      </w:r>
    </w:p>
    <w:p>
      <w:pPr>
        <w:spacing w:after="0" w:line="23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products or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have exclusively licensed;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w:t>
      </w: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Others may challenge our patent or other intellectual property rights or sue us for infringement.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use of our products and current and future product candidates may expose us to product liability claims, and we may not be able to obtain adequate insurance. As a result, such claims could affect our earnings and financial condition.</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face an inherent business risk of exposure to product liability claims in the event that the manufacture and/or use of our products during clinical trials, or after commercialization, results in adverse events. Moreover, we derive the raw materials for our products from patients serving as their own donors, the production process is complex, and the handling requirements are specific, all of which increase the likelihood of quality failures and subsequent product liability claims.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16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awards against 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regulatory 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jc w:val="both"/>
        <w:ind w:firstLine="58"/>
        <w:spacing w:after="0" w:line="277" w:lineRule="auto"/>
        <w:rPr>
          <w:sz w:val="20"/>
          <w:szCs w:val="20"/>
          <w:color w:val="auto"/>
        </w:rPr>
      </w:pPr>
      <w:r>
        <w:rPr>
          <w:rFonts w:ascii="Arial" w:cs="Arial" w:eastAsia="Arial" w:hAnsi="Arial"/>
          <w:sz w:val="18"/>
          <w:szCs w:val="18"/>
          <w:b w:val="1"/>
          <w:bCs w:val="1"/>
          <w:i w:val="1"/>
          <w:iCs w:val="1"/>
          <w:color w:val="auto"/>
        </w:rPr>
        <w:t>The market price of the common stock of the combined company may be affected by factors different from those affecting the market price for our common stock in recent history.</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business in recent history differs from that of the CTRM business, and our current combined business differs from recent history, and accordingly, the results of operations for the combined company may be affected by factors different from those affecting our results of operation in recent history. As a result, the market price for our stock may be impacted differently in the future by those factors than it is currently.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price has been volatile and future sales of shares of common stock could have an adverse effect on the market price of such shares.</w:t>
      </w:r>
    </w:p>
    <w:p>
      <w:pPr>
        <w:spacing w:after="0" w:line="26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market price of shares of our common stock has been volatile, ranging in closing price between $1.79 and $6.08 during the year ended December 31, 2016. The price of our common stock may continue to fluctuate in response to a number of events and factors, such as: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abroad;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 or other variations in patient demand for MACI, Carticel and Epicel;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News or reports from other stem cell, cell therapy or regenerative medicine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Reports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Status of the investment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Concerns related to management transitions;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Delisting from The NASDAQ Capital Market.</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w:t>
      </w:r>
    </w:p>
    <w:p>
      <w:pPr>
        <w:spacing w:after="0" w:line="23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If we fail to satisfy the continued listing requirements of The NASDAQ Capital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 of our common stock through future equity offerings may cause dilution and could cause the price of our common stock to decline.</w:t>
      </w:r>
    </w:p>
    <w:p>
      <w:pPr>
        <w:spacing w:after="0" w:line="23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the year-ended December 31, 2016, we sold (i) an aggregate gross amount of approximately $0.8 million worth of shares of common stock pursuant to our ATM with Cowen (ii) an aggregate of approximately $0.1 million worth of shares of our common stock to Lincoln Park pursuant to the Lincoln Park Equity Line, and (iii) on December 23, 2016, we sold 7.1 million shares of common stock under a Form S-1 registration statement and pursuant to a prospectus first made available on December 21, 2016. The ATM, which as of December 31, 2016 had remaining capacity of approximately $24.2 million allows us to sell our common stock from time to time under a registration statement on Form S-3 filed in June 2015, pursuant to which we registered $100.0 million of our securities for public sale. Additionally, pursuant to the Lincoln Park Equity Line we may direct Lincoln Park to purchase up to $15.0 million worth of shares of our common stock over a 30-month period generally in amounts up to 50,000 shares of our common stock. As of December 31, 2016, we had remaining capacity of approximately $11.2 million worth of shares under the Lincoln Park Equity Line. However, there are certain factors, such as volume of trading in our common stock, our stock price and the ability to terminate the agreement with notice, which limit the amount that can be raised in a short period of time through the Lincoln Park Equity Line.</w:t>
      </w:r>
    </w:p>
    <w:p>
      <w:pPr>
        <w:spacing w:after="0" w:line="17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do not anticipate paying dividends on our common stock, and accordingly, shareholders must rely on stock appreciation for any return on their investment.</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have never declared or paid cash dividends on our common stock and do not expect to do so in the foreseeable future. The declaration of dividends is subject to the discretion of our board of directors and will depend on various factors, including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results, financial condition, future prospects and any other factors deemed relevant by our board of directors. You should not rely on an investment in our company if you require dividend income from your investment in our company. The success of your investment will likely depend entirely upon any future appreciation of the market price of our common stock, which is uncertain and unpredictable. There is no guarantee that our common stock will appreciate in value.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SVB-MidCap Facility contains restrictions that limit our flexibility in operating our business. We may be required to make a prepayment or repay the outstanding indebtedness earlier than we expect if a prepayment event or an event of default occurs, including a material adverse change with respect to us, which could have a materially adverse effect on our business.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SVB-MidCap Facility contains various covenants that limit our ability to engage in specified types of transactions. These covenants limit our ability to, among other things:</w:t>
      </w:r>
    </w:p>
    <w:p>
      <w:pPr>
        <w:spacing w:after="0" w:line="170"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convey, sell, lease or otherwise dispose of certain parts of our business or property;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change in control or acquisition transactions;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certain collateral accounts;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make certain distributions to our stockholders;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or permit certain payments on subordinate debt;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become an “investment company” as defined under the Investment Company Act of 1940, as amended.</w:t>
      </w:r>
    </w:p>
    <w:p>
      <w:pPr>
        <w:spacing w:after="0" w:line="2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addition, the SVB-MidCap Facility obliges us to comply with certain affirmative covenants, including the achievement of certain minimum revenue thresholds.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restrictive and affirmative covenants of the SVB-MidCap Facility could cause us to be unable to pursue business opportunities that we or our stockholders may consider beneficial.</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 breach of any of these covenants could result in an event of default under the SVB-MidCap Facility. An event of default will also occur if, among other things, a material adverse change in our business, operations or condition occurs, which could potentially include negative results in clinical trials, or a material impairment of the prospect of our repayment of any portion of the amounts we owe under the SVB-MidCap Facility occurs. In the case of a continuing event of default under the agreement, SVB and Mid-Cap could elect to declare all amounts outstanding to be immediately due and payable, proceed against the collateral in which we granted SVB and Mid-Cap a security interest under the SVB-MidCap Facility, or otherwise exercise the rights of a secured creditor. Amounts outstanding under the Loan and Security Agreement are secured by all of our existing and future assets, excluding intellectual property, which is subject to a negative pledge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quarterly results of operations will fluctuate, and this fluctuation could cause our stock price to decline.</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quarterly operating results are likely to fluctuate in the future. These fluctuations could cause our stock price to decline. The nature of our business involves variable factors, such as the timing of the research, development and regulatory pathways of our current and future product candidates, which could cause our operating results to fluctuate. Due to the possibility of fluctuations in our revenues and expenses, we believe that quarter-to-quarter comparisons of our operating results are not a good indication of our future performance.</w:t>
      </w:r>
    </w:p>
    <w:p>
      <w:pPr>
        <w:spacing w:after="0" w:line="187" w:lineRule="exact"/>
        <w:rPr>
          <w:sz w:val="20"/>
          <w:szCs w:val="20"/>
          <w:color w:val="auto"/>
        </w:rPr>
      </w:pPr>
    </w:p>
    <w:p>
      <w:pPr>
        <w:jc w:val="both"/>
        <w:ind w:firstLine="54"/>
        <w:spacing w:after="0" w:line="277" w:lineRule="auto"/>
        <w:rPr>
          <w:sz w:val="20"/>
          <w:szCs w:val="20"/>
          <w:color w:val="auto"/>
        </w:rPr>
      </w:pPr>
      <w:r>
        <w:rPr>
          <w:rFonts w:ascii="Arial" w:cs="Arial" w:eastAsia="Arial" w:hAnsi="Arial"/>
          <w:sz w:val="18"/>
          <w:szCs w:val="18"/>
          <w:b w:val="1"/>
          <w:bCs w:val="1"/>
          <w:i w:val="1"/>
          <w:iCs w:val="1"/>
          <w:color w:val="auto"/>
        </w:rPr>
        <w:t>Efforts to comply with securities laws and regulations will increase our costs and require additional management resources, and we still may fail to comply.</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directed by Section 404 of the Sarbanes-Oxley Act of 2002, the Securities and Exchange Commission (SEC) adopted rules requiring public companies to include a report of management on their internal controls over financial reporting in their annual reports on Form 10-K. The independent registered public accounting firm auditing our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financial statements, which could result in a decrease in the value of our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documents and Michigan law contain provisions that may make it more difficult for us to be acquired.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Board of Directors (Board) has the authority, without shareholder approval, to issue additional shares of preferred stock and to fix the rights, preferences, privileges and restrictions of these shares without any further vote or action by our shareholders. Michigan law contains a provision that makes it more difficult for a 10% shareholder, or its officers, to acquire a company. This authority, together with certain provisions of our charter documents, may have the effect of making it more difficult for a third party to acquire, or of discouraging a third-party from attempting to acquire, control of our company. This effect could occur even if our shareholders consider the change in control to be in their best interest. We have adopted a shareholder rights plan, the purpose of which is, among other things, to enhance our Board’s ability to protect shareholder interests and to ensure that shareholders receive fair treatment in the event any coercive takeover attempt of our company is made in the future. The shareholder rights plan could make it more difficult for a third party to acquire, or could discourage a third party from acquiring, our company or a large block of our company’s common stock.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common stock becomes subject to the SEC’s penny stock rules, broker-dealers may experience difficulty in completing customer transactions and trading activity in our securities may be adversely affected.</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at any time our securities are no longer listed on a national securities exchange, including The NASDAQ Stock Market, or we have net tangible assets of $5.0 million or less and our common stock has a market price per share of less than $5.00, transactions in our common stock will be subject to the SEC’s “penny stock” rules. If our common stock becomes subject to the “penny stock” rules promulgated under the Securities Exchange Act of 1934, as amended, broker-dealers may find it difficult to effectuate customer transactions and trading activity in our securities may be adversely affected. For any transaction involving a penny stock, unless exempt, the rules require:</w:t>
      </w:r>
    </w:p>
    <w:p>
      <w:pPr>
        <w:spacing w:after="0" w:line="18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4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SEC relating to the penny stock market, which, in highlight form:</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70"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lease approximately 26,000 square feet in Ann Arbor, Michigan and 50,000 square feet in Cambridge, Massachusetts. The Ann Arbor lease agreement expires in April 2018 and the Cambridge lease expires in February 2022. The facilities include clean rooms, laboratories and office space. We believe that our facilities are adequate to meet our current needs. Additional facilities may be required to support expansion for research and development activities or to assume manufacturing operations that are currently fulfilled through contract manufacturing relationships.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Shareholder Matters and Issuer Purchase of Equity Securities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common stock is currently quoted on the NASDAQ Capital Market under the symbol “VCEL”. The following table sets forth the high and low closing prices per share of common stock as reported on the NASDAQ Stock Market.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High</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Low</w:t>
            </w:r>
          </w:p>
        </w:tc>
      </w:tr>
      <w:tr>
        <w:trPr>
          <w:trHeight w:val="236"/>
        </w:trPr>
        <w:tc>
          <w:tcPr>
            <w:tcW w:w="74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Year ended December 31, 2015</w:t>
            </w: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First Quarter</w:t>
            </w:r>
          </w:p>
        </w:tc>
        <w:tc>
          <w:tcPr>
            <w:tcW w:w="5140" w:type="dxa"/>
            <w:vAlign w:val="bottom"/>
            <w:tcBorders>
              <w:top w:val="single" w:sz="8" w:color="CCEEFF"/>
            </w:tcBorders>
          </w:tcPr>
          <w:p>
            <w:pPr>
              <w:spacing w:after="0"/>
              <w:rPr>
                <w:sz w:val="21"/>
                <w:szCs w:val="21"/>
                <w:color w:val="auto"/>
              </w:rPr>
            </w:pPr>
          </w:p>
        </w:tc>
        <w:tc>
          <w:tcPr>
            <w:tcW w:w="1320" w:type="dxa"/>
            <w:vAlign w:val="bottom"/>
            <w:tcBorders>
              <w:top w:val="single" w:sz="8" w:color="CCEEFF"/>
            </w:tcBorders>
          </w:tcPr>
          <w:p>
            <w:pPr>
              <w:jc w:val="right"/>
              <w:ind w:right="111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2.75</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Third Quarter</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2.40</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r>
      <w:tr>
        <w:trPr>
          <w:trHeight w:val="203"/>
        </w:trPr>
        <w:tc>
          <w:tcPr>
            <w:tcW w:w="74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2016</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5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2.07</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2.05</w:t>
            </w: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February 28, 2017 there were approximately 262 holders of record of the common stock. We have never paid any cash dividends on our common stock and we do not anticipate paying such cash dividends in the foreseeable future. We currently anticipate that we will retain all future earnings, if any, for use in the development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following graph shows the total stockholder return of an investment of $100 in cash on December 31, 2012 through December 31, 2016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Price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154940</wp:posOffset>
            </wp:positionV>
            <wp:extent cx="4227830" cy="2212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2783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 December 31, 2016</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information as of December 31, 2016 with respect to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which equity securities are authorized for issuances: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Weighted Average</w:t>
            </w:r>
          </w:p>
        </w:tc>
        <w:tc>
          <w:tcPr>
            <w:tcW w:w="2260" w:type="dxa"/>
            <w:vAlign w:val="bottom"/>
          </w:tcPr>
          <w:p>
            <w:pPr>
              <w:jc w:val="right"/>
              <w:ind w:right="403"/>
              <w:spacing w:after="0"/>
              <w:rPr>
                <w:sz w:val="20"/>
                <w:szCs w:val="20"/>
                <w:color w:val="auto"/>
              </w:rPr>
            </w:pPr>
            <w:r>
              <w:rPr>
                <w:rFonts w:ascii="Arial" w:cs="Arial" w:eastAsia="Arial" w:hAnsi="Arial"/>
                <w:sz w:val="14"/>
                <w:szCs w:val="14"/>
                <w:b w:val="1"/>
                <w:bCs w:val="1"/>
                <w:color w:val="auto"/>
              </w:rPr>
              <w:t>Number of Securities</w:t>
            </w:r>
          </w:p>
        </w:tc>
      </w:tr>
      <w:tr>
        <w:trPr>
          <w:trHeight w:val="216"/>
        </w:trPr>
        <w:tc>
          <w:tcPr>
            <w:tcW w:w="4480" w:type="dxa"/>
            <w:vAlign w:val="bottom"/>
          </w:tcPr>
          <w:p>
            <w:pPr>
              <w:spacing w:after="0"/>
              <w:rPr>
                <w:sz w:val="18"/>
                <w:szCs w:val="18"/>
                <w:color w:val="auto"/>
              </w:rPr>
            </w:pPr>
          </w:p>
        </w:tc>
        <w:tc>
          <w:tcPr>
            <w:tcW w:w="2400" w:type="dxa"/>
            <w:vAlign w:val="bottom"/>
            <w:gridSpan w:val="2"/>
          </w:tcPr>
          <w:p>
            <w:pPr>
              <w:ind w:left="500"/>
              <w:spacing w:after="0"/>
              <w:rPr>
                <w:sz w:val="20"/>
                <w:szCs w:val="20"/>
                <w:color w:val="auto"/>
              </w:rPr>
            </w:pPr>
            <w:r>
              <w:rPr>
                <w:rFonts w:ascii="Arial" w:cs="Arial" w:eastAsia="Arial" w:hAnsi="Arial"/>
                <w:sz w:val="14"/>
                <w:szCs w:val="14"/>
                <w:b w:val="1"/>
                <w:bCs w:val="1"/>
                <w:color w:val="auto"/>
              </w:rPr>
              <w:t>Number of Securities</w:t>
            </w:r>
          </w:p>
        </w:tc>
        <w:tc>
          <w:tcPr>
            <w:tcW w:w="32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 Price of</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Remaining Available</w:t>
            </w:r>
          </w:p>
        </w:tc>
      </w:tr>
      <w:tr>
        <w:trPr>
          <w:trHeight w:val="189"/>
        </w:trPr>
        <w:tc>
          <w:tcPr>
            <w:tcW w:w="4480" w:type="dxa"/>
            <w:vAlign w:val="bottom"/>
          </w:tcPr>
          <w:p>
            <w:pPr>
              <w:spacing w:after="0"/>
              <w:rPr>
                <w:sz w:val="16"/>
                <w:szCs w:val="16"/>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 be Issued upon Exercise</w:t>
            </w:r>
          </w:p>
        </w:tc>
        <w:tc>
          <w:tcPr>
            <w:tcW w:w="320" w:type="dxa"/>
            <w:vAlign w:val="bottom"/>
          </w:tcPr>
          <w:p>
            <w:pPr>
              <w:spacing w:after="0"/>
              <w:rPr>
                <w:sz w:val="16"/>
                <w:szCs w:val="16"/>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Outstanding</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for Future Issuance</w:t>
            </w:r>
          </w:p>
        </w:tc>
      </w:tr>
      <w:tr>
        <w:trPr>
          <w:trHeight w:val="216"/>
        </w:trPr>
        <w:tc>
          <w:tcPr>
            <w:tcW w:w="4480" w:type="dxa"/>
            <w:vAlign w:val="bottom"/>
          </w:tcPr>
          <w:p>
            <w:pPr>
              <w:spacing w:after="0"/>
              <w:rPr>
                <w:sz w:val="18"/>
                <w:szCs w:val="18"/>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of Outstanding Options,</w:t>
            </w:r>
          </w:p>
        </w:tc>
        <w:tc>
          <w:tcPr>
            <w:tcW w:w="32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Options, Warrants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6"/>
              </w:rPr>
              <w:t>Under Equity</w:t>
            </w:r>
          </w:p>
        </w:tc>
      </w:tr>
      <w:tr>
        <w:trPr>
          <w:trHeight w:val="249"/>
        </w:trPr>
        <w:tc>
          <w:tcPr>
            <w:tcW w:w="4480" w:type="dxa"/>
            <w:vAlign w:val="bottom"/>
          </w:tcPr>
          <w:p>
            <w:pPr>
              <w:spacing w:after="0"/>
              <w:rPr>
                <w:sz w:val="21"/>
                <w:szCs w:val="21"/>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Warrants and Rights</w:t>
            </w:r>
          </w:p>
        </w:tc>
        <w:tc>
          <w:tcPr>
            <w:tcW w:w="320" w:type="dxa"/>
            <w:vAlign w:val="bottom"/>
          </w:tcPr>
          <w:p>
            <w:pPr>
              <w:spacing w:after="0"/>
              <w:rPr>
                <w:sz w:val="21"/>
                <w:szCs w:val="21"/>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and Rights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 Plans</w:t>
            </w:r>
            <w:r>
              <w:rPr>
                <w:rFonts w:ascii="Arial" w:cs="Arial" w:eastAsia="Arial" w:hAnsi="Arial"/>
                <w:sz w:val="17"/>
                <w:szCs w:val="17"/>
                <w:b w:val="1"/>
                <w:bCs w:val="1"/>
                <w:color w:val="auto"/>
                <w:w w:val="90"/>
                <w:vertAlign w:val="superscript"/>
              </w:rPr>
              <w:t>(2)</w:t>
            </w:r>
          </w:p>
        </w:tc>
      </w:tr>
      <w:tr>
        <w:trPr>
          <w:trHeight w:val="215"/>
        </w:trPr>
        <w:tc>
          <w:tcPr>
            <w:tcW w:w="4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approved by security holders</w:t>
            </w:r>
          </w:p>
        </w:tc>
        <w:tc>
          <w:tcPr>
            <w:tcW w:w="2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57"/>
        </w:trPr>
        <w:tc>
          <w:tcPr>
            <w:tcW w:w="44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(employees and directors)</w:t>
            </w:r>
            <w:r>
              <w:rPr>
                <w:rFonts w:ascii="Arial" w:cs="Arial" w:eastAsia="Arial" w:hAnsi="Arial"/>
                <w:sz w:val="25"/>
                <w:szCs w:val="25"/>
                <w:color w:val="auto"/>
                <w:vertAlign w:val="superscript"/>
              </w:rPr>
              <w:t>(1)</w:t>
            </w:r>
          </w:p>
        </w:tc>
        <w:tc>
          <w:tcPr>
            <w:tcW w:w="23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3,355,692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1,090,645</w:t>
            </w:r>
          </w:p>
        </w:tc>
      </w:tr>
      <w:tr>
        <w:trPr>
          <w:trHeight w:val="341"/>
        </w:trPr>
        <w:tc>
          <w:tcPr>
            <w:tcW w:w="4480" w:type="dxa"/>
            <w:vAlign w:val="bottom"/>
          </w:tcPr>
          <w:p>
            <w:pPr>
              <w:ind w:left="40"/>
              <w:spacing w:after="0"/>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300" w:type="dxa"/>
            <w:vAlign w:val="bottom"/>
          </w:tcPr>
          <w:p>
            <w:pPr>
              <w:jc w:val="right"/>
              <w:ind w:right="42"/>
              <w:spacing w:after="0"/>
              <w:rPr>
                <w:sz w:val="20"/>
                <w:szCs w:val="20"/>
                <w:color w:val="auto"/>
              </w:rPr>
            </w:pPr>
            <w:r>
              <w:rPr>
                <w:rFonts w:ascii="Arial" w:cs="Arial" w:eastAsia="Arial" w:hAnsi="Arial"/>
                <w:sz w:val="18"/>
                <w:szCs w:val="18"/>
                <w:color w:val="auto"/>
              </w:rPr>
              <w:t>34,392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2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4"/>
                <w:szCs w:val="24"/>
                <w:color w:val="auto"/>
              </w:rPr>
            </w:pPr>
          </w:p>
        </w:tc>
        <w:tc>
          <w:tcPr>
            <w:tcW w:w="2260" w:type="dxa"/>
            <w:vAlign w:val="bottom"/>
          </w:tcPr>
          <w:p>
            <w:pPr>
              <w:jc w:val="right"/>
              <w:ind w:right="23"/>
              <w:spacing w:after="0"/>
              <w:rPr>
                <w:sz w:val="20"/>
                <w:szCs w:val="20"/>
                <w:color w:val="auto"/>
              </w:rPr>
            </w:pPr>
            <w:r>
              <w:rPr>
                <w:rFonts w:ascii="Arial" w:cs="Arial" w:eastAsia="Arial" w:hAnsi="Arial"/>
                <w:sz w:val="18"/>
                <w:szCs w:val="18"/>
                <w:color w:val="auto"/>
              </w:rPr>
              <w:t>736,942</w:t>
            </w:r>
          </w:p>
        </w:tc>
      </w:tr>
    </w:tbl>
    <w:p>
      <w:pPr>
        <w:spacing w:after="0" w:line="13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material features of these securities are described in note 8 of the Consolidated Financial Statements.</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Shares issuable under the 2009 Omnibus Incentive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is a summary of all securities that we have sold during the year ended December 31, 2015 without registration under the Securities Act of 1933, as amended (the Securities Act).</w:t>
      </w:r>
    </w:p>
    <w:p>
      <w:pPr>
        <w:spacing w:after="0" w:line="17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December 18, 2015, we entered into a Securities Exchange Agreement (the Exchange Agreement) with Stonepine Capital, LP (Stonepine), pursuant to which Stonepine exchanged an aggregate of 1,250,000 shares of our common stock for 1,250 shares of our Series A Convertible Preferred Stock (the Exchange). Upon the closing of the Exchange on December 23, 2015, we issued the Series A Convertible Preferred Stock to Stonepine without registration under the Securities Act in reliance on the exemption from registration contained in Section 3(a)(9) of the Securities Act. On November 22, 2016, Stonepine converted the 1,250 shares of Series A Convertible Preferred Stock for 1,250,000 shares of the Company's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repurchases of shares of common stock made during the year ended December 31,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data for each of the five years in the period ended December 31, 2016 are derived from our Consolidated Financial Statements. The selected historical financial data for the financial position of our Company as of December 31, 2016 and 2015 and the results of their operations for each of the three years in the period ended December 31, 2016 presented below should be read together with our consolidated financial statements and the notes to those statements and “Item 7 Management’s Discussion and Analysis of Financial Condition and Results of Operations,” included elsewhere in this Form 10-K.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Product sales, net</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54,383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51,168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28,796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28,307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26,470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17,293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15,295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18,890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21,263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15,104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26,025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Loss on impairment of intangible asset</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5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41,369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33,775</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(Increase) decrease in fair value of warrants</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Bargain purchase gain</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3,614</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attributable to common shareholders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ind w:left="280" w:right="260" w:hanging="245"/>
        <w:spacing w:after="0" w:line="308" w:lineRule="auto"/>
        <w:tabs>
          <w:tab w:leader="none" w:pos="282"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Revenue from commercial operations began in June 2014 following the acquisition of the CTRM business. Prior to June 2014, we were a development stage entity which is an entity focused on early stage business activity including research and development and market research.</w:t>
      </w:r>
    </w:p>
    <w:p>
      <w:pPr>
        <w:spacing w:after="0" w:line="146" w:lineRule="exact"/>
        <w:rPr>
          <w:rFonts w:ascii="Arial" w:cs="Arial" w:eastAsia="Arial" w:hAnsi="Arial"/>
          <w:sz w:val="17"/>
          <w:szCs w:val="17"/>
          <w:color w:val="auto"/>
        </w:rPr>
      </w:pPr>
    </w:p>
    <w:p>
      <w:pPr>
        <w:jc w:val="both"/>
        <w:ind w:left="280" w:right="20" w:hanging="245"/>
        <w:spacing w:after="0" w:line="264" w:lineRule="auto"/>
        <w:tabs>
          <w:tab w:leader="none" w:pos="2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on impairment of intangible asset is related to write-off of the commercial use rights for certain products (primarily Carticel). Upon the approval of MACI in December 2016 and the replacement of Carticel with MACI, it was determined the Carticel related intangible asset was fully impaired as of December 31, 2016.</w:t>
      </w:r>
    </w:p>
    <w:p>
      <w:pPr>
        <w:spacing w:after="0" w:line="194" w:lineRule="exact"/>
        <w:rPr>
          <w:rFonts w:ascii="Arial" w:cs="Arial" w:eastAsia="Arial" w:hAnsi="Arial"/>
          <w:sz w:val="18"/>
          <w:szCs w:val="18"/>
          <w:color w:val="auto"/>
        </w:rPr>
      </w:pPr>
    </w:p>
    <w:p>
      <w:pPr>
        <w:ind w:left="280" w:hanging="245"/>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fair value of the warrants are due to the reduction in the time to maturity and changes in our stock price.</w:t>
      </w:r>
    </w:p>
    <w:p>
      <w:pPr>
        <w:sectPr>
          <w:pgSz w:w="11900" w:h="16838" w:orient="portrait"/>
          <w:cols w:equalWidth="0" w:num="1">
            <w:col w:w="11420"/>
          </w:cols>
          <w:pgMar w:left="240" w:top="125" w:right="239" w:bottom="0" w:gutter="0" w:footer="0" w:header="0"/>
        </w:sectPr>
      </w:pPr>
    </w:p>
    <w:bookmarkStart w:id="48" w:name="page49"/>
    <w:bookmarkEnd w:id="48"/>
    <w:p>
      <w:pPr>
        <w:ind w:left="40"/>
        <w:spacing w:after="0"/>
        <w:rPr>
          <w:sz w:val="20"/>
          <w:szCs w:val="20"/>
          <w:color w:val="auto"/>
        </w:rPr>
      </w:pPr>
      <w:r>
        <w:rPr>
          <w:rFonts w:ascii="Arial" w:cs="Arial" w:eastAsia="Arial" w:hAnsi="Arial"/>
          <w:sz w:val="18"/>
          <w:szCs w:val="18"/>
          <w:color w:val="auto"/>
        </w:rPr>
        <w:t>(d) The bargain purchase gain is a result of the CTRM business acquisition.</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30,343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8,059</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13,638</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(a)</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31,870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15,235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29,661</w:t>
            </w:r>
          </w:p>
        </w:tc>
        <w:tc>
          <w:tcPr>
            <w:tcW w:w="4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3,155</w:t>
            </w:r>
          </w:p>
        </w:tc>
        <w:tc>
          <w:tcPr>
            <w:tcW w:w="4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8,331</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48,598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34,309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47,579</w:t>
            </w:r>
          </w:p>
        </w:tc>
        <w:tc>
          <w:tcPr>
            <w:tcW w:w="4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9,215</w:t>
            </w: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15,178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11,938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shareholders' equity (deficit)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24,708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35,641</w:t>
            </w:r>
          </w:p>
        </w:tc>
        <w:tc>
          <w:tcPr>
            <w:tcW w:w="4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3,894</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We define working capital as current assets less current liabilities.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7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reports, filings and other public announcements contain certain statements that describe our management’s beliefs concerning future business conditions, plans and prospects, growth opportunities and the outlook for our business and the electric transmission industry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report under “Item 1A Risk Factors” and in our other reports filed with the SEC from time to time.</w:t>
      </w:r>
    </w:p>
    <w:p>
      <w:pPr>
        <w:spacing w:after="0" w:line="1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report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243"/>
        <w:spacing w:after="0" w:line="270" w:lineRule="auto"/>
        <w:rPr>
          <w:sz w:val="20"/>
          <w:szCs w:val="20"/>
          <w:color w:val="auto"/>
        </w:rPr>
      </w:pPr>
      <w:r>
        <w:rPr>
          <w:rFonts w:ascii="Arial" w:cs="Arial" w:eastAsia="Arial" w:hAnsi="Arial"/>
          <w:sz w:val="16"/>
          <w:szCs w:val="16"/>
          <w:color w:val="auto"/>
        </w:rPr>
        <w:t>Vericel Corporation is a leading developer of patient-specific expanded cell therapies for use in the treatment of patients with severe diseases and conditions. We currently have three U.S. Food and Drug Administration (FDA) approved autologous cell therapy products in the United States. Carticel® (autologous cultured chondrocytes),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Carticel will eventually be replaced by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on porcine collagen membrane), an autologous cellularized scaffold product indicated for the repair of symptomatic, single or multiple full-thickness cartilage defects of the knee with or without bone involvement in adults approved by the FDA on December 13, 2016. The first shipment and implantation of MACI occurred on January 31, 2017. We also market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(cultured epidermal autografts), a permanent skin replacement Humanitarian Use Device (HUD) for the treatment of patients with deep-dermal or full-thickness burns comprising greater than or equal to 30 percent of total body surface area (TBSA). Our development stage portfolio includes ixmyelocel-T, a patient-specific multicellular therapy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May 30, 2014, we completed the acquisition of Sanofi’s Cell Therapy and Regenerative Medicine (CTRM) business, certain assets, including all of the outstanding equity interests of Genzyme Biosurgery ApS (now known as Vericel Denmark ApS), a wholly-owned subsidiary of Sanofi and a portfolio of patents and patent applications of Sanofi and certain of its subsidiaries and assumed certain liabilities for purposes of acquiring the portion of the CTRM business which included Carticel, MACI and Epicel (the CTRM Transaction).</w:t>
      </w:r>
    </w:p>
    <w:p>
      <w:pPr>
        <w:spacing w:after="0" w:line="18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Concurrent with the closing of the CTRM Transaction, we and Sanofi entered into (i) certain IP assignment and license agreements to effect the transfer and license of the intellectual property related to the CTRM Business assigned and/or licensed to us, (ii) certain assignment and assumption of lease agreements for each of the real property leases being assigned to us, and (iii) transition services and transition supply agreements.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4 “Acquisitions” and note 5, “Restructuring” of the consolidated financial statements for additional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 cell-manufacturing facility in Cambridge, Massachusetts which is used for U.S. manufacturing and distribution of Carticel, Epicel manufacturing and also manufactured MACI for the SUMMIT study conducted for approval in Europe and the U.S. Throughout 2016, we also operated a centralized cell manufacturing facility in Ann Arbor, Michigan. The Ann Arbor facility continues to support the current open label extension portion of the ixCELL-DCM clinical trial being conducted in the United States and Canada and we believe we have sufficient capacity, with minor modifications, to supply our early commercialization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approved and marketed products include three approved autologous cell therapy products: Carticel (autologous cultured chondrocytes), a first-generation product for autologous chondrocyte implantation (ACI) currently marketed in the U.S., which will be replaced by MACI (autologous cultured chondrocytes on a porcine collagen membrane), a third generation autologous implant for the repair of symptomatic, full-thickness cartilage defects of the knee in adult patients and Epicel (cultured epidermal autografts), a permanent skin replacement for full thickness burns in adults and pediatrics with greater than or equal to 30% of total body surface area (TBSA) also currently marketed in the U.S. Our product candidate portfolio also includes ixmyelocel-T, a patient-specific multicellular therapy currently in development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Carticel, a first-generation ACI product for the treatment and repair of cartilage defects in the knee, is the first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11"/>
          <w:szCs w:val="11"/>
          <w:color w:val="auto"/>
        </w:rPr>
        <w:t>2</w:t>
      </w:r>
      <w:r>
        <w:rPr>
          <w:rFonts w:ascii="Arial" w:cs="Arial" w:eastAsia="Arial" w:hAnsi="Arial"/>
          <w:sz w:val="16"/>
          <w:szCs w:val="16"/>
          <w:color w:val="auto"/>
        </w:rPr>
        <w:t>). Carticel will be replaced by MACI, which was approved on December 13, 2016 by the U.S. Food and Drug Administration. MACI is a third generation autologous implant for the repair of symptomatic, single or multiple full-thickness cartilage defects of the knee with or without bone involvement in adults. The first shipment and implantation of MACI occurred on January 31, 2017 and we plan to stop manufacturing and marketing Carticel as soon as practicable, and potentially as early as the second quarter in 2017.</w:t>
      </w:r>
    </w:p>
    <w:p>
      <w:pPr>
        <w:spacing w:after="0" w:line="16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U.S., the orthopedic physician target audience is very concentrated, with 60% of our 2016 Carticel business originating from approximately 110 physicians. Our target Carticel and MACI audience is a group of physicians who self-identify as or have the formal specialty of sports medicine physicians. We believe this target audience is approximately 450 physicians. At the end of 2016 we expanded our field force from 21 to 28 representatives. Most private payers have a medical policy that allows treatment with Carticel and we are actively working with payers to ensure reimbursement for MACI. The 15 largest payers have a formal medical policy for Carticel, representing 132 million covered lives. In the year ended December 31, 2016, net revenues were $38.9 million for Carticel.</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Epicel (cultured epidermal autografts) is a permanent skin replacement for full thickness burns greater than or equal to 30% of TBSA. Epicel is regulated by the CBER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 Currently, fewer than 100 patients are treated with Epicel in the U.S. each year. In the year ended December 31, 2016, net revenues were $15.5 million for Epicel.</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ADN is defined as the number of devices reasonably needed to treat a population of 4,000 individuals per year in the United States.</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include use in pediatric patients, Epicel is no longer subject to the HDE profit restrictions. In conjunction with meeting the pediatric eligibility criteria, the FDA has determined the ADN number for Epicel is 360,400 which is approximately 50 times larger than the volume of grafts sold in 2016. We currently have a 4-person field force.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preapproval stage portfolio includes ixmyelocel-T, a unique patient-specific multicellular therapy derived from an adult patient’s own bone marrow which utilizes our proprietary, highly automated and scalable manufacturing system. Our proprietary cell manufacturing process significantly expands the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We believe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lead clinical development program for ixmyelocel-T is focused on addressing severe, chronic ischemic cardiovascular diseases. We are currently conducting the open label extension portion of the Phase 2b ixCELL-DCM study, which is a randomized, double-blind, placebo-controlled clinical trial for patients with advanced heart failure due to ischemic DCM. Ixmyelocel-T has been granted a U.S. Orphan Drug designation by the FDA for the treatment of DCM. An ixmyelocel-T investigator-initiated clinical study was conducted for the treatment of craniofacial reconstruction, and we have conducted clinical studies for the treatment of critical limb ischemia.</w:t>
      </w:r>
    </w:p>
    <w:p>
      <w:pPr>
        <w:spacing w:after="0" w:line="188"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We completed enrolling and treating patients in our completed Phase 2b ixCELL-DCM study in February, 2015. Patients were followed for 12 months for the primary efficacy endpoint of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are now being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will occur approximately one year later.</w:t>
      </w:r>
    </w:p>
    <w:p>
      <w:pPr>
        <w:spacing w:after="0" w:line="16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Given the expense required to conduct further development and our focus on growing our existing commercial products and becoming profitable, at this time we have no current plans to initiate or fund a Phase 3 trial on our own. We are assessing all strategic options, including non-dilutive sources of financing, such as a strategic partner, to fund the trial.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net loss for the year ended December 31, 2016 totaled $19.6 million or $1.18 per share. The 2016 results below include a $2.6 million impairment of intangible asset charge related to the write-off of the commercial use rights primarily due to Carticel’s replacement with MACI. Our net loss for the year ended December 31, 2015 totaled $16.3 million or $0.97 per share. Results for the year ended December 31, 2014 include only seven months of operating results of the CTRM Business. The 2014 results below include restructuring charges in the U.S. and Denmark of $3.0 million of which $2.5 million were recorded in cost of product sales and $0.5 million was recorded in selling, general and administrative expenses, other expenses for our discontinued Denmark business of $0.4 million and a bargain purchase gain of approximately $3.5 million. Our net loss for the year ended December 31, 2014 totaled $19.9 million or $2.23 per share.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2014</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28,796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26,470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17,293</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45,321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41,369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35,037</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(23,534)</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3,473</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other income</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3,614</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20" w:firstLine="308"/>
        <w:spacing w:after="0" w:line="264" w:lineRule="auto"/>
        <w:rPr>
          <w:sz w:val="20"/>
          <w:szCs w:val="20"/>
          <w:color w:val="auto"/>
        </w:rPr>
      </w:pPr>
      <w:r>
        <w:rPr>
          <w:rFonts w:ascii="Arial" w:cs="Arial" w:eastAsia="Arial" w:hAnsi="Arial"/>
          <w:sz w:val="18"/>
          <w:szCs w:val="18"/>
          <w:color w:val="auto"/>
        </w:rPr>
        <w:t>Net revenues increased for the year ended December 31, 2016 compared to December 31, 2015 primarily due to higher average price we charge for Carticel in 2016 offset by the closure of Marrow Donation, LLC in 2015. Net revenues for the year ended December 31, 2014 reflect only seven months of results from commercial operations of the CTRM Business.</w:t>
      </w:r>
    </w:p>
    <w:p>
      <w:pPr>
        <w:spacing w:after="0" w:line="181"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color w:val="auto"/>
        </w:rPr>
        <w:t>Net revenues (comprised of gross revenue from sales net of a provision for rebates and cash discounts) for the years ended December 31, 2016, 2015 and 2014 are shown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revenue by product (In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2014</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35,203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22,267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15,242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5,989</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Bone Marrow</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186</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54,383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51,168</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28,796</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88"/>
        <w:spacing w:after="0" w:line="287"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Carticel revenue is subject to seasonal fluctuations with stronger sales occurring in the fourth quarter and second quarter due to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including insurance copay limits and the time of year patients prefer to start rehabilitation. Over the last five years, the percentage of annual sales by quarter has ranged as follows: first quarter, 20% to 24%; second quarter, 24% to 26%; third quarter, 20% to 23%; and fourth quarter, 28% to 33%. During 2016, the percentage of annual sales by quarter was as follows: 24% in the first quarter; 24% in the second quarter; 20% in the third quarter; and 32%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five years, the percentage of annual sales by quarter has ranged as follows: first quarter, 22% to 35%; second quarter, 22% to 28%; third quarter, 17% to 24%; and fourth quarter, 23% to 30%. The variability between the same quarters in consecutive years has been as high as 11%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2014</w:t>
            </w:r>
          </w:p>
        </w:tc>
      </w:tr>
      <w:tr>
        <w:trPr>
          <w:trHeight w:val="243"/>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26,076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99"/>
              <w:spacing w:after="0"/>
              <w:rPr>
                <w:sz w:val="20"/>
                <w:szCs w:val="20"/>
                <w:color w:val="auto"/>
              </w:rPr>
            </w:pPr>
            <w:r>
              <w:rPr>
                <w:rFonts w:ascii="Arial" w:cs="Arial" w:eastAsia="Arial" w:hAnsi="Arial"/>
                <w:sz w:val="18"/>
                <w:szCs w:val="18"/>
                <w:color w:val="auto"/>
              </w:rPr>
              <w:t>24,698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6"/>
              <w:spacing w:after="0"/>
              <w:rPr>
                <w:sz w:val="20"/>
                <w:szCs w:val="20"/>
                <w:color w:val="auto"/>
              </w:rPr>
            </w:pPr>
            <w:r>
              <w:rPr>
                <w:rFonts w:ascii="Arial" w:cs="Arial" w:eastAsia="Arial" w:hAnsi="Arial"/>
                <w:sz w:val="18"/>
                <w:szCs w:val="18"/>
                <w:color w:val="auto"/>
              </w:rPr>
              <w:t>11,503</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profit %</w:t>
            </w:r>
          </w:p>
        </w:tc>
        <w:tc>
          <w:tcPr>
            <w:tcW w:w="5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5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Gross profit remained consistent for the year ended December 31, 2016 compared to 2015. Gross profit increased for the year ended December 31, 2015 compared to 2014 primarily due to $2.5 million of restructuring expenses recognized in 2014 as a result of the CTRM business acquired in May 2014.</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2014</w:t>
            </w:r>
          </w:p>
        </w:tc>
      </w:tr>
      <w:tr>
        <w:trPr>
          <w:trHeight w:val="243"/>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18,890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21,263</w:t>
            </w: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2014</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15,099</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Critical Limb Ischemia</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801</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Carticel</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1,008</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r>
      <w:tr>
        <w:trPr>
          <w:trHeight w:val="25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18,890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21,263</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Research and development expenses for the year ended December 31, 2016 were $15.3 million compared to $18.9 million for the year ended December 31, 2015. The decrease was primarily due to lower expenses incurred for MACI. In 2015, $2.4 million regulatory costs were incurred for the MACI BLA submission filing fee paid to the FDA, other regulatory consulting expenses related to the MACI BLA filing and expenses incurred for the HDE supplement submission to obtain an exemption from the profit prohibition and to revise the labeled indications for use of Epicel. In addition, development expenses related to the ixCELL-DCM study for dilated cardiomyopathy decreased due to a lower population of patients who had been originally assigned to the placebo group in the double blind portion of the trial receiving ixmyelocel-T in the open label extension portion of the trial compared to those who received the treatment in 2015. Carticel research and development expenses related to process development decreased as the Company focused on the introduction of MACI. These decreases were offset by an increase in Epicel related research and development.</w:t>
      </w:r>
    </w:p>
    <w:p>
      <w:pPr>
        <w:spacing w:after="0" w:line="1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Research and development expenses for the year ended December 31, 2015 were $18.9 million compared to $21.3 million for the year ended December 31, 2014. The decrease in research and development expenses is due to lower costs incurred for the ixCELL-DCM study, which completed enrollment in January 2015; a $3.2 million payment in 2014 to the former shareholders of Verigen whereby these shareholders agreed to discharge all obligations related to these MACI milestone payments in exchange for a one-time cash payment; and the canceled Critical Limb Ischemia study. The decrease was offset by additional research, development and regulatory costs incurred for the MACI BLA submission which included a filing fee of $2.4 million paid in 2015 to the FDA and other regulatory consulting expenses in addition to expenses incurred for the HDE supplement submission to obtain an exemption from the profit prohibition and to revise the labeled indications for use of Epicel.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2014</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22,479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13,774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Loss on impairment of intangible asset</w:t>
            </w:r>
          </w:p>
        </w:tc>
        <w:tc>
          <w:tcPr>
            <w:tcW w:w="48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Selling, general and administrative expenses for the years ended December 31, 2016 and 2015 were $27.4 million and $22.5 million, respectively. The increase in selling, general and administrative expenses in 2016 is due primarily to an increase in start-up costs and reporting fees with our new reimbursement and patient support services for Carticel of $1.5 million. In addition, expenses increased due to an increase in shared facility fees of $0.8 million, technology infrastructure of $0.6 million, an increase in personnel costs of $0.5 million, professional services including legal fees of $0.3 million related to the preparation for the potential launch of MACI and an increase in bad debt expense of $0.2 million as a result of the transfer of collection risk to Vericel.</w:t>
      </w:r>
    </w:p>
    <w:p>
      <w:pPr>
        <w:spacing w:after="0" w:line="193"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Selling, general and administrative expenses for the years ended December 31, 2015 and 2014 were $22.5 million and $13.8 million, respectively. The increase is primarily due to an increase in sales and marketing expenses of $6.6 million for the full year in 2015 compared to 2014 which reflects only seven months of selling and marketing expenses from commercial operations of the CTRM Business. In addition, an increase of $2.0 million for general and administration expenses was due to higher personnel related expenses offset by lower consulting expenses.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loss on impairment of intangible asset is related to the write-off of the commercial use rights for certain products (primarily Carticel). Upon the approval of MACI in December 2016 and the replacement of Carticel with MACI, we determined the Carticel-related intangible asset was fully impaired as of December 31, 2016. See further detail in note 6 to the consolidated financial statements.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2014</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fair value of warrants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Bargain purchase gain</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3,473</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 in other income and expense for the year ended December 31, 2016 compared to 2015 is due primarily to interest expense related to the outstanding revolver and credit term loans.</w:t>
      </w:r>
    </w:p>
    <w:p>
      <w:pPr>
        <w:spacing w:after="0" w:line="17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change in other income and expense for the year ended December 31, 2015 compared to 2014 is due primarily to the change in warrant value as a result of the decrease in our stock price, the reduction in the time to maturity and the January and December 2010 Class A warrants which expired. Fluctuations in the fair value of the warrants in future periods could result in significant non-cash adjustments to the condensed consolidated financial statements, however, any income or expense recorded will not impact our cash, operating expenses or cash flow. The bargain purchase gain of $3.5 million for the year ended December 31, 2014 is associated with the acquisition of the CTRM Business on May 30, 2014. The change in foreign currency translation is due to the U.S. dollar and its impact on intercompany balances with the Danish subsidiary. We suspended commercial operations in Denmark in 2015.</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general, selling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197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w:t>
            </w: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839</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decrease in stock-based compensation expense is due primarily to fluctuations in stock prices which impacts the fair value of the options awarded and the expense recognized in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Loss and Adjusted Net Loss Per Share</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reconciliation of reported numerator and denominator in net loss per share (GAAP) to adjusted net loss per share (non-GAAP measure) for the years ended December 31, 2016, 2015 and 2014 is below: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255270</wp:posOffset>
            </wp:positionV>
            <wp:extent cx="3095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Numerator of basic and diluted EPS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(27,145)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(23,076)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(25,925)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 (Decrease) Increase in fair value of warrants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280" w:type="dxa"/>
            <w:vAlign w:val="bottom"/>
            <w:gridSpan w:val="2"/>
          </w:tcPr>
          <w:p>
            <w:pPr>
              <w:ind w:left="160"/>
              <w:spacing w:after="0"/>
              <w:rPr>
                <w:sz w:val="20"/>
                <w:szCs w:val="20"/>
                <w:color w:val="auto"/>
              </w:rPr>
            </w:pPr>
            <w:r>
              <w:rPr>
                <w:rFonts w:ascii="Arial" w:cs="Arial" w:eastAsia="Arial" w:hAnsi="Arial"/>
                <w:sz w:val="18"/>
                <w:szCs w:val="18"/>
                <w:color w:val="auto"/>
                <w:w w:val="96"/>
              </w:rPr>
              <w:t>Add: Dividends accumulated on convertible preferred</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3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 Loss on impairment on intangible asset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Adjusted net loss - Non-GAAP</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Denominator for basic and diluted EPS: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11,642</w:t>
            </w:r>
          </w:p>
        </w:tc>
        <w:tc>
          <w:tcPr>
            <w:tcW w:w="0" w:type="dxa"/>
            <w:vAlign w:val="bottom"/>
          </w:tcPr>
          <w:p>
            <w:pPr>
              <w:spacing w:after="0"/>
              <w:rPr>
                <w:sz w:val="1"/>
                <w:szCs w:val="1"/>
                <w:color w:val="auto"/>
              </w:rPr>
            </w:pPr>
          </w:p>
        </w:tc>
      </w:tr>
      <w:tr>
        <w:trPr>
          <w:trHeight w:val="243"/>
        </w:trPr>
        <w:tc>
          <w:tcPr>
            <w:tcW w:w="4280" w:type="dxa"/>
            <w:vAlign w:val="bottom"/>
            <w:gridSpan w:val="2"/>
          </w:tcPr>
          <w:p>
            <w:pPr>
              <w:ind w:left="160"/>
              <w:spacing w:after="0"/>
              <w:rPr>
                <w:sz w:val="20"/>
                <w:szCs w:val="20"/>
                <w:color w:val="auto"/>
              </w:rPr>
            </w:pPr>
            <w:r>
              <w:rPr>
                <w:rFonts w:ascii="Arial" w:cs="Arial" w:eastAsia="Arial" w:hAnsi="Arial"/>
                <w:sz w:val="18"/>
                <w:szCs w:val="18"/>
                <w:color w:val="auto"/>
              </w:rPr>
              <w:t>Add: Treasury stock</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Adjusted denominator for basic and diluted EPS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11,642</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Adjusted net loss per share (basic and diluted) - Non-</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3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believe that the presentation of Adjusted Net Loss and Adjusted Net Loss Per Share, non-GAAP financial measures, provide investors with additional information about our financial results. Adjusted Net Loss and Adjusted Net Loss Per Share are important supplemental measures used by our board of directors and management to evaluate our operating performance from period to period on a consistent basis and as measures for planning and forecasting overall expectations and for evaluating actual results against such expectations.</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Adjusted Net Loss excludes the non-cash change in the fair value of warrants and the non-cash accumulated dividend on the Series B convertible preferred stock. The Adjusted Net Loss Per Share includes common shares reserved as treasury shares received in exchange for the Series A non-voting convertible preferred stock.</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Adjusted Net Loss and Adjusted Net Loss Per Share are not in accordance with, or an alternative to, measures prepared in accordance with U.S. GAAP. In addition, these non-GAAP measures are not based on any comprehensive set of accounting rules or principles. As non-GAAP measures, Adjusted Net Loss and Adjusted Net Loss Per Share have limitations in that they do not reflect all of the amounts associated with our results of operations as determined in accordance with U.S. GAAP. Non-GAAP financial measures that we use may differ from measures that other companies may use. These non-GAAP financial measures that we disclose are not meant to be considered superior to or a substitute for results of operations prepared in accordance with GAAP, and should be viewed in conjunction with, GAAP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Since the acquisition in 2014 of the CTRM business of Sanofi, the sales of Carticel and Epicel therapies have constituted nearly all of our product sales revenues. With the approval of MACI and planned replacement of Carticel with MACI, we expect the sales of MACI and Epicel therapies will constitute nearly all of our product sales revenues. Additionally, we are focusing significant resources to grow our CTRM business.</w:t>
      </w:r>
    </w:p>
    <w:p>
      <w:pPr>
        <w:spacing w:after="0" w:line="188" w:lineRule="exact"/>
        <w:rPr>
          <w:sz w:val="20"/>
          <w:szCs w:val="20"/>
          <w:color w:val="auto"/>
        </w:rPr>
      </w:pPr>
    </w:p>
    <w:p>
      <w:pPr>
        <w:jc w:val="both"/>
        <w:ind w:firstLine="336"/>
        <w:spacing w:after="0" w:line="257"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including the net proceeds of approximately $18.0 million we received from our December 2016 public offering and the availability of funds under the SVB-Mid-Cap Facility. While we believe that, based on our current cash on hand, we are in a position to sustain operations twelve months beyond March 31, 2017, if actual results differ from our projections, we may need to access additional capital.</w:t>
      </w:r>
    </w:p>
    <w:p>
      <w:pPr>
        <w:spacing w:after="0" w:line="18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October 10, 2016 we entered into a Sales Agreement (Sales Agreement) with Cowen and Company, LLC, which will act as sales agent (Cowen) to sell, from time to time, our common stock, no par value per share (ATM Shares), having an aggregate sale price of up to $25.0 million, through an “at the market offering” program (ATM Offering). The ATM Shares will be issued pursuant to our shelf registration statement on Form S-3 (File No. 333-205336). We filed a prospectus supplement, dated October 10, 2016, with the Securities and Exchange Commission in connection with the offer and sale of the ATM Shares sold under the ATM Offering. During the year ended December 31, 2016 we raised net proceeds of $0.8 million and sold 357,856 shares. We</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 up to 3% of the gross proceeds to Cowen as a commission. As of December 31, 2016, approximately $24.2 million of net capacity remained under the ATM Offering.</w:t>
      </w:r>
    </w:p>
    <w:p>
      <w:pPr>
        <w:spacing w:after="0" w:line="170"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Our cash totaled $23.0 million at December 31, 2016. The primary uses of cash included $19.9 million for our operations and working capital requirements. This use of funds was attributed largely by our operating loss reduced by noncash charges including a $2.6 million loss on impairment of intangible assets, $2.5 million in stock compensation expense, and $1.9 million in depreciation and amortization expense. Working capital requirements increased by $1.1 million in accounts payable primarily related to timing of payments and a $6.2 million increase in accounts receivable as a result in the increase of days sales outstanding related to the change in reimbursement and patient support service providers.</w:t>
      </w:r>
    </w:p>
    <w:p>
      <w:pPr>
        <w:spacing w:after="0" w:line="17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used for investing activities is the result of material property plant and equipment purchases of $1.4 million primarily for purchases in connection with the integration of the CTRM business through December 31, 2016.</w:t>
      </w:r>
    </w:p>
    <w:p>
      <w:pPr>
        <w:spacing w:after="0" w:line="17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provided from financing activities is the result of the December 2016 equity raise as well as ATM activity in 2016, all of which did not occur in the year ended December 31, 2015.</w:t>
      </w:r>
    </w:p>
    <w:p>
      <w:pPr>
        <w:spacing w:after="0" w:line="17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On March 8, 2016, we entered into a $15.0 million debt financing with Silicon Valley Bank (SVB) which we replaced on September 9, 2016 with an expanded term loan and revolving line of credit agreement with SVB and MidCap Financial Services, or MidCap, which together provide access to up to $20 million. The updated debt financing consists of a $4.0 million term loan which was drawn at the closing, a $4.0 million term loan which was drawn upon in November 2016, a $2.0 million term loan which became available upon the FDA's approval of the MACI BLA which must be drawn by April 12, 2017 and up to $10.0 million of a revolving line of credit. The term loans are interest only (indexed to Wall Street Journal (WSJ) Prime plus 5.00%) until September 1, 2017 followed by 36 equal monthly payments of principal plus interest maturing September 9, 2020. The revolving credit is limited to a borrowing base calculated using eligible accounts receivable and maturing September 9, 2020 with an interest rate indexed to WSJ Prime plus 1.25%. </w:t>
      </w:r>
      <w:r>
        <w:rPr>
          <w:rFonts w:ascii="Arial" w:cs="Arial" w:eastAsia="Arial" w:hAnsi="Arial"/>
          <w:sz w:val="16"/>
          <w:szCs w:val="16"/>
          <w:color w:val="222222"/>
        </w:rPr>
        <w:t>The Company is</w:t>
      </w:r>
      <w:r>
        <w:rPr>
          <w:rFonts w:ascii="Arial" w:cs="Arial" w:eastAsia="Arial" w:hAnsi="Arial"/>
          <w:sz w:val="16"/>
          <w:szCs w:val="16"/>
          <w:color w:val="auto"/>
        </w:rPr>
        <w:t xml:space="preserve"> </w:t>
      </w:r>
      <w:r>
        <w:rPr>
          <w:rFonts w:ascii="Arial" w:cs="Arial" w:eastAsia="Arial" w:hAnsi="Arial"/>
          <w:sz w:val="16"/>
          <w:szCs w:val="16"/>
          <w:color w:val="222222"/>
        </w:rPr>
        <w:t xml:space="preserve">subject to various financial and nonfinancial covenants including but not limited to a monthly minimum net revenue covenant </w:t>
      </w:r>
      <w:r>
        <w:rPr>
          <w:rFonts w:ascii="Arial" w:cs="Arial" w:eastAsia="Arial" w:hAnsi="Arial"/>
          <w:sz w:val="16"/>
          <w:szCs w:val="16"/>
          <w:color w:val="000000"/>
        </w:rPr>
        <w:t>(determined in accordance with</w:t>
      </w:r>
      <w:r>
        <w:rPr>
          <w:rFonts w:ascii="Arial" w:cs="Arial" w:eastAsia="Arial" w:hAnsi="Arial"/>
          <w:sz w:val="16"/>
          <w:szCs w:val="16"/>
          <w:color w:val="222222"/>
        </w:rPr>
        <w:t xml:space="preserve"> </w:t>
      </w:r>
      <w:r>
        <w:rPr>
          <w:rFonts w:ascii="Arial" w:cs="Arial" w:eastAsia="Arial" w:hAnsi="Arial"/>
          <w:sz w:val="16"/>
          <w:szCs w:val="16"/>
          <w:color w:val="000000"/>
        </w:rPr>
        <w:t>GAAP), measured on a trailing twelve month basis</w:t>
      </w:r>
      <w:r>
        <w:rPr>
          <w:rFonts w:ascii="Arial" w:cs="Arial" w:eastAsia="Arial" w:hAnsi="Arial"/>
          <w:sz w:val="16"/>
          <w:szCs w:val="16"/>
          <w:color w:val="222222"/>
        </w:rPr>
        <w:t>.</w:t>
      </w:r>
      <w:r>
        <w:rPr>
          <w:rFonts w:ascii="Arial" w:cs="Arial" w:eastAsia="Arial" w:hAnsi="Arial"/>
          <w:sz w:val="16"/>
          <w:szCs w:val="16"/>
          <w:color w:val="000000"/>
        </w:rPr>
        <w:t xml:space="preserve"> This covenant was renegotiated with SVB in December 2016 and the December 31, 2016 minimum revenue covenant was changed from $56 million to $52 million. In addition, the December 31, 2017 minimum revenue covenant is set at $60 million. </w:t>
      </w:r>
      <w:r>
        <w:rPr>
          <w:rFonts w:ascii="Arial" w:cs="Arial" w:eastAsia="Arial" w:hAnsi="Arial"/>
          <w:sz w:val="16"/>
          <w:szCs w:val="16"/>
          <w:color w:val="222222"/>
        </w:rPr>
        <w:t>SVB</w:t>
      </w:r>
      <w:r>
        <w:rPr>
          <w:rFonts w:ascii="Arial" w:cs="Arial" w:eastAsia="Arial" w:hAnsi="Arial"/>
          <w:sz w:val="16"/>
          <w:szCs w:val="16"/>
          <w:color w:val="000000"/>
        </w:rPr>
        <w:t xml:space="preserve"> </w:t>
      </w:r>
      <w:r>
        <w:rPr>
          <w:rFonts w:ascii="Arial" w:cs="Arial" w:eastAsia="Arial" w:hAnsi="Arial"/>
          <w:sz w:val="16"/>
          <w:szCs w:val="16"/>
          <w:color w:val="222222"/>
        </w:rPr>
        <w:t xml:space="preserve">and MidCap also have the ability to call debt based on material adverse change clauses which are subjectively determinable and result in a </w:t>
      </w:r>
      <w:r>
        <w:rPr>
          <w:rFonts w:ascii="Arial" w:cs="Arial" w:eastAsia="Arial" w:hAnsi="Arial"/>
          <w:sz w:val="16"/>
          <w:szCs w:val="16"/>
          <w:color w:val="000000"/>
        </w:rPr>
        <w:t>subjective</w:t>
      </w:r>
      <w:r>
        <w:rPr>
          <w:rFonts w:ascii="Arial" w:cs="Arial" w:eastAsia="Arial" w:hAnsi="Arial"/>
          <w:sz w:val="16"/>
          <w:szCs w:val="16"/>
          <w:color w:val="222222"/>
        </w:rPr>
        <w:t xml:space="preserve"> </w:t>
      </w:r>
      <w:r>
        <w:rPr>
          <w:rFonts w:ascii="Arial" w:cs="Arial" w:eastAsia="Arial" w:hAnsi="Arial"/>
          <w:sz w:val="16"/>
          <w:szCs w:val="16"/>
          <w:color w:val="000000"/>
        </w:rPr>
        <w:t>acceleration clause. While we believe the acceleration of the due date may be reasonably possible, it is not probable and therefore, the debt is classified in current and non-current liabilities. SVB and MidCap have a shared first priority perfected security interest in all assets of the Company other than intellectual property. As of December 31, 2016, there was an outstanding balance of $8.0 million under the term loan and $2.5 million under the revolving line of credit. The remaining capacity under the revolving line of credit as of December 31, 2016 was $7.5 million and we were, and continue to be, in compliance with our financial and non-financial debt covenants. In addition, warrants were issued in conjunction with the debt agreement as discussed in note 12.</w:t>
      </w:r>
    </w:p>
    <w:p>
      <w:pPr>
        <w:spacing w:after="0" w:line="17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While we believe that, based on our current cash on hand and the funds available under our credit facility, the Company is in a position to sustain operations twelve months beyond March 31, 2017, if actual results differ from our projections or we pursue other strategic opportunities, we may need to access additional capital. In addition, the Company's revenues do not meet the existing threshold set forth in the debt covenants, and the Company is unable to renegotiate those thresholds, SVB could call the debt immediately. Such events could result in the need for additional funds. However, we may not be able to obtain financing on acceptable terms or at all. The terms of any financing may adversely affect the holdings or the rights of the Company's shareholders. If the Company needs additional funds and it is unable to obtain funding on a timely basis, the Company may need to significantly curtail its operations including its research and development programs in an effort to provide sufficient funds to continue its operations, which could adversely affect its business prospects.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product launch and market acceptance of those products and commercialization of newly approved products.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 xml:space="preserve">The Company leases facilities in Ann Arbor, Michigan and Cambridge, Massachusetts. In March 2016, the Company amended its current lease in Cambridge to, among other provisions, extend the term until February 2022. Under the amendment, the landlord will contribute approximately $2.0 million toward the cost of tenant improvements. The </w:t>
      </w:r>
      <w:r>
        <w:rPr>
          <w:rFonts w:ascii="Arial" w:cs="Arial" w:eastAsia="Arial" w:hAnsi="Arial"/>
          <w:sz w:val="18"/>
          <w:szCs w:val="18"/>
          <w:color w:val="222222"/>
        </w:rPr>
        <w:t>contribution toward the cost of tenant improvements is recorded as deferred rent on the Company's consolidated</w:t>
      </w:r>
      <w:r>
        <w:rPr>
          <w:rFonts w:ascii="Arial" w:cs="Arial" w:eastAsia="Arial" w:hAnsi="Arial"/>
          <w:sz w:val="18"/>
          <w:szCs w:val="18"/>
          <w:color w:val="auto"/>
        </w:rPr>
        <w:t xml:space="preserve"> </w:t>
      </w:r>
      <w:r>
        <w:rPr>
          <w:rFonts w:ascii="Arial" w:cs="Arial" w:eastAsia="Arial" w:hAnsi="Arial"/>
          <w:sz w:val="18"/>
          <w:szCs w:val="18"/>
          <w:color w:val="222222"/>
        </w:rPr>
        <w:t xml:space="preserve">balance sheet and is amortized to the Company's consolidated statement of operations as reductions to rent expense over the lease term. As of </w:t>
      </w:r>
      <w:r>
        <w:rPr>
          <w:rFonts w:ascii="Arial" w:cs="Arial" w:eastAsia="Arial" w:hAnsi="Arial"/>
          <w:sz w:val="18"/>
          <w:szCs w:val="18"/>
          <w:color w:val="000000"/>
        </w:rPr>
        <w:t>December 31,</w:t>
      </w:r>
      <w:r>
        <w:rPr>
          <w:rFonts w:ascii="Arial" w:cs="Arial" w:eastAsia="Arial" w:hAnsi="Arial"/>
          <w:sz w:val="18"/>
          <w:szCs w:val="18"/>
          <w:color w:val="222222"/>
        </w:rPr>
        <w:t xml:space="preserve"> </w:t>
      </w:r>
      <w:r>
        <w:rPr>
          <w:rFonts w:ascii="Arial" w:cs="Arial" w:eastAsia="Arial" w:hAnsi="Arial"/>
          <w:sz w:val="18"/>
          <w:szCs w:val="18"/>
          <w:color w:val="000000"/>
        </w:rPr>
        <w:t>2016</w:t>
      </w:r>
      <w:r>
        <w:rPr>
          <w:rFonts w:ascii="Arial" w:cs="Arial" w:eastAsia="Arial" w:hAnsi="Arial"/>
          <w:sz w:val="18"/>
          <w:szCs w:val="18"/>
          <w:color w:val="222222"/>
        </w:rPr>
        <w:t>,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 xml:space="preserve">has recorded a tenant improvement of $0.9 million. </w:t>
      </w:r>
      <w:r>
        <w:rPr>
          <w:rFonts w:ascii="Arial" w:cs="Arial" w:eastAsia="Arial" w:hAnsi="Arial"/>
          <w:sz w:val="18"/>
          <w:szCs w:val="18"/>
          <w:color w:val="000000"/>
        </w:rPr>
        <w:t>In addition to the property leases, the Company also leases an offsite warehouse, various vehicles and</w:t>
      </w:r>
      <w:r>
        <w:rPr>
          <w:rFonts w:ascii="Arial" w:cs="Arial" w:eastAsia="Arial" w:hAnsi="Arial"/>
          <w:sz w:val="18"/>
          <w:szCs w:val="18"/>
          <w:color w:val="222222"/>
        </w:rPr>
        <w:t xml:space="preserve"> </w:t>
      </w:r>
      <w:r>
        <w:rPr>
          <w:rFonts w:ascii="Arial" w:cs="Arial" w:eastAsia="Arial" w:hAnsi="Arial"/>
          <w:sz w:val="18"/>
          <w:szCs w:val="18"/>
          <w:color w:val="000000"/>
        </w:rPr>
        <w:t xml:space="preserve">computer equipment. </w:t>
      </w:r>
      <w:r>
        <w:rPr>
          <w:rFonts w:ascii="Arial" w:cs="Arial" w:eastAsia="Arial" w:hAnsi="Arial"/>
          <w:sz w:val="18"/>
          <w:szCs w:val="18"/>
          <w:color w:val="222222"/>
        </w:rPr>
        <w:t>See note 17 to the consolidated financial statements for further information.</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minimum payments related to our operating, capital leases and contractual obligations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0"/>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Arial" w:cs="Arial" w:eastAsia="Arial" w:hAnsi="Arial"/>
                <w:sz w:val="14"/>
                <w:szCs w:val="14"/>
                <w:b w:val="1"/>
                <w:bCs w:val="1"/>
                <w:color w:val="auto"/>
              </w:rPr>
              <w:t>More than</w:t>
            </w:r>
          </w:p>
        </w:tc>
      </w:tr>
      <w:tr>
        <w:trPr>
          <w:trHeight w:val="222"/>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5 Years</w:t>
            </w: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761</w:t>
            </w: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600</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31,680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5,753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1,361</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Revenue Recognition and Net Product Sales</w:t>
      </w:r>
      <w:r>
        <w:rPr>
          <w:rFonts w:ascii="Arial" w:cs="Arial" w:eastAsia="Arial" w:hAnsi="Arial"/>
          <w:sz w:val="17"/>
          <w:szCs w:val="17"/>
          <w:color w:val="auto"/>
        </w:rPr>
        <w:t>—Total revenues are comprised of product sales of Carticel, Epicel, MACI, bone marrow and surgical kits.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recognized when persuasive evidence of an arrangement exists, the goods are shipped or delivered, depending on shipping terms, title and risk of loss pass to the customer and collectability is reasonably assured. Shipping and handling costs are included as a component of revenue.</w:t>
      </w:r>
    </w:p>
    <w:p>
      <w:pPr>
        <w:spacing w:after="0" w:line="166"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color w:val="auto"/>
        </w:rPr>
        <w:t>On June 30, 2016, the Company reduced the scope of the agreement with its exclusive distributor by terminating their services with respect to a significant portion of its Carticel sales. Prior to June 30, 2016, the distributor purchased and took title to Carticel upon shipment of the product and assumed credit and collection risk. The distributor worked with the payers on behalf of patients and surgeons to ensure medical coverage and to obtain reimbursement for Carticel implantation procedures. The Company retained all responsibility for shipment of the product to the surgical suite. In addition, revenue for Carticel was recorded net of a provision for rebates and cash discounts. These rebates and cash discounts were established by the Company at the time of sale, based on historical experience adjusted to reflect known changes in the factors that impact such reserves. For instance, the distributor of Carticel was entitled to chargeback incentives for services that are provided for based on the selling price to the end customer, under specific contractual arrangements. Cash discounts may also be granted for prompt payment.</w:t>
      </w:r>
    </w:p>
    <w:p>
      <w:pPr>
        <w:spacing w:after="0" w:line="1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Effective July 1, 2016, the Company transitioned to a direct sales model whereby the Company retains credit and collection risk from the end customer. The Company utilizes a new provider, Dohmen Life Science Services, LLC (DLSS), to provide patient support services but this provider does not purchase and take title to Carticel.</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recognizes product revenues from sales of Carticel upon delivery to patients as long as (i) there is persuasive evidence that an arrangement exists between ourselves and the customer, (ii) collectability is reasonably assured and (iii) the price is fixed or determinable. Prior authorization or confirmation of coverage level by the patient’s private insurance plan, hospital or government payer is a prerequisite to the shipment of product to a patient. The Company's net product revenues are calculated by estimating expected payments for insurance, hospital or patient payments at the time it recognizes the gross revenue. The estimates are updated as new information becomes available.</w:t>
      </w:r>
    </w:p>
    <w:p>
      <w:pPr>
        <w:spacing w:after="0" w:line="18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Our accounting for stock-based compensation requires us to determine the fair value of common stock issued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awards. We use the value of our common stock at the date of the 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 judgment. As a result, if factors change and different assumptions are used,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stock-based compensation expense could be materially different in the future. In addition, we are required to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w:t>
      </w:r>
    </w:p>
    <w:p>
      <w:pPr>
        <w:spacing w:after="0" w:line="16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Warrants — </w:t>
      </w:r>
      <w:r>
        <w:rPr>
          <w:rFonts w:ascii="Arial" w:cs="Arial" w:eastAsia="Arial" w:hAnsi="Arial"/>
          <w:sz w:val="17"/>
          <w:szCs w:val="17"/>
          <w:color w:val="auto"/>
        </w:rPr>
        <w:t>Warrants that could require cash settlement or have anti-dilution price protection provisions are recorded as liabilities at their estimated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at the date of issuance, with subsequent changes in estimated fair value recorded in other income (expense) in our statement of operations in each subsequent period. In general, warrants are measured using the Black-Scholes valuation model. The Black-Scholes model is based, in part, upon inputs for which there is little observable market data, requiring us to develop our own assumptions. Inherent in the model are assumptions related to expected stock-price volatility, expected life, risk-free interest rate and dividend yield. The assumptions used in calculating the estimated fair value of the warrants represent our best estimates; however, these estimates involve inherent uncertainties and the application of management judgment. As a result, if factors change and different assumptions are used, the warrant liability and the change in estimated fair value could be materially different.</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 Research and development costs, including internal and contract research costs, are expensed as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consist mainly of clinical trial costs, manufacturing of clinical material, process development costs, other preclinical studies, pharmacoeconomic research, grants to outside investigators including medical education and personnel costs.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Tax Valuation Allowance </w:t>
      </w:r>
      <w:r>
        <w:rPr>
          <w:rFonts w:ascii="Arial" w:cs="Arial" w:eastAsia="Arial" w:hAnsi="Arial"/>
          <w:sz w:val="18"/>
          <w:szCs w:val="18"/>
          <w:color w:val="auto"/>
        </w:rPr>
        <w:t>— A valuation allowance is recorded if it is more likely than not that a deferred tax asset will not be realized. We provided a full</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allowance on our deferred tax assets that primarily consist of cumulative federal net operating losses. Due to our three year cumulative loss position, history of operating losses and losses expected to be incurred in the foreseeable future, a full valuation allowance against our net deferred tax assets was considered necessary.</w:t>
      </w:r>
    </w:p>
    <w:p>
      <w:pPr>
        <w:spacing w:after="0" w:line="18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summary of significant accounting policies should be read in conjunction with our consolidated financial statements and related notes and this discussion of our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no off-balance sheet arrangements that have or are reasonably likely to have a material effect on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3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2016, we would not expect our operating results or cash flows to be affected to any significant degree by the effect of a sudden change in market interest rates or credit conditions on our securities portfolio.</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believe that the interest rate risk related to our accounts receivable is not significant. We manage the risk associated with these accounts through periodic reviews of the carrying value for non-collectability and establishment of appropriate allowances. We do not enter into hedging transactions and do not purchase derivative instruments.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operate in the United States only. We are primarily exposed to foreign exchange risk with respect to recognized assets and liabilities due to vendors in countries outside the United States which are typically paid in Euro and/or Danish Krone.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36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tcPr>
          <w:p>
            <w:pPr>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000" w:type="dxa"/>
            <w:vAlign w:val="bottom"/>
            <w:gridSpan w:val="2"/>
          </w:tcPr>
          <w:p>
            <w:pPr>
              <w:jc w:val="right"/>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20" w:type="dxa"/>
            <w:vAlign w:val="bottom"/>
          </w:tcPr>
          <w:p>
            <w:pPr>
              <w:spacing w:after="0"/>
              <w:rPr>
                <w:sz w:val="17"/>
                <w:szCs w:val="17"/>
                <w:color w:val="auto"/>
              </w:rPr>
            </w:pPr>
          </w:p>
        </w:tc>
      </w:tr>
      <w:tr>
        <w:trPr>
          <w:trHeight w:val="20"/>
        </w:trPr>
        <w:tc>
          <w:tcPr>
            <w:tcW w:w="10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December 31, 2015</w:t>
            </w:r>
          </w:p>
        </w:tc>
        <w:tc>
          <w:tcPr>
            <w:tcW w:w="100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20" w:type="dxa"/>
            <w:vAlign w:val="bottom"/>
          </w:tcPr>
          <w:p>
            <w:pPr>
              <w:spacing w:after="0"/>
              <w:rPr>
                <w:sz w:val="21"/>
                <w:szCs w:val="21"/>
                <w:color w:val="auto"/>
              </w:rPr>
            </w:pPr>
          </w:p>
        </w:tc>
      </w:tr>
      <w:tr>
        <w:trPr>
          <w:trHeight w:val="20"/>
        </w:trPr>
        <w:tc>
          <w:tcPr>
            <w:tcW w:w="10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00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20" w:type="dxa"/>
            <w:vAlign w:val="bottom"/>
          </w:tcPr>
          <w:p>
            <w:pPr>
              <w:spacing w:after="0"/>
              <w:rPr>
                <w:sz w:val="21"/>
                <w:szCs w:val="21"/>
                <w:color w:val="auto"/>
              </w:rPr>
            </w:pPr>
          </w:p>
        </w:tc>
      </w:tr>
      <w:tr>
        <w:trPr>
          <w:trHeight w:val="20"/>
        </w:trPr>
        <w:tc>
          <w:tcPr>
            <w:tcW w:w="10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tcPr>
          <w:p>
            <w:pPr>
              <w:spacing w:after="0"/>
              <w:rPr>
                <w:sz w:val="20"/>
                <w:szCs w:val="20"/>
                <w:color w:val="auto"/>
              </w:rPr>
            </w:pPr>
            <w:r>
              <w:rPr>
                <w:rFonts w:ascii="Arial" w:cs="Arial" w:eastAsia="Arial" w:hAnsi="Arial"/>
                <w:sz w:val="18"/>
                <w:szCs w:val="18"/>
                <w:color w:val="auto"/>
              </w:rPr>
              <w:t>Consolidated Statements of Shareholders’ Equity from December 31, 2013 to December 31, 2016</w:t>
            </w:r>
          </w:p>
        </w:tc>
        <w:tc>
          <w:tcPr>
            <w:tcW w:w="100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20" w:type="dxa"/>
            <w:vAlign w:val="bottom"/>
          </w:tcPr>
          <w:p>
            <w:pPr>
              <w:spacing w:after="0"/>
              <w:rPr>
                <w:sz w:val="21"/>
                <w:szCs w:val="21"/>
                <w:color w:val="auto"/>
              </w:rPr>
            </w:pPr>
          </w:p>
        </w:tc>
      </w:tr>
      <w:tr>
        <w:trPr>
          <w:trHeight w:val="20"/>
        </w:trPr>
        <w:tc>
          <w:tcPr>
            <w:tcW w:w="10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tcPr>
          <w:p>
            <w:pPr>
              <w:spacing w:after="0"/>
              <w:rPr>
                <w:sz w:val="20"/>
                <w:szCs w:val="20"/>
                <w:color w:val="auto"/>
              </w:rPr>
            </w:pPr>
            <w:r>
              <w:rPr>
                <w:rFonts w:ascii="Arial" w:cs="Arial" w:eastAsia="Arial" w:hAnsi="Arial"/>
                <w:sz w:val="18"/>
                <w:szCs w:val="18"/>
                <w:color w:val="auto"/>
              </w:rPr>
              <w:t>Consolidated Statements of Comprehensive Loss</w:t>
            </w:r>
          </w:p>
        </w:tc>
        <w:tc>
          <w:tcPr>
            <w:tcW w:w="1000" w:type="dxa"/>
            <w:vAlign w:val="bottom"/>
            <w:gridSpan w:val="2"/>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20" w:type="dxa"/>
            <w:vAlign w:val="bottom"/>
          </w:tcPr>
          <w:p>
            <w:pPr>
              <w:spacing w:after="0"/>
              <w:rPr>
                <w:sz w:val="21"/>
                <w:szCs w:val="21"/>
                <w:color w:val="auto"/>
              </w:rPr>
            </w:pPr>
          </w:p>
        </w:tc>
      </w:tr>
      <w:tr>
        <w:trPr>
          <w:trHeight w:val="20"/>
        </w:trPr>
        <w:tc>
          <w:tcPr>
            <w:tcW w:w="10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00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c>
          <w:tcPr>
            <w:tcW w:w="20" w:type="dxa"/>
            <w:vAlign w:val="bottom"/>
          </w:tcPr>
          <w:p>
            <w:pPr>
              <w:spacing w:after="0"/>
              <w:rPr>
                <w:sz w:val="21"/>
                <w:szCs w:val="21"/>
                <w:color w:val="auto"/>
              </w:rPr>
            </w:pPr>
          </w:p>
        </w:tc>
      </w:tr>
      <w:tr>
        <w:trPr>
          <w:trHeight w:val="20"/>
        </w:trPr>
        <w:tc>
          <w:tcPr>
            <w:tcW w:w="10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0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tcPr>
          <w:p>
            <w:pPr>
              <w:spacing w:after="0"/>
              <w:rPr>
                <w:sz w:val="21"/>
                <w:szCs w:val="21"/>
                <w:color w:val="auto"/>
              </w:rPr>
            </w:pPr>
          </w:p>
        </w:tc>
      </w:tr>
      <w:tr>
        <w:trPr>
          <w:trHeight w:val="723"/>
        </w:trPr>
        <w:tc>
          <w:tcPr>
            <w:tcW w:w="10360" w:type="dxa"/>
            <w:vAlign w:val="bottom"/>
          </w:tcPr>
          <w:p>
            <w:pPr>
              <w:ind w:left="5580"/>
              <w:spacing w:after="0"/>
              <w:rPr>
                <w:sz w:val="20"/>
                <w:szCs w:val="20"/>
                <w:color w:val="auto"/>
              </w:rPr>
            </w:pPr>
            <w:r>
              <w:rPr>
                <w:rFonts w:ascii="Arial" w:cs="Arial" w:eastAsia="Arial" w:hAnsi="Arial"/>
                <w:sz w:val="18"/>
                <w:szCs w:val="18"/>
                <w:color w:val="auto"/>
              </w:rPr>
              <w:t>59</w:t>
            </w: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Vericel Corporation:</w:t>
      </w: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shareholders’ equity, of comprehensive loss and of cash flows present fairly, in all material respects, the financial position of Vericel Corporation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audits (which were integrated audits in 2016 and 2015).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Company’s debt facility includes financial and nonfinancial covenants. If the Company is not in compliance with these covenants the debt may be called by the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14,581</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$225 and $68, respectively)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10,919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27,343</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4,049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2,917</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34,309</w:t>
            </w:r>
          </w:p>
        </w:tc>
      </w:tr>
      <w:tr>
        <w:trPr>
          <w:trHeight w:val="67"/>
        </w:trPr>
        <w:tc>
          <w:tcPr>
            <w:tcW w:w="8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7,588</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3,603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$110</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and term loan credit agreement, net of deferred costs of $293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Long term deferred rent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 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Series A non-voting convertible preferred stock, no par value: shares authorized and reserved — 1; shares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 — 0 and 1,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w:t>
            </w: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1"/>
              </w:rPr>
              <w:t>Series B-2 voting convertible preferred stock, no par value: shares authorized and reserved — 39, shares issued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and outstanding — 12</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38,389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38,389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31,595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23,789,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329,720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307,766</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Treasury stock — 0 and 1,250 shares, respectively</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(343,591)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(324,025)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22,130</w:t>
            </w: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34,309</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54,383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17,293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11,503</w:t>
            </w: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13,774</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Loss on impairment of intangible asset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35,037</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Net loss per share attributable to common shareholders (Basic and Diluted) (see note 11)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outstanding (Basic and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208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66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5"/>
                <w:szCs w:val="15"/>
                <w:color w:val="auto"/>
              </w:rPr>
            </w:pPr>
          </w:p>
        </w:tc>
        <w:tc>
          <w:tcPr>
            <w:tcW w:w="1160" w:type="dxa"/>
            <w:vAlign w:val="bottom"/>
          </w:tcPr>
          <w:p>
            <w:pPr>
              <w:jc w:val="center"/>
              <w:ind w:right="129"/>
              <w:spacing w:after="0"/>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2013</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38,389</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253,270</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3,894</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Net loss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(19,920)</w:t>
            </w:r>
          </w:p>
        </w:tc>
        <w:tc>
          <w:tcPr>
            <w:tcW w:w="0" w:type="dxa"/>
            <w:vAlign w:val="bottom"/>
          </w:tcPr>
          <w:p>
            <w:pPr>
              <w:spacing w:after="0"/>
              <w:rPr>
                <w:sz w:val="1"/>
                <w:szCs w:val="1"/>
                <w:color w:val="auto"/>
              </w:rPr>
            </w:pPr>
          </w:p>
        </w:tc>
      </w:tr>
      <w:tr>
        <w:trPr>
          <w:trHeight w:val="154"/>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Compensation expense related to</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granted</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w w:val="96"/>
              </w:rPr>
              <w:t>Exercise of stock purchase warrants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2,490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2,490</w:t>
            </w:r>
          </w:p>
        </w:tc>
        <w:tc>
          <w:tcPr>
            <w:tcW w:w="0" w:type="dxa"/>
            <w:vAlign w:val="bottom"/>
          </w:tcPr>
          <w:p>
            <w:pPr>
              <w:spacing w:after="0"/>
              <w:rPr>
                <w:sz w:val="1"/>
                <w:szCs w:val="1"/>
                <w:color w:val="auto"/>
              </w:rPr>
            </w:pPr>
          </w:p>
        </w:tc>
      </w:tr>
      <w:tr>
        <w:trPr>
          <w:trHeight w:val="154"/>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 net of</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18,655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48,409</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48,409</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costs of $3,167</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Foreign currency translation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0"/>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adjustment</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2014</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38,389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23,786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305,008</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(307,685)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35,641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80" w:type="dxa"/>
            <w:vAlign w:val="bottom"/>
          </w:tcPr>
          <w:p>
            <w:pPr>
              <w:ind w:left="40"/>
              <w:spacing w:after="0"/>
              <w:rPr>
                <w:sz w:val="20"/>
                <w:szCs w:val="20"/>
                <w:color w:val="auto"/>
              </w:rPr>
            </w:pPr>
            <w:r>
              <w:rPr>
                <w:rFonts w:ascii="Arial" w:cs="Arial" w:eastAsia="Arial" w:hAnsi="Arial"/>
                <w:sz w:val="13"/>
                <w:szCs w:val="13"/>
                <w:color w:val="auto"/>
              </w:rPr>
              <w:t>Net loss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(16,340)</w:t>
            </w:r>
          </w:p>
        </w:tc>
        <w:tc>
          <w:tcPr>
            <w:tcW w:w="0" w:type="dxa"/>
            <w:vAlign w:val="bottom"/>
          </w:tcPr>
          <w:p>
            <w:pPr>
              <w:spacing w:after="0"/>
              <w:rPr>
                <w:sz w:val="1"/>
                <w:szCs w:val="1"/>
                <w:color w:val="auto"/>
              </w:rPr>
            </w:pPr>
          </w:p>
        </w:tc>
      </w:tr>
      <w:tr>
        <w:trPr>
          <w:trHeight w:val="154"/>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 exchanged for</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preferred stock and held in treasury</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w:t>
            </w: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Compensation expense related to</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2,747</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9"/>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170"/>
        </w:trPr>
        <w:tc>
          <w:tcPr>
            <w:tcW w:w="2080" w:type="dxa"/>
            <w:vAlign w:val="bottom"/>
          </w:tcPr>
          <w:p>
            <w:pPr>
              <w:ind w:left="40"/>
              <w:spacing w:after="0"/>
              <w:rPr>
                <w:sz w:val="20"/>
                <w:szCs w:val="20"/>
                <w:color w:val="auto"/>
              </w:rPr>
            </w:pPr>
            <w:r>
              <w:rPr>
                <w:rFonts w:ascii="Arial" w:cs="Arial" w:eastAsia="Arial" w:hAnsi="Arial"/>
                <w:sz w:val="13"/>
                <w:szCs w:val="13"/>
                <w:color w:val="auto"/>
              </w:rPr>
              <w:t>stock options granted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 exercises</w:t>
            </w: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Foreign currency translation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9"/>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0"/>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adjustment</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2015</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41,539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23,789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307,766</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22,130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80" w:type="dxa"/>
            <w:vAlign w:val="bottom"/>
          </w:tcPr>
          <w:p>
            <w:pPr>
              <w:ind w:left="40"/>
              <w:spacing w:after="0"/>
              <w:rPr>
                <w:sz w:val="20"/>
                <w:szCs w:val="20"/>
                <w:color w:val="auto"/>
              </w:rPr>
            </w:pPr>
            <w:r>
              <w:rPr>
                <w:rFonts w:ascii="Arial" w:cs="Arial" w:eastAsia="Arial" w:hAnsi="Arial"/>
                <w:sz w:val="13"/>
                <w:szCs w:val="13"/>
                <w:color w:val="auto"/>
              </w:rPr>
              <w:t>Net loss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(19,566)</w:t>
            </w:r>
          </w:p>
        </w:tc>
        <w:tc>
          <w:tcPr>
            <w:tcW w:w="0" w:type="dxa"/>
            <w:vAlign w:val="bottom"/>
          </w:tcPr>
          <w:p>
            <w:pPr>
              <w:spacing w:after="0"/>
              <w:rPr>
                <w:sz w:val="1"/>
                <w:szCs w:val="1"/>
                <w:color w:val="auto"/>
              </w:rPr>
            </w:pPr>
          </w:p>
        </w:tc>
      </w:tr>
      <w:tr>
        <w:trPr>
          <w:trHeight w:val="154"/>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Conversion of Series A preferred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for common stock</w:t>
            </w: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Compensation expense related to</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40"/>
              <w:spacing w:after="0" w:line="135" w:lineRule="exact"/>
              <w:rPr>
                <w:sz w:val="20"/>
                <w:szCs w:val="20"/>
                <w:color w:val="auto"/>
              </w:rPr>
            </w:pPr>
            <w:r>
              <w:rPr>
                <w:rFonts w:ascii="Arial" w:cs="Arial" w:eastAsia="Arial" w:hAnsi="Arial"/>
                <w:sz w:val="13"/>
                <w:szCs w:val="13"/>
                <w:color w:val="auto"/>
              </w:rPr>
              <w:t>stock options granted, net of</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2,499</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restart"/>
          </w:tcPr>
          <w:p>
            <w:pPr>
              <w:jc w:val="right"/>
              <w:ind w:right="29"/>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70"/>
        </w:trPr>
        <w:tc>
          <w:tcPr>
            <w:tcW w:w="2080" w:type="dxa"/>
            <w:vAlign w:val="bottom"/>
          </w:tcPr>
          <w:p>
            <w:pPr>
              <w:ind w:left="40"/>
              <w:spacing w:after="0"/>
              <w:rPr>
                <w:sz w:val="20"/>
                <w:szCs w:val="20"/>
                <w:color w:val="auto"/>
              </w:rPr>
            </w:pPr>
            <w:r>
              <w:rPr>
                <w:rFonts w:ascii="Arial" w:cs="Arial" w:eastAsia="Arial" w:hAnsi="Arial"/>
                <w:sz w:val="13"/>
                <w:szCs w:val="13"/>
                <w:color w:val="auto"/>
              </w:rPr>
              <w:t>forfeitures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 net of</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7,538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18,868</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18,868</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costs of $1,653</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Stock option exercises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4"/>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Shares issued under the Employee</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Purchase Plan</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Issuance of warrants</w:t>
            </w: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2016</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38,389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31,595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329,910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(343,591)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24,708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(19,566)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(19,566)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(19,991)</w:t>
            </w:r>
          </w:p>
        </w:tc>
      </w:tr>
      <w:tr>
        <w:trPr>
          <w:trHeight w:val="27"/>
        </w:trPr>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(19,566)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intangible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Bargain purchase gain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 currency translation loss (gain)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Deferred rent expense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 down of asset retirement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Tenant improvement reimbursement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Asset retirement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CTRM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and warrants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49,934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costs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Borrowings under revolving and term loan credit agreements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term loan credit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49,926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22,284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30,343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 through promissory note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Shares exchanged between common and preferred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exchanged for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acquired under capital lease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issued in connection with debt arrangement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51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514"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70"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8"/>
          <w:szCs w:val="18"/>
          <w:color w:val="auto"/>
        </w:rPr>
        <w:t>Vericel Corporation, a Michigan corporation, which was formerly known as Aastrom Biosciences, Inc.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25"/>
          <w:szCs w:val="25"/>
          <w:color w:val="auto"/>
          <w:vertAlign w:val="superscript"/>
        </w:rPr>
        <w:t>®</w:t>
      </w:r>
      <w:r>
        <w:rPr>
          <w:rFonts w:ascii="Arial" w:cs="Arial" w:eastAsia="Arial" w:hAnsi="Arial"/>
          <w:sz w:val="18"/>
          <w:szCs w:val="18"/>
          <w:color w:val="auto"/>
        </w:rPr>
        <w:t>, MACI</w:t>
      </w:r>
      <w:r>
        <w:rPr>
          <w:rFonts w:ascii="Arial" w:cs="Arial" w:eastAsia="Arial" w:hAnsi="Arial"/>
          <w:sz w:val="25"/>
          <w:szCs w:val="25"/>
          <w:color w:val="auto"/>
          <w:vertAlign w:val="superscript"/>
        </w:rPr>
        <w:t>®</w:t>
      </w:r>
      <w:r>
        <w:rPr>
          <w:rFonts w:ascii="Arial" w:cs="Arial" w:eastAsia="Arial" w:hAnsi="Arial"/>
          <w:sz w:val="18"/>
          <w:szCs w:val="18"/>
          <w:color w:val="auto"/>
        </w:rPr>
        <w:t>, and Epicel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and the Company’s goal is to become the leader in cell therapy and regenerative medicine by developing, manufacturing and marketing best-in-class therapies for patients with significant unmet medical needs.</w:t>
      </w:r>
    </w:p>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222222"/>
        </w:rPr>
        <w:t xml:space="preserve">The accompanying consolidated financial statements have been prepared on a basis which assumes that the Company will continue as a going concern and contemplates the realization of assets and satisfaction of liabilities and commitments in the normal course of business. As of December 31, 2016, the Company has an accumulated deficit of $343.6 million and had a net loss of $19.6 million during 2016. The Company had cash of $23.0 million as of December 31, 2016. The Company expects that existing cash together with its SVB-MidCap facility will be sufficient to support the Company's current operations through at least March 31, 2018. In connection with the SVB-MidCap debt facility, </w:t>
      </w:r>
      <w:r>
        <w:rPr>
          <w:rFonts w:ascii="Arial" w:cs="Arial" w:eastAsia="Arial" w:hAnsi="Arial"/>
          <w:sz w:val="16"/>
          <w:szCs w:val="16"/>
          <w:color w:val="000000"/>
        </w:rPr>
        <w:t>the Company must remain in compliance with a minimum</w:t>
      </w:r>
      <w:r>
        <w:rPr>
          <w:rFonts w:ascii="Arial" w:cs="Arial" w:eastAsia="Arial" w:hAnsi="Arial"/>
          <w:sz w:val="16"/>
          <w:szCs w:val="16"/>
          <w:color w:val="222222"/>
        </w:rPr>
        <w:t xml:space="preserve"> </w:t>
      </w:r>
      <w:r>
        <w:rPr>
          <w:rFonts w:ascii="Arial" w:cs="Arial" w:eastAsia="Arial" w:hAnsi="Arial"/>
          <w:sz w:val="16"/>
          <w:szCs w:val="16"/>
          <w:color w:val="000000"/>
        </w:rPr>
        <w:t xml:space="preserve">monthly net revenue covenant (determined in accordance with GAAP), measured on a trailing twelve month basis. This covenant was renegotiated with SVB in December 2016 and the December 31, 2016 minimum revenue covenants was changed from $56 million to $52 million. In addition, the December 31, 2017 minimum revenue covenant is set at $60 million. </w:t>
      </w:r>
      <w:r>
        <w:rPr>
          <w:rFonts w:ascii="Arial" w:cs="Arial" w:eastAsia="Arial" w:hAnsi="Arial"/>
          <w:sz w:val="16"/>
          <w:szCs w:val="16"/>
          <w:color w:val="222222"/>
        </w:rPr>
        <w:t>SVB and MidCap also have the ability to call debt based on material adverse change clauses which are</w:t>
      </w:r>
      <w:r>
        <w:rPr>
          <w:rFonts w:ascii="Arial" w:cs="Arial" w:eastAsia="Arial" w:hAnsi="Arial"/>
          <w:sz w:val="16"/>
          <w:szCs w:val="16"/>
          <w:color w:val="000000"/>
        </w:rPr>
        <w:t xml:space="preserve"> </w:t>
      </w:r>
      <w:r>
        <w:rPr>
          <w:rFonts w:ascii="Arial" w:cs="Arial" w:eastAsia="Arial" w:hAnsi="Arial"/>
          <w:sz w:val="16"/>
          <w:szCs w:val="16"/>
          <w:color w:val="222222"/>
        </w:rPr>
        <w:t xml:space="preserve">subjectively determinable and result in a </w:t>
      </w:r>
      <w:r>
        <w:rPr>
          <w:rFonts w:ascii="Arial" w:cs="Arial" w:eastAsia="Arial" w:hAnsi="Arial"/>
          <w:sz w:val="16"/>
          <w:szCs w:val="16"/>
          <w:color w:val="000000"/>
        </w:rPr>
        <w:t>subjective acceleration clause.</w:t>
      </w:r>
      <w:r>
        <w:rPr>
          <w:rFonts w:ascii="Arial" w:cs="Arial" w:eastAsia="Arial" w:hAnsi="Arial"/>
          <w:sz w:val="16"/>
          <w:szCs w:val="16"/>
          <w:color w:val="222222"/>
        </w:rPr>
        <w:t xml:space="preserve"> If the Company's cash requirements exceed its current expectations, or if it is not in compliance with the monthly net revenue covenants or the subjective acceleration clauses are triggered under the SVB-MidCap Facility, SVB could call the debt immediately resulting in the Company needing additional funds. The Company may seek additional funding through debt or equity financings including the at-the-market agreement in place with Cowen. However, the Company may not be able to obtain financing on acceptable terms or at all. The terms of any financing may adversely affect the holdings or the rights of the Company's shareholders. If the Company needs additional funds and it is unable to obtain funding on a timely basis, the Company may need to significantly curtail its operations including its research and development programs in an effort to provide sufficient funds to continue its operations, which could adversely affect its business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consolidated financial statements include the accounts of Vericel and its wholly-owned subsidiaries, Marrow Donation, LLC, located in San Diego, California, and Vericel Denmark ApS, in Kastrup, Demark (collectively, the Company). All inter-company transactions and accounts have been eliminated in consolidation. Aastrom Biosciences GmbH ceased operations in 2014 and Marrow Donation, LLC and Vericel Denmark ApS ceased operations in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expenses during the reported period.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Inventories are measured at the lower of cost or market value. Cost is calculated based upon standard-cost which approximates costs determined on the first-in, first-out method. We periodically review our inventories for excess or obsolescence and write-down obsolete or other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Accounts receivable are initially recorded at the contractual amount owed by the customer. Allowances for doubtful accounts are established when the facts and circumstances indicate that a receivable may not be collectible.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 After initial measurement, property, plant and equipment are carried at cost less accumulated depreciation and impairment. Repair and maintenance costs of property, plant and equipment are expensed as incurred.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depreciable value of property, plant and equipment, net of any residual value, is depreciated on a straight line basis over the useful life of the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useful life of an asset is usually equivalent to its economic life. The useful lives of property, plant and equipment are as follows:</w:t>
      </w:r>
    </w:p>
    <w:p>
      <w:pPr>
        <w:spacing w:after="0" w:line="238" w:lineRule="exact"/>
        <w:rPr>
          <w:sz w:val="20"/>
          <w:szCs w:val="20"/>
          <w:color w:val="auto"/>
        </w:rPr>
      </w:pPr>
    </w:p>
    <w:p>
      <w:pPr>
        <w:ind w:left="1360" w:hanging="380"/>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7 years</w:t>
      </w:r>
    </w:p>
    <w:p>
      <w:pPr>
        <w:spacing w:after="0" w:line="23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and Other Long Lived Assets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commercial rights are amortized on a straight line basis over their expected useful lives. Amortization of intangible assets is recognized in these financial statements under Costs of product sales.</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 cash flows expected to be generated by the asset, is less than its carrying amount. The impairment loss would be measured as the amount by which the asset’s carrying value exceeds its fair value and recognized in these financial statements. Intangible assets are carried at cost less accumulated amortization and impairment.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Net Product Sales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revenues are comprised of product sales of Carticel, Epicel, MACI, bone marrow and surgical kits. Revenue is recognized when persuasive evidence of an arrangement exists, the goods are shipped or delivered and implanted, depending on shipping terms, title and risk of loss pass to the customer and collectability is reasonably assured. Shipping and handling costs are included as a component of revenue.</w:t>
      </w:r>
    </w:p>
    <w:p>
      <w:pPr>
        <w:spacing w:after="0" w:line="181" w:lineRule="exact"/>
        <w:rPr>
          <w:sz w:val="20"/>
          <w:szCs w:val="20"/>
          <w:color w:val="auto"/>
        </w:rPr>
      </w:pPr>
    </w:p>
    <w:p>
      <w:pPr>
        <w:jc w:val="both"/>
        <w:ind w:firstLine="294"/>
        <w:spacing w:after="0" w:line="254" w:lineRule="auto"/>
        <w:rPr>
          <w:sz w:val="20"/>
          <w:szCs w:val="20"/>
          <w:color w:val="auto"/>
        </w:rPr>
      </w:pPr>
      <w:r>
        <w:rPr>
          <w:rFonts w:ascii="Arial" w:cs="Arial" w:eastAsia="Arial" w:hAnsi="Arial"/>
          <w:sz w:val="18"/>
          <w:szCs w:val="18"/>
          <w:color w:val="auto"/>
        </w:rPr>
        <w:t>On June 30, 2016, the Company terminated the agreement with its exclusive distributor for substantially all of its Carticel sales by reducing the scope of its agreement with this distributor. Prior to June 30, 2016, the distributor purchased and took title to Carticel upon shipment of the product and assumed credit and collection risk. The distributor worked with the payers on behalf of patients and surgeons to ensure medical coverage and to obtain reimbursement for Carticel implantation procedures. The Company retained all responsibility for shipment of the product to the surgical suite. In addition, revenue for Carticel was recorded net of a provision for rebates and cash discounts. These rebates and cash discounts were established by the Company at the time of sale, based on historical experience adjusted to reflect known changes in the factors that impact such reserves. For instance, the distributor of Carticel was entitled to chargeback incentives for services that are provided for based on the selling price to the end customer, under specific contractual arrangements. Cash discounts may also be granted for prompt payment.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Effective July 1, 2016, the Company transitioned to a direct sales model whereby the Company retains credit and collection risk from the end customer. The Company utilizes a new provider, Dohmen Life Science Services, LLC (DLSS), to provide patient support services but this provider does not purchase and take title to Carticel.</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recognizes product revenues from sales of Carticel upon implantation as long as (i) there is persuasive evidence that an arrangement exists between ourselves and the customer, (ii) collectability is reasonably assured and (iii) the price is fixed or determinable. Prior authorization or confirmation of coverage level by the patient’s private insurance plan, hospital or government payer is a prerequisite to the shipment of product to a patient. The Company's net product revenues are calculated by estimating expected payments for insurance, hospital or patient payments at the time it recognizes the gross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Company’s accounting for stock-based compensation requires it to determine the fair value of common stock issued in the form of stock option awards. The Company uses the value of its common stock at the date of the grant in the calculation of the fair value of its share-based awards. The fair value of stock options held by the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 judgment. As a result, if factors change and different assumptions are used, the stock-based compensation expense could be materially different in the future. In addition, the Company is required to estimate the expected forfeiture rate and only recognize expense for those stock options expected to vest over the service period. The estimated forfeiture rate considers the historical experience of the Company’s stock-based awards. If the actual forfeiture rate is different from the estimate, expense is adjusted accordingly.</w:t>
      </w:r>
    </w:p>
    <w:p>
      <w:pPr>
        <w:spacing w:after="0" w:line="18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also has an Employee Stock Purchase Plan (ESPP) which is a compensatory plan. Compensation expense is recorded based on the fair value of the purchase options at the grant date, which corresponds to the first day of each purchase period, and is amortized over the purchase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Comprehensive loss is the change in common stockholders’ equity during a period arising from any gain or loss realized related to foreign currency translation.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 Attributable to Common Shareholders</w:t>
      </w:r>
    </w:p>
    <w:p>
      <w:pPr>
        <w:spacing w:after="0" w:line="22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accumulated but undeclared dividends on the Series B preferred stock of $6.7 million are treated as a reduction of earnings attributable to common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The Company’s financial instruments include receivables for which the current carrying amounts approximate market value based upon their short-term nature.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Warrants that could be cash settled or have anti-dilution price protection provisions are recorded as liabilities at their estimated fair value at the date of issuance, with subsequent changes in estimated fair value recorded in other income (expense) in our statement of operations in each subsequent period. Warrants that meet the requirements for equity classification are recorded at fair value with no subsequent remeasurement. In general, warrants are measured using the Black-Scholes valuation model. The methodology is based, in part, upon inputs for which there is little or no observable market data, requiring the Company to develop its own assumptions. The assumptions used in calculating the estimated fair value of the warrants represent our best estimates; however, these estimates involve inherent uncertainties and the application of management judgment. As a result, if factors change and different assumptions are used, the warrant liability for those warrants that could be cash settled or have anti-dilution price protection provisions, the change in estimated fair value could be materially different.</w:t>
      </w:r>
    </w:p>
    <w:p>
      <w:pPr>
        <w:spacing w:after="0" w:line="175" w:lineRule="exact"/>
        <w:rPr>
          <w:sz w:val="20"/>
          <w:szCs w:val="20"/>
          <w:color w:val="auto"/>
        </w:rPr>
      </w:pPr>
    </w:p>
    <w:p>
      <w:pPr>
        <w:ind w:left="240" w:right="8440" w:hanging="232"/>
        <w:spacing w:after="0" w:line="604" w:lineRule="auto"/>
        <w:tabs>
          <w:tab w:leader="none" w:pos="190"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jc w:val="both"/>
        <w:ind w:firstLine="230"/>
        <w:spacing w:after="0" w:line="273" w:lineRule="auto"/>
        <w:rPr>
          <w:sz w:val="20"/>
          <w:szCs w:val="20"/>
          <w:color w:val="auto"/>
        </w:rPr>
      </w:pPr>
      <w:r>
        <w:rPr>
          <w:rFonts w:ascii="Arial" w:cs="Arial" w:eastAsia="Arial" w:hAnsi="Arial"/>
          <w:sz w:val="17"/>
          <w:szCs w:val="17"/>
          <w:color w:val="auto"/>
        </w:rPr>
        <w:t>In May 2014, the Financial Accounting Standards Board (FASB) issued authoritative guidance requiring entities to apply a new model for recognizing revenue from contracts with customers and the reporting of principal versus agent considerations.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Going Concern Assessment</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has issued authoritative guidance for management on how to assess whether substantial doubt exists regarding an entity’s ability to continue as a going concern and guidance on how to prepare related footnote disclosures. The guidance will require management to evaluate whether there are conditions or events that raise substantial doubt about an entity’s ability to continue as a going concern for one year from the date the financial statements are issued. The Company has adopted the new guidance for the period ended December 31, 2016. Refer to Note 1 for further discussion.</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Presentation and Subsequent Measurement of Debt Issuance Costs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FASB issued guidance which requires entities to present debt issuance costs related to a recognized debt liability as a direct deduction from the carrying amount of that debt liability. For debt issuance costs related to line-of-credit arrangements, companies are able to defer and present debt issuance costs as an asset and subsequently amortize the deferred debt issuance costs ratably over the term of the line-of-credit arrangement, regardless of whether there are any outstanding borrowings on the line-of-credit arrangement. The guidance was effective for annual reporting periods beginning after December 15, 2015 and the Company adopted the guidance as of March 31, 2016 and for future periods.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2018. The Company is currently reviewing the potential impact of adopting the new guidance.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Share-based Payment Accounting</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FASB issued guidance to simplify the accounting for share-based payment transactions, including the income tax consequences, classification of awards as either equity or liabilities, and classification on the statement of cash flows. The new standard will be effective for us on January 1, 2017. We are currently evaluating the potential impact that this standard may have on our financial position, results of operations and statement of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Statement of Cash Flows Presentation</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FASB issued guidance to address diversity in practice with respect to how certain cash receipts and cash payments are presented and classified in the statement of cash flows. The updated guidance addresses eight specific cash flow issues with the objective of reducing the existing diversity that occurs in practice. The guidance is effective for annual reporting periods beginning after December 15, 2017, including interim periods within 2017. The Company is currently reviewing the potential impact of adopting the new guidance.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CTRM Business acquisition</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May 30, 2014, Vericel completed its acquisition of certain assets of Sanofi, including all of the outstanding equity interests of Genzyme Denmark, a wholly-owned subsidiary of Sanofi, and over 250 patents and patent applications and assumed certain liabilities for purposes of acquiring portions of the CTRM Business. Vericel is a leader in developing patient-specific expanded cellular therapies for use in the treatment of patients with severe diseases and conditions and the CTRM Business expands the Company’s portfolio of cellular therapies to include products which treat severe burns and as well as cartilage defects. Pursuant to the terms of the asset purchase agreement, the Company paid a total purchase price of $6.5 million, including $4.0 million in cash and a $2.5 million promissory note which was repaid on July 30, 2014.</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purchase price consideration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Acquisition consideration (In thousands):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2,500</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consideration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6,500</w:t>
            </w: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tangible and intangible assets and liabilities acquired based upon their respective estimated fair values as of the acquisition date. The table below shows the fair values assigned to the assets acquired and liabilities assumed. Based on this analysis, the transaction resulted in a bargain purchase gain.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final purchase price allocation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Purchase price allocation (In thousands):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192</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retirement obligation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3,360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6,500</w:t>
            </w:r>
          </w:p>
        </w:tc>
      </w:tr>
      <w:tr>
        <w:trPr>
          <w:trHeight w:val="27"/>
        </w:trPr>
        <w:tc>
          <w:tcPr>
            <w:tcW w:w="9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part of the acquisition, $5.0 million in cash was received from Sanofi in order to fund the restructuring of the Denmark operations and close the facility. In 2014, the Company implemented its restructuring plans for the Danish subsidiary after the consummation of the acquisition of the CTRM Business and recorded restructuring charges in the U.S. and Denmark of $3.0 million. See Note 5 “Restructuring” below for additional information.</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intangible assets acquired represent commercial use rights for certain products acquired in the transaction. The fair value of $3.4 million was determined using the income approach based on projected cash flows attributed to the commercial rights. In 2016, the Company recorded an impairment related to write-off of the commercial use rights. Upon the approval of MACI in December 2016 and the expected replacement of Carticel with MACI, it was determined the fair value of the Carticel related intangible asset was fully impaired as of December 31, 2016.</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pro forma condensed combined information for the year ended December 31, 2014 is presented as if the acquisition of the CTRM Business had occurred on January 1, 2013.</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management’s opinion, all adjustments necessary to reflect the significant effects of this transaction have been made. These statements are based on assumptions and estimates considered appropriate by management; however, they are not necessarily, and should not be assumed to be, an indication of Vericel’s financial position or results of operations that would have been achieved had the acquisitions been completed as of the dates indicated or that may be achieved in the future.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right"/>
              <w:ind w:right="10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44,906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 forma net loss</w:t>
            </w:r>
          </w:p>
        </w:tc>
        <w:tc>
          <w:tcPr>
            <w:tcW w:w="2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(30,115)</w:t>
            </w:r>
          </w:p>
        </w:tc>
        <w:tc>
          <w:tcPr>
            <w:tcW w:w="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 forma net loss per share - basic and diluted</w:t>
            </w:r>
          </w:p>
        </w:tc>
        <w:tc>
          <w:tcPr>
            <w:tcW w:w="28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1"/>
                <w:szCs w:val="21"/>
                <w:color w:val="auto"/>
              </w:rPr>
            </w:pPr>
          </w:p>
        </w:tc>
      </w:tr>
      <w:tr>
        <w:trPr>
          <w:trHeight w:val="27"/>
        </w:trPr>
        <w:tc>
          <w:tcPr>
            <w:tcW w:w="8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260" w:right="9240" w:hanging="252"/>
        <w:spacing w:after="0" w:line="566" w:lineRule="auto"/>
        <w:tabs>
          <w:tab w:leader="none" w:pos="197"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w:t>
      </w:r>
      <w:r>
        <w:rPr>
          <w:rFonts w:ascii="Arial" w:cs="Arial" w:eastAsia="Arial" w:hAnsi="Arial"/>
          <w:sz w:val="16"/>
          <w:szCs w:val="16"/>
          <w:b w:val="1"/>
          <w:bCs w:val="1"/>
          <w:i w:val="1"/>
          <w:iCs w:val="1"/>
          <w:color w:val="auto"/>
        </w:rPr>
        <w:t>Acquisition Restructuring</w:t>
      </w:r>
    </w:p>
    <w:p>
      <w:pPr>
        <w:spacing w:after="0" w:line="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June 2014, the Company discontinued manufacturing MACI in Denmark and temporarily suspended sales of MACI in Europe. Furthermore, the Company eliminated approximately 80 full time employee positions, which represented approximately 30% of the Company’s current total workforce. As a result, the Company recorded a restructuring charge of $3.0 million for the year ended December 31, 2014, related to the operations in the United States and Denmark, primarily representing cash payments for severance and other personnel-related expenses. Of the total restructuring charge, $2.5 million was recorded in cost of product sales, and $0.5 million was recorded in selling, general and administrative expenses. There was no restructuring reserve as of December 31, 2015 or 2016 as a result of cash payments made for severance and other personnel-related expenses.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R&amp;D Restructuring</w:t>
      </w:r>
    </w:p>
    <w:p>
      <w:pPr>
        <w:spacing w:after="0" w:line="225"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Given the expense required to conduct further development and the Company's focus on growing its existing commercial products and becoming profitable, at this time, the Company does not have current plans to initiate or fund a Phase 3 trial related to the ixCELL-DCM study on its own. As a result of no current need to manufacture ixmyelocel-T at the Ann Arbor facility, the Company recorded an asset retirement obligation of $0.2 million related to the suspension of operations in the Ann Arbor cleanroom facility and recorded a severance accrual of $0.1 million in research and development expenses related to this suspension as of December 31, 2016.</w:t>
      </w:r>
    </w:p>
    <w:p>
      <w:pPr>
        <w:spacing w:after="0" w:line="184" w:lineRule="exact"/>
        <w:rPr>
          <w:sz w:val="20"/>
          <w:szCs w:val="20"/>
          <w:color w:val="auto"/>
        </w:rPr>
      </w:pPr>
    </w:p>
    <w:p>
      <w:pPr>
        <w:ind w:left="260" w:right="7860" w:hanging="252"/>
        <w:spacing w:after="0" w:line="629" w:lineRule="auto"/>
        <w:tabs>
          <w:tab w:leader="none" w:pos="197"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Selected Balance Sheet Components </w:t>
      </w:r>
      <w:r>
        <w:rPr>
          <w:rFonts w:ascii="Arial" w:cs="Arial" w:eastAsia="Arial" w:hAnsi="Arial"/>
          <w:sz w:val="16"/>
          <w:szCs w:val="16"/>
          <w:color w:val="auto"/>
        </w:rPr>
        <w:t>Inventory as of December 31, 2016 and 2015: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0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700" w:type="dxa"/>
            <w:vAlign w:val="bottom"/>
            <w:gridSpan w:val="2"/>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580" w:type="dxa"/>
            <w:vAlign w:val="bottom"/>
            <w:vMerge w:val="restart"/>
          </w:tcPr>
          <w:p>
            <w:pPr>
              <w:jc w:val="right"/>
              <w:ind w:right="21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5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and Equipment, net as of December 31,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2,393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4,049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Depreciation expense for the years ended December 31, 2016, 2015 and 2014 were $1.6 million, $1.3 million, and $0.8 million, respectively.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Intangible assets, net as of December 31,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rights</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Upon the approval of MACI in December 2016 and the replacement of Carticel with MACI, it was determined that the Carticel commercial rights intangible asset was fully impaired as of December 31, 2016. The value of the intangible assets was determined using the income approach based on projected cash flows attributed to the commercial rights. Amortization expense was $0.3 million, $0.3 million and $0.2 million for the years ended December 31, 2016, 2015 and 2014, respectively.</w:t>
      </w:r>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December 31,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Employee related accruals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1,341</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231</w:t>
            </w:r>
          </w:p>
        </w:tc>
      </w:tr>
      <w:tr>
        <w:trPr>
          <w:trHeight w:val="27"/>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3,603</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 xml:space="preserve">On March 8, 2016, the Company entered into a $15.0 million debt financing with Silicon Valley Bank (SVB) which on September 9, 2016, was replaced by an expanded term loan and revolving line of credit agreement with SVB and MidCap Financial Services, or MidCap, which together provide access to up to $20.0 million. The updated debt financing consists of a $4.0 million term loan which was drawn at the closing, a $4.0 million term loan which was drawn upon in November 2016, a $2.0 million term loan which became available upon the FDA's approval of the MACI BLA and which must be drawn by April 12, 2017, and up to $10.0 million of a revolving line of credit. The term loans are interest only (indexed to Wall Street Journal (WSJ) Prime plus 5.00%) until September 1, 2017 followed by 36 equal monthly payments of principal plus interest maturing September 9, 2020. The revolving credit is limited to a borrowing base calculated using eligible accounts receivable and maturing September 9, 2020 with an interest rate indexed to WSJ Prime plus 1.25%. </w:t>
      </w:r>
      <w:r>
        <w:rPr>
          <w:rFonts w:ascii="Arial" w:cs="Arial" w:eastAsia="Arial" w:hAnsi="Arial"/>
          <w:sz w:val="16"/>
          <w:szCs w:val="16"/>
          <w:color w:val="222222"/>
        </w:rPr>
        <w:t>The</w:t>
      </w:r>
      <w:r>
        <w:rPr>
          <w:rFonts w:ascii="Arial" w:cs="Arial" w:eastAsia="Arial" w:hAnsi="Arial"/>
          <w:sz w:val="16"/>
          <w:szCs w:val="16"/>
          <w:color w:val="auto"/>
        </w:rPr>
        <w:t xml:space="preserve"> </w:t>
      </w:r>
      <w:r>
        <w:rPr>
          <w:rFonts w:ascii="Arial" w:cs="Arial" w:eastAsia="Arial" w:hAnsi="Arial"/>
          <w:sz w:val="16"/>
          <w:szCs w:val="16"/>
          <w:color w:val="222222"/>
        </w:rPr>
        <w:t xml:space="preserve">Company is subject to various financial and nonfinancial covenants including but not limited to a monthly minimum net revenue covenant </w:t>
      </w:r>
      <w:r>
        <w:rPr>
          <w:rFonts w:ascii="Arial" w:cs="Arial" w:eastAsia="Arial" w:hAnsi="Arial"/>
          <w:sz w:val="16"/>
          <w:szCs w:val="16"/>
          <w:color w:val="000000"/>
        </w:rPr>
        <w:t>(determined in</w:t>
      </w:r>
      <w:r>
        <w:rPr>
          <w:rFonts w:ascii="Arial" w:cs="Arial" w:eastAsia="Arial" w:hAnsi="Arial"/>
          <w:sz w:val="16"/>
          <w:szCs w:val="16"/>
          <w:color w:val="222222"/>
        </w:rPr>
        <w:t xml:space="preserve"> </w:t>
      </w:r>
      <w:r>
        <w:rPr>
          <w:rFonts w:ascii="Arial" w:cs="Arial" w:eastAsia="Arial" w:hAnsi="Arial"/>
          <w:sz w:val="16"/>
          <w:szCs w:val="16"/>
          <w:color w:val="000000"/>
        </w:rPr>
        <w:t>accordance with GAAP), measured on a trailing twelve month basis</w:t>
      </w:r>
      <w:r>
        <w:rPr>
          <w:rFonts w:ascii="Arial" w:cs="Arial" w:eastAsia="Arial" w:hAnsi="Arial"/>
          <w:sz w:val="16"/>
          <w:szCs w:val="16"/>
          <w:color w:val="222222"/>
        </w:rPr>
        <w:t>.</w:t>
      </w:r>
      <w:r>
        <w:rPr>
          <w:rFonts w:ascii="Arial" w:cs="Arial" w:eastAsia="Arial" w:hAnsi="Arial"/>
          <w:sz w:val="16"/>
          <w:szCs w:val="16"/>
          <w:color w:val="000000"/>
        </w:rPr>
        <w:t xml:space="preserve"> This covenant was renegotiated with SVB in December 2016 and the December 31, 2016 minimum revenue covenant was changed from $56 million to $52 million. In addition, the December 31, 2017 minimum revenue covenant is set at $60 million. </w:t>
      </w:r>
      <w:r>
        <w:rPr>
          <w:rFonts w:ascii="Arial" w:cs="Arial" w:eastAsia="Arial" w:hAnsi="Arial"/>
          <w:sz w:val="16"/>
          <w:szCs w:val="16"/>
          <w:color w:val="222222"/>
        </w:rPr>
        <w:t>SVB and MidCap have the ability to call debt based on material adverse change clauses which are subjectively determinable and result in a</w:t>
      </w:r>
      <w:r>
        <w:rPr>
          <w:rFonts w:ascii="Arial" w:cs="Arial" w:eastAsia="Arial" w:hAnsi="Arial"/>
          <w:sz w:val="16"/>
          <w:szCs w:val="16"/>
          <w:color w:val="000000"/>
        </w:rPr>
        <w:t xml:space="preserve"> subjective acceleration clause. SVB and MidCap have a shared first priority perfected security interest in all assets of</w:t>
      </w:r>
    </w:p>
    <w:p>
      <w:pPr>
        <w:sectPr>
          <w:pgSz w:w="11900" w:h="16838" w:orient="portrait"/>
          <w:cols w:equalWidth="0" w:num="1">
            <w:col w:w="11420"/>
          </w:cols>
          <w:pgMar w:left="240" w:top="125"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other than intellectual property. As of December 31, 2016, there was an outstanding balance of $8.0 million under the term loan and $2.5 million under the revolving line of credit. The weighted average interest rate on the outstanding term and revolving credit loans as of December 31, 2016 was 7.7%. The remaining capacity under the revolving line of credit as of December 31, 2016 was $7.5 million and we were, and continue to be, in compliance with our financial and non-financial debt covenants. The net revenue financial covenant was updated in an amendment to the credit agreement with SVB and MidCap in December 2016 In addition, warrants were issued in conjunction with the debt agreement as discussed in note 12.</w:t>
      </w:r>
    </w:p>
    <w:p>
      <w:pPr>
        <w:spacing w:after="0" w:line="17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determining whether the debt replacement is to be accounted for as a debt extinguishment or a debt modification, the Company considered whether creditors remained the same or changed and whether the changes in debt terms are substantial. After performing the assessment in accordance with accounting guidance for the modification of debt arrangements, this transaction was determined to be accounted for as a debt modification. As a result, the unamortized deferred financing costs now include $0.1 million from the original issue costs and lender fees and $0.3 million, in new issue costs, lender fees and warrant issuance costs which will be deferred over the life of the new debt arrangement.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 Options granted under these plans expire no later than ten years from the date of grant, and other than those granted to non-employee directors, generally become exercisable over a four period, under a graded-vesting methodology, following the date of grant. The Company generally issues new shares upon the exercise of stock options.</w:t>
      </w:r>
    </w:p>
    <w:p>
      <w:pPr>
        <w:spacing w:after="0" w:line="18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2009 Second Amended and Restated Omnibus Incentive Plan (2009 Plan) provides incentives through the grant of stock options, stock appreciation rights, restricted stock awards and restricted stock units. The exercise price of stock options granted under the 2009 Plan shall not be less than the fair market value of the Company’s common stock on the date of grant. The 2009 Plan replaced the 1992 Stock Option Plan, the 2001 Stock Option Plan and the Amended and Restated 2004 Equity Incentive Plan (Prior Plans), and no new awards have been granted under the Prior Plans. However, the expiration or forfeiture of options previously granted under the Prior Plans will increase the awards available for issuance under the 2009 Plan.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2016, there were 1,090,645 shares available for future grant under the 2009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Employees are able to purchase stock under the Vericel Corporation Employee Stock Purchase Plan (ESPP), which was implemented effective October 1, 2015. The ESPP allows for the issuance of an aggregate of 1,000,000 shares of common stock.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In January 2017, employees purchased 34,392 shares resulting in proceeds from the sale of common stock of $0.1 million under the ESPP for the first offering period. The total share-based compensation expense for the ESPP for the year ended December 31, 2016 was approximately $0.2 million.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year ended December 31, 2016, the Company granted 1,110,530 service-based options to purchase common stock. The exercise price of the options is the fair market value per share of common stock on the grant date, generally vest over four years (other than 90,000 non-employee options which vest over one year) and have a term of ten years. The weighted average grant-date fair value of service-based options granted during the years ended December 31, 2016, 2015, and 2014 was $2.15, $2.22 and $2.85,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net compensation costs recorded for the service-based stock options related to employees and directors (including the impact of the forfeitures) for the years ended December 31, 2016, 2015, and 2014 were $2.3 million, $2.7 million and $0.8 million, respectively.</w:t>
      </w:r>
    </w:p>
    <w:p>
      <w:pPr>
        <w:spacing w:after="0" w:line="17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9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7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9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93"/>
              </w:rPr>
              <w:t>—%</w:t>
            </w:r>
          </w:p>
        </w:tc>
        <w:tc>
          <w:tcPr>
            <w:tcW w:w="9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894"/>
              <w:spacing w:after="0"/>
              <w:rPr>
                <w:sz w:val="20"/>
                <w:szCs w:val="20"/>
                <w:color w:val="auto"/>
              </w:rPr>
            </w:pPr>
            <w:r>
              <w:rPr>
                <w:rFonts w:ascii="Arial" w:cs="Arial" w:eastAsia="Arial" w:hAnsi="Arial"/>
                <w:sz w:val="18"/>
                <w:szCs w:val="18"/>
                <w:color w:val="auto"/>
                <w:w w:val="93"/>
              </w:rPr>
              <w:t>—%</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78.7</w:t>
            </w: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 92.2%</w:t>
            </w: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 88.1%</w:t>
            </w:r>
          </w:p>
        </w:tc>
        <w:tc>
          <w:tcPr>
            <w:tcW w:w="980" w:type="dxa"/>
            <w:vAlign w:val="bottom"/>
          </w:tcPr>
          <w:p>
            <w:pPr>
              <w:jc w:val="right"/>
              <w:spacing w:after="0"/>
              <w:rPr>
                <w:sz w:val="20"/>
                <w:szCs w:val="20"/>
                <w:color w:val="auto"/>
              </w:rPr>
            </w:pPr>
            <w:r>
              <w:rPr>
                <w:rFonts w:ascii="Arial" w:cs="Arial" w:eastAsia="Arial" w:hAnsi="Arial"/>
                <w:sz w:val="18"/>
                <w:szCs w:val="18"/>
                <w:color w:val="auto"/>
              </w:rPr>
              <w:t>82.4</w:t>
            </w:r>
          </w:p>
        </w:tc>
        <w:tc>
          <w:tcPr>
            <w:tcW w:w="1300" w:type="dxa"/>
            <w:vAlign w:val="bottom"/>
          </w:tcPr>
          <w:p>
            <w:pPr>
              <w:ind w:left="40"/>
              <w:spacing w:after="0"/>
              <w:rPr>
                <w:sz w:val="20"/>
                <w:szCs w:val="20"/>
                <w:color w:val="auto"/>
              </w:rPr>
            </w:pPr>
            <w:r>
              <w:rPr>
                <w:rFonts w:ascii="Arial" w:cs="Arial" w:eastAsia="Arial" w:hAnsi="Arial"/>
                <w:sz w:val="18"/>
                <w:szCs w:val="18"/>
                <w:color w:val="auto"/>
              </w:rPr>
              <w:t>– 88.2%</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2.2%</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5.5 – 6.3</w:t>
            </w:r>
          </w:p>
        </w:tc>
        <w:tc>
          <w:tcPr>
            <w:tcW w:w="24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5.5 – 6.3</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1"/>
              </w:rPr>
              <w:t>5.5 – 6.3</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ind w:left="360"/>
              <w:spacing w:after="0"/>
              <w:rPr>
                <w:sz w:val="20"/>
                <w:szCs w:val="20"/>
                <w:color w:val="auto"/>
              </w:rPr>
            </w:pPr>
            <w:r>
              <w:rPr>
                <w:rFonts w:ascii="Arial" w:cs="Arial" w:eastAsia="Arial" w:hAnsi="Arial"/>
                <w:sz w:val="14"/>
                <w:szCs w:val="14"/>
                <w:b w:val="1"/>
                <w:bCs w:val="1"/>
                <w:color w:val="auto"/>
                <w:w w:val="93"/>
              </w:rPr>
              <w:t>Weighted Average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39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53"/>
              <w:spacing w:after="0"/>
              <w:rPr>
                <w:sz w:val="20"/>
                <w:szCs w:val="20"/>
                <w:color w:val="auto"/>
              </w:rPr>
            </w:pPr>
            <w:r>
              <w:rPr>
                <w:rFonts w:ascii="Arial" w:cs="Arial" w:eastAsia="Arial" w:hAnsi="Arial"/>
                <w:sz w:val="14"/>
                <w:szCs w:val="14"/>
                <w:b w:val="1"/>
                <w:bCs w:val="1"/>
                <w:color w:val="auto"/>
                <w:w w:val="93"/>
              </w:rPr>
              <w:t>Weighted Average</w:t>
            </w:r>
          </w:p>
        </w:tc>
        <w:tc>
          <w:tcPr>
            <w:tcW w:w="120" w:type="dxa"/>
            <w:vAlign w:val="bottom"/>
          </w:tcPr>
          <w:p>
            <w:pPr>
              <w:spacing w:after="0"/>
              <w:rPr>
                <w:sz w:val="18"/>
                <w:szCs w:val="18"/>
                <w:color w:val="auto"/>
              </w:rPr>
            </w:pPr>
          </w:p>
        </w:tc>
        <w:tc>
          <w:tcPr>
            <w:tcW w:w="152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437"/>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2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4"/>
              </w:rPr>
              <w:t>Contractual Term</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2,216,600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840" w:type="dxa"/>
            <w:vAlign w:val="bottom"/>
          </w:tcPr>
          <w:p>
            <w:pPr>
              <w:jc w:val="right"/>
              <w:spacing w:after="0"/>
              <w:rPr>
                <w:sz w:val="20"/>
                <w:szCs w:val="20"/>
                <w:color w:val="auto"/>
              </w:rPr>
            </w:pPr>
            <w:r>
              <w:rPr>
                <w:rFonts w:ascii="Arial" w:cs="Arial" w:eastAsia="Arial" w:hAnsi="Arial"/>
                <w:sz w:val="18"/>
                <w:szCs w:val="18"/>
                <w:color w:val="auto"/>
              </w:rPr>
              <w:t>(17,791)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40.02</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Outstanding at December 31, 2015</w:t>
            </w: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2,523,400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1,110,530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1840" w:type="dxa"/>
            <w:vAlign w:val="bottom"/>
          </w:tcPr>
          <w:p>
            <w:pPr>
              <w:jc w:val="right"/>
              <w:spacing w:after="0"/>
              <w:rPr>
                <w:sz w:val="20"/>
                <w:szCs w:val="20"/>
                <w:color w:val="auto"/>
              </w:rPr>
            </w:pPr>
            <w:r>
              <w:rPr>
                <w:rFonts w:ascii="Arial" w:cs="Arial" w:eastAsia="Arial" w:hAnsi="Arial"/>
                <w:sz w:val="18"/>
                <w:szCs w:val="18"/>
                <w:color w:val="auto"/>
              </w:rPr>
              <w:t>(39,231)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(153,307)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3,355,692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40"/>
              <w:spacing w:after="0"/>
              <w:rPr>
                <w:sz w:val="20"/>
                <w:szCs w:val="20"/>
                <w:color w:val="auto"/>
              </w:rPr>
            </w:pPr>
            <w:r>
              <w:rPr>
                <w:rFonts w:ascii="Arial" w:cs="Arial" w:eastAsia="Arial" w:hAnsi="Arial"/>
                <w:sz w:val="18"/>
                <w:szCs w:val="18"/>
                <w:color w:val="auto"/>
              </w:rPr>
              <w:t>Exercisable at December 31, 2016</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gridSpan w:val="2"/>
            <w:vMerge w:val="continue"/>
          </w:tcPr>
          <w:p>
            <w:pPr>
              <w:spacing w:after="0"/>
              <w:rPr>
                <w:sz w:val="21"/>
                <w:szCs w:val="21"/>
                <w:color w:val="auto"/>
              </w:rPr>
            </w:pPr>
          </w:p>
        </w:tc>
        <w:tc>
          <w:tcPr>
            <w:tcW w:w="1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1,339,675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As of December 31, 2016 there was approximately $2.4 million, of total unrecognized compensation cost related to non-vested service-based stock options granted under the 2009 Plan and the Prior Plans. That cost is expected to be recognized over a weighted-average period of 2.8 years.</w:t>
      </w:r>
    </w:p>
    <w:p>
      <w:pPr>
        <w:spacing w:after="0" w:line="1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total fair value of stock options vested for the years ended December 31, 2016, 2015, and 2014 was $2.2 million, $1.7 million and $1.5 million, respectively.</w:t>
      </w:r>
    </w:p>
    <w:p>
      <w:pPr>
        <w:spacing w:after="0" w:line="166"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65"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2014 Warrant Exercise Agreement</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July 9, 2014, the Company entered into a Warrant Exercise Agreement with one holder of warrants issued by the Company on August 16, 2013 (the 2013 Warrants) to purchase an aggregate of 362,500 shares of the Company’s common stock, no par value. Pursuant to the Warrant Exercise Agreement, the holder agreed to exercise the 2013 Warrants at the existing exercise price of $4.80. The net proceeds to the Company in connection with the exercise of the 2013 Warrants, after deducting a warrant inducement payment and expenses, were approximately $1.5 million.</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2014 Stock Purchase Agreement</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30-month period, which began on April 3, 2014 and ended on October 3, 2016. 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 As of December 31, 2016, the Company issued 985,499 shares of common stock to Lincoln Park and raised gross proceeds of $3.9 million.</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October 10, 2016, we entered into our ATM with Cowen, pursuant to which we may sell shares of our common stock through Cowen and Company, LLC (Cowen), as sales agent, in registered transactions from our shelf registration statement filed in June 2015, for aggregate proceeds of up to $25.0 million. Shares of common stock sold under the ATM are to be sold at market prices. We will pay up to 3% of the gross proceeds to Cowen as a commission. 357,856 shares of common stock have been sold to date under the ATM for net proceeds of $0.8 million and as of December 31, 2016 had remaining capacity of approximately $24.2 million.</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2016 Public Equity Offering</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December 21, 2016, the Company closed on a public equity offering whereby it sold 7,130,000 shares of common stock at an offering price of $2.75 per share. The proceeds of $18.0 million, net of $1.4 million of underwriters’ discount and $0.2 million of issuance costs consisting primarily of legal and accounting fees, were recorded as a common stock issuance.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December 23, 2015 Stonepine Capital, LLC (Stonepine) exchanged 1,250,000 shares of the Company's common stock held by Stonepine for 1,250 shares of Series A Convertible Preferred Stock (Preferred Stock). The common stock that was transferred from Stonepine to the Company during the share exchange was reserved as treasury shares. The value transferred to Series A Convertible Preferred Stock of $3.2 million which was equal to the fair market value of the common stock as of December 23, 2015. On November 22, 2016, Stonepine converted the Preferred Stock for 1,250,000 shares of the Company's common stock.</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cash dividends have been declared or paid by the Company since its inception.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August 2011, the Board of Directors of the Company adopted a Shareholder Rights Plan, as set forth in the Shareholder Rights Agreement between the Company and the rights agent, the purpose of which is, among other things, to enhance the Board’s ability to protect shareholder interests and to ensure that shareholders receive fair treatment in the event any coercive takeover attempt of the Company is made in the future. The Shareholder Rights Plan could make it more difficult for a third party to acquire, or could discourage a third party from acquiring, the Company or a large block of the Company’s common stock. In March 2012, the Board approved an amendment to the Shareholder Rights Plan to enable Eastern Capital Limited and its affiliates to purchase up to 49.9% of the shares of common stock of the Company without becoming an “acquiring person” and thereby triggering the stockholder rights, with the limitations under the Shareholder Rights Plan remaining in effect for all other stockholders of the Company.</w:t>
      </w:r>
    </w:p>
    <w:p>
      <w:pPr>
        <w:spacing w:after="0" w:line="17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connection with the adoption of the Shareholder Rights Plan, the Board of Directors of the Company declared a dividend distribution of one preferred stock purchase right (Right) for each outstanding share of common stock to stockholders of record as of the close of business on August 15, 2011. In addition, one Right will automatically attach to each share of common stock issued between August 15, 2011 and the distribution date. As a result of the October 2013 reverse stock split, the number of Rights associated with each share of common stock was automatically proportionately adjusted so that</w:t>
      </w:r>
    </w:p>
    <w:p>
      <w:pPr>
        <w:spacing w:after="0" w:line="2" w:lineRule="exact"/>
        <w:rPr>
          <w:sz w:val="20"/>
          <w:szCs w:val="20"/>
          <w:color w:val="auto"/>
        </w:rPr>
      </w:pPr>
    </w:p>
    <w:p>
      <w:pPr>
        <w:jc w:val="both"/>
        <w:ind w:firstLine="8"/>
        <w:spacing w:after="0" w:line="254"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twenty rights were then associated with each outstanding share of common stock and (ii) so long as the Rights are attached to the common stock, twenty rights shall be deemed to be delivered for each share of common stock issued or transferred by the Company in the future. The Rights currently are not exercisable and are attached to and trade with the outstanding shares of common stock. Each Right entitles the registered holder of common stock to purchase from the Company a unit consisting of one ten-thousandth of a share (Unit) 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Series A Junior Participating Preferred Stock, no par value per share, at a cash exercise prices of $30.00 per Unit. There are currently 45,000 shares authorized and zero issued and outstanding. Under the Shareholder Rights Plan, the Rights become exercisable if a person or group becomes an “acquiring person” by acquiring 15% or more of the outstanding shares of common stock or if a person or group commences a tender offer that would result in that person owning 15% or more of the common stock. If a person or group becomes an “acquiring person,” each holder of a Right (other than the acquiring person and its affiliates, associates and transferees) would be entitled to purchase, at the then-current exercise price, such number of shares of the Company’s preferred stock which are equivalent to shares of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Rights may be redeemed in whole, but not in part, at a price of $0.001 per Right (payable in cash, common stock or other consideration deemed appropriate by the Board of Directors) by the Board of Directors only until the earlier of (i) the time at which any person becomes an “acquiring person” or</w:t>
      </w:r>
    </w:p>
    <w:p>
      <w:pPr>
        <w:jc w:val="both"/>
        <w:ind w:firstLine="8"/>
        <w:spacing w:after="0" w:line="255" w:lineRule="auto"/>
        <w:tabs>
          <w:tab w:leader="none" w:pos="27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expiration date of the Rights Agreement. Immediately upon the action of the Board of Directors ordering redemption of the Rights, the Right will terminate and thereafter the only right of the holders of Rights will be to receive the redemption price. The Rights will expire at the close of business on August 15, 2021, unless previously redeemed or exchanged by the Company as described above.</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five year anniversary of the closing of the offering, into shares of common stock at a conversion price of $3.25 per share of common stock, at a conversion ratio of one share of preferred stock for fifty shares of common stock. At any time after the five year anniversary of issuance, the Company may elect to convert any or all outstanding shares of Series B preferred stock into shares of common stock, subject to certain limitations. Dividends on the Series B preferred stock will be cumulative and compound daily, at a rate of 11.5% per annum, payable upon conversion, liquidation, redemption or other similar events, and payable in cash or Series B-1 preferred stock until the five year anniversary of issuance. As of December 31, 2016, there are 455,308 accumulated but undeclared Series B-1 dividends. Unless prohibited by Michigan law governing distributions to shareholders, the Series B-1 preferred stock shall be redeemable at the option of holder of the Series B-1 preferred stock commencing at any time after the five years anniversary of issuance, liquidation, winding up, dissolution or other similar events, subject to certain terms and limitations. On March 9, 2017 all shares of the Series B preferred stock were converted to common stock. See note 18 for further discussion.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Consolidated Balance Sheets and was accreted to its redemption value through charges to accumulated deficit using the effective interest method.</w:t>
      </w:r>
    </w:p>
    <w:p>
      <w:pPr>
        <w:spacing w:after="0" w:line="19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 anniversary, was equal to $7,430 multiplied by the number of Series B-1 preferred shares redeemed minus the Company’s closing stock price multiplied by the number of common shares into which the outstanding Series B-2 preferred stock are convertible. The redemption price, after the five year anniversary, was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On December 18, 2015, Vericel entered into a Securities Exchange Agreement (Exchange Agreement) with Stonepine pursuant to which Stonepine exchanged an aggregate of 1,250,000 shares of its common stock held by Stonepine for 1,250 shares of the Company’s Series A Non-Voting Convertible Preferred Stock (the Exchange). The Exchange closed on December 23, 2015. In connection with the Exchange, the Company designated 1,250 shares of its authorized and unissued preferred stock as Series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Convertible Preferred Stock. Each share of Series A Convertible Preferred Stock is convertible into 1,000 shares of its common stock at any time at the holder’s option. On November 22, 2016, Stonepine converted the Preferred Stock for 1,250,000 shares of the Company's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(19,566)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(19,920)</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earnings attributable to convertible preferred stock</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6,005</w:t>
            </w:r>
          </w:p>
        </w:tc>
      </w:tr>
      <w:tr>
        <w:trPr>
          <w:trHeight w:val="237"/>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Numerator of basic and diluted EPS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(25,925)</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Denominator for basic and diluted EPS: weighted-average common shares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23,093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23,760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11,642</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7"/>
              </w:rPr>
              <w:t>Net loss per share attributable to common shareholders (basic and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Common equivalent shares and treasury stock are not included in the diluted per share calculation where the effect of their inclusion would be anti-dilutive. The aggregate number of common equivalent shares (related to options, warrants, preferred stock and treasury stock) that have been excluded from the computations of diluted net loss per common share for the years ended December 31, 2016, 2015 and 2014 was 5.3 million, 6.7 million and 2.3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Purchase Warrants</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has historically issued warrants to purchase shares of the Company’s common stock in connection with certain of its common stock offerings and in September 2016 the Company issued warrants in connection with the updated debt agreement (September 2016 Warrants) discussed in note7. The warrants issued in August 2013 (August 2013 Warrants) include anti-dilution price protection provisions that could require cash settlement of the warrants and accordingly requiring the warrants to be recorded as liabilities of the Company at the estimated fair value at the date of issuance, with changes in estimated fair value recorded as income or expense (non-cash) in the Company’s statement of operations in each subsequent period. The September 2016 Warrants meet the requirements for equity classification. The following table describes the outstanding warrants:</w:t>
      </w:r>
    </w:p>
    <w:p>
      <w:pPr>
        <w:spacing w:after="0" w:line="400"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August 2013 Warrants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3"/>
              </w:rPr>
              <w:t>September 2016 Warrants</w:t>
            </w: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880" w:type="dxa"/>
            <w:vAlign w:val="bottom"/>
            <w:tcBorders>
              <w:top w:val="single" w:sz="8" w:color="auto"/>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80" w:type="dxa"/>
            <w:vAlign w:val="bottom"/>
            <w:tcBorders>
              <w:top w:val="single" w:sz="8" w:color="auto"/>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rPr>
              <w:t>$2.48</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16, 2018</w:t>
            </w:r>
          </w:p>
        </w:tc>
        <w:tc>
          <w:tcPr>
            <w:tcW w:w="2880" w:type="dxa"/>
            <w:vAlign w:val="bottom"/>
          </w:tcPr>
          <w:p>
            <w:pPr>
              <w:jc w:val="center"/>
              <w:spacing w:after="0"/>
              <w:rPr>
                <w:sz w:val="20"/>
                <w:szCs w:val="20"/>
                <w:color w:val="auto"/>
              </w:rPr>
            </w:pPr>
            <w:r>
              <w:rPr>
                <w:rFonts w:ascii="Arial" w:cs="Arial" w:eastAsia="Arial" w:hAnsi="Arial"/>
                <w:sz w:val="18"/>
                <w:szCs w:val="18"/>
                <w:color w:val="auto"/>
                <w:w w:val="88"/>
              </w:rPr>
              <w:t>September 9, 2022</w:t>
            </w:r>
          </w:p>
        </w:tc>
      </w:tr>
      <w:tr>
        <w:trPr>
          <w:trHeight w:val="27"/>
        </w:trPr>
        <w:tc>
          <w:tcPr>
            <w:tcW w:w="4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4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2880" w:type="dxa"/>
            <w:vAlign w:val="bottom"/>
            <w:shd w:val="clear" w:color="auto" w:fill="CCEEFF"/>
          </w:tcPr>
          <w:p>
            <w:pPr>
              <w:jc w:val="right"/>
              <w:ind w:right="1054"/>
              <w:spacing w:after="0"/>
              <w:rPr>
                <w:sz w:val="20"/>
                <w:szCs w:val="20"/>
                <w:color w:val="auto"/>
              </w:rPr>
            </w:pPr>
            <w:r>
              <w:rPr>
                <w:rFonts w:ascii="Arial" w:cs="Arial" w:eastAsia="Arial" w:hAnsi="Arial"/>
                <w:sz w:val="18"/>
                <w:szCs w:val="18"/>
                <w:color w:val="auto"/>
              </w:rPr>
              <w:t>724,950</w:t>
            </w:r>
          </w:p>
        </w:tc>
        <w:tc>
          <w:tcPr>
            <w:tcW w:w="120" w:type="dxa"/>
            <w:vAlign w:val="bottom"/>
            <w:shd w:val="clear" w:color="auto" w:fill="CCEEFF"/>
          </w:tcPr>
          <w:p>
            <w:pPr>
              <w:spacing w:after="0"/>
              <w:rPr>
                <w:sz w:val="21"/>
                <w:szCs w:val="21"/>
                <w:color w:val="auto"/>
              </w:rPr>
            </w:pPr>
          </w:p>
        </w:tc>
        <w:tc>
          <w:tcPr>
            <w:tcW w:w="288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117,074</w:t>
            </w:r>
          </w:p>
        </w:tc>
      </w:tr>
      <w:tr>
        <w:trPr>
          <w:trHeight w:val="27"/>
        </w:trPr>
        <w:tc>
          <w:tcPr>
            <w:tcW w:w="41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September 9, 2016, the Company issued 117,074 warrants to two holders in conjunction with the loan agreement described in note 7. The initial valuation of the September 2016 Warrants was recorded as debt issuance costs and is being amortized over the remaining life of the loan agreement to interest expense. The September 2016 Warrants are treated as equity instruments recorded at fair value with no subsequent remeasurement. Pursuant to the warrants, the holders may exercise their warrants for an aggregate of 117,074 shares of the Company’s common stock.</w:t>
      </w:r>
    </w:p>
    <w:p>
      <w:pPr>
        <w:spacing w:after="0" w:line="17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3.00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2.58</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ind w:left="1440"/>
              <w:spacing w:after="0"/>
              <w:rPr>
                <w:sz w:val="20"/>
                <w:szCs w:val="20"/>
                <w:color w:val="auto"/>
              </w:rPr>
            </w:pPr>
            <w:r>
              <w:rPr>
                <w:rFonts w:ascii="Arial" w:cs="Arial" w:eastAsia="Arial" w:hAnsi="Arial"/>
                <w:sz w:val="18"/>
                <w:szCs w:val="18"/>
                <w:color w:val="auto"/>
                <w:w w:val="99"/>
              </w:rPr>
              <w:t>—%</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7"/>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93"/>
              </w:rPr>
              <w:t>91.4%</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ind w:left="880"/>
              <w:spacing w:after="0"/>
              <w:rPr>
                <w:sz w:val="20"/>
                <w:szCs w:val="20"/>
                <w:color w:val="auto"/>
              </w:rPr>
            </w:pPr>
            <w:r>
              <w:rPr>
                <w:rFonts w:ascii="Arial" w:cs="Arial" w:eastAsia="Arial" w:hAnsi="Arial"/>
                <w:sz w:val="18"/>
                <w:szCs w:val="18"/>
                <w:color w:val="auto"/>
                <w:w w:val="97"/>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ind w:left="1300"/>
              <w:spacing w:after="0"/>
              <w:rPr>
                <w:sz w:val="20"/>
                <w:szCs w:val="20"/>
                <w:color w:val="auto"/>
              </w:rPr>
            </w:pPr>
            <w:r>
              <w:rPr>
                <w:rFonts w:ascii="Arial" w:cs="Arial" w:eastAsia="Arial" w:hAnsi="Arial"/>
                <w:sz w:val="18"/>
                <w:szCs w:val="18"/>
                <w:color w:val="auto"/>
                <w:w w:val="93"/>
              </w:rPr>
              <w:t>1.31%</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2.63</w:t>
            </w:r>
          </w:p>
        </w:tc>
      </w:tr>
      <w:tr>
        <w:trPr>
          <w:trHeight w:val="615"/>
        </w:trPr>
        <w:tc>
          <w:tcPr>
            <w:tcW w:w="7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2016 Warrants</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7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1800" w:type="dxa"/>
            <w:vAlign w:val="bottom"/>
          </w:tcPr>
          <w:p>
            <w:pPr>
              <w:spacing w:after="0"/>
              <w:rPr>
                <w:sz w:val="21"/>
                <w:szCs w:val="2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1"/>
                <w:szCs w:val="21"/>
                <w:color w:val="auto"/>
              </w:rPr>
            </w:pPr>
          </w:p>
        </w:tc>
      </w:tr>
      <w:tr>
        <w:trPr>
          <w:trHeight w:val="27"/>
        </w:trPr>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c>
          <w:tcPr>
            <w:tcW w:w="1800" w:type="dxa"/>
            <w:vAlign w:val="bottom"/>
          </w:tcPr>
          <w:p>
            <w:pPr>
              <w:spacing w:after="0"/>
              <w:rPr>
                <w:sz w:val="21"/>
                <w:szCs w:val="2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w:t>
            </w:r>
          </w:p>
        </w:tc>
        <w:tc>
          <w:tcPr>
            <w:tcW w:w="1800" w:type="dxa"/>
            <w:vAlign w:val="bottom"/>
          </w:tcPr>
          <w:p>
            <w:pPr>
              <w:spacing w:after="0"/>
              <w:rPr>
                <w:sz w:val="21"/>
                <w:szCs w:val="21"/>
                <w:color w:val="auto"/>
              </w:rPr>
            </w:pPr>
          </w:p>
        </w:tc>
      </w:tr>
      <w:tr>
        <w:trPr>
          <w:trHeight w:val="27"/>
        </w:trPr>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1800" w:type="dxa"/>
            <w:vAlign w:val="bottom"/>
          </w:tcPr>
          <w:p>
            <w:pPr>
              <w:spacing w:after="0"/>
              <w:rPr>
                <w:sz w:val="21"/>
                <w:szCs w:val="21"/>
                <w:color w:val="auto"/>
              </w:rPr>
            </w:pPr>
          </w:p>
        </w:tc>
      </w:tr>
      <w:tr>
        <w:trPr>
          <w:trHeight w:val="27"/>
        </w:trPr>
        <w:tc>
          <w:tcPr>
            <w:tcW w:w="6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valuation of the Company’s financial instruments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50"/>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 category</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1"/>
              </w:rPr>
              <w:t>Fair value measurement category</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740" w:type="dxa"/>
            <w:vAlign w:val="bottom"/>
          </w:tcPr>
          <w:p>
            <w:pPr>
              <w:jc w:val="right"/>
              <w:ind w:right="544"/>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740" w:type="dxa"/>
            <w:vAlign w:val="bottom"/>
          </w:tcPr>
          <w:p>
            <w:pPr>
              <w:jc w:val="right"/>
              <w:ind w:right="544"/>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fair values of the warrants are measured using the Black-Scholes valuation model. See Note 12 for further discussion of the significant observable inputs use to measure the warrant liabilities.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5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6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Warrant exercises</w:t>
            </w:r>
          </w:p>
        </w:tc>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fair value</w:t>
            </w:r>
          </w:p>
        </w:tc>
        <w:tc>
          <w:tcPr>
            <w:tcW w:w="5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5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w:t>
            </w:r>
          </w:p>
        </w:tc>
        <w:tc>
          <w:tcPr>
            <w:tcW w:w="5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5660" w:type="dxa"/>
            <w:vAlign w:val="bottom"/>
          </w:tcPr>
          <w:p>
            <w:pPr>
              <w:spacing w:after="0"/>
              <w:rPr>
                <w:sz w:val="20"/>
                <w:szCs w:val="20"/>
                <w:color w:val="auto"/>
              </w:rPr>
            </w:pPr>
          </w:p>
        </w:tc>
        <w:tc>
          <w:tcPr>
            <w:tcW w:w="7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660" w:type="dxa"/>
            <w:vAlign w:val="bottom"/>
            <w:vMerge w:val="restart"/>
          </w:tcPr>
          <w:p>
            <w:pPr>
              <w:jc w:val="right"/>
              <w:ind w:right="37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6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(loss) before income taxes for U.S and non-U.S operations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loss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(19,302)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Non U.S. loss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(1,842)</w:t>
            </w:r>
          </w:p>
        </w:tc>
      </w:tr>
      <w:tr>
        <w:trPr>
          <w:trHeight w:val="27"/>
        </w:trPr>
        <w:tc>
          <w:tcPr>
            <w:tcW w:w="5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(19,566)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reconciliation of income taxes computed using the federal statutory rate to the taxes reported in the consolidated statements of operations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(16,340)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Federal statutory rate</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 computed at federal statutory rate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44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Nondeductible stock compensation</w:t>
            </w:r>
          </w:p>
        </w:tc>
        <w:tc>
          <w:tcPr>
            <w:tcW w:w="4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Rate Change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Michigan NOL benefit</w:t>
            </w:r>
          </w:p>
        </w:tc>
        <w:tc>
          <w:tcPr>
            <w:tcW w:w="440" w:type="dxa"/>
            <w:vAlign w:val="bottom"/>
          </w:tcPr>
          <w:p>
            <w:pPr>
              <w:spacing w:after="0"/>
              <w:rPr>
                <w:sz w:val="21"/>
                <w:szCs w:val="21"/>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operating loss expirations</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Write-off of Section 382 limited NOL’s</w:t>
            </w:r>
          </w:p>
        </w:tc>
        <w:tc>
          <w:tcPr>
            <w:tcW w:w="440" w:type="dxa"/>
            <w:vAlign w:val="bottom"/>
          </w:tcPr>
          <w:p>
            <w:pPr>
              <w:spacing w:after="0"/>
              <w:rPr>
                <w:sz w:val="21"/>
                <w:szCs w:val="21"/>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67,781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Write-off of Section 383 limited R&amp;D credits</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 to prior year filed returns</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(5,203)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4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7,677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10,669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(63,190)</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8"/>
                <w:szCs w:val="18"/>
                <w:color w:val="auto"/>
              </w:rPr>
              <w:t>Deferred tax assets consist of the following:</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ind w:right="9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13,998</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Employee benefits and stock compensation</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Inventory reserve</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Total deferred tax assets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29,692</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22,015</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(29,692)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(22,015)</w:t>
            </w:r>
          </w:p>
        </w:tc>
        <w:tc>
          <w:tcPr>
            <w:tcW w:w="0" w:type="dxa"/>
            <w:vAlign w:val="bottom"/>
          </w:tcPr>
          <w:p>
            <w:pPr>
              <w:spacing w:after="0"/>
              <w:rPr>
                <w:sz w:val="1"/>
                <w:szCs w:val="1"/>
                <w:color w:val="auto"/>
              </w:rPr>
            </w:pP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Net deferred tax assets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2014, the Company underwent a change in control as defined by Section 382 of the Internal Revenue Code. A change in control is generally defined as a cumulative change of 50% or more in the ownership positions of certain stockholders during a rolling three year period. This change in control resulted in substantial limitations being placed on certain tax attributes including net operating losses and tax credit carryforwards. The limitations are computed based upon several variable factors including the value of the Company on the date of the change in control. The projected annual limitation on the use of the net operating losses that existed prior to September 17, 2014 is $0.8 million. As a result, a significant portion of the net operating losses and tax credit carryforwards will expire prior to their utilization, regardless of the level of future profitability. Accordingly, the Company reduced</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net operating losses and tax credit carryforwards in 2014 (with a corresponding adjustment to the valuation allowance) to reflect the amount available to offset future profits. There was not a change of control in 2015 or 2016.</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2016, the Company’s U.S. federal, and state tax net operating loss carryforwards available to offset future profits, after considering the aforementioned annual Section 382 limit, are $28.6 million and $11.5 million, respectively. These net operating loss carryforwards will expire between 2017 and 2036.</w:t>
      </w:r>
    </w:p>
    <w:p>
      <w:pPr>
        <w:spacing w:after="0" w:line="18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accordance with the accounting guidance for income taxes, the Company estimated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the Company achieves profitability, these deferred tax assets may be available to offset future income taxes. The change in the valuation allowance was an increase of $7.7 million and $10.7 million for the years ended December 31, 2016 and 2015, respectively.</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assesses uncertain tax positions in accordance with the guidance for accounting for uncertain tax positions. This pronouncement prescribes a recognition threshold and measurement methodology for recording within the financial statements uncertain tax positions taken, or expected to be taken, in the Company’s income tax returns. To the extent the uncertain tax positions do not meet the “more likely than not” threshold, the Company has derecognized such positions. To the extent the uncertain tax positions meet the “more likely than not” threshold, the Company has measured and recorded the highest probable benefit, and have established appropriate reserves for benefits that exceed the amount likely to be sustained upon examination. The Company currently has not recorded any uncertain tax positions and does not anticipate that the unrecognized tax benefits will significantly increase or decrease within the next twelve months.</w:t>
      </w:r>
    </w:p>
    <w:p>
      <w:pPr>
        <w:spacing w:after="0" w:line="1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files U.S. federal, Alabama, California, Colorado, Illinois, Massachusetts, Michigan, New Jersey, Tennessee and Texas income tax returns. Due to the Company’s net operating loss carryforwards, Federal income tax returns from incorporation are still subject to examination. Michigan tax returns for the year ended December 31, 2012 and forward are subject to examination. Massachusetts tax returns for the year ended December 31, 2014 and forward are subject to examination.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Savings Plan</w:t>
      </w:r>
    </w:p>
    <w:p>
      <w:pPr>
        <w:spacing w:after="0" w:line="229" w:lineRule="exact"/>
        <w:rPr>
          <w:sz w:val="20"/>
          <w:szCs w:val="20"/>
          <w:color w:val="auto"/>
        </w:rPr>
      </w:pPr>
    </w:p>
    <w:p>
      <w:pPr>
        <w:ind w:right="180" w:firstLine="243"/>
        <w:spacing w:after="0" w:line="264" w:lineRule="auto"/>
        <w:rPr>
          <w:sz w:val="20"/>
          <w:szCs w:val="20"/>
          <w:color w:val="auto"/>
        </w:rPr>
      </w:pPr>
      <w:r>
        <w:rPr>
          <w:rFonts w:ascii="Arial" w:cs="Arial" w:eastAsia="Arial" w:hAnsi="Arial"/>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$0.6 million, $0.5 million and $0.3 million for the years ended December 31, 2016,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Concentration of Credit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2016, the Company terminated its agreement with the distributor for a significant portion of its Carticel sales. Prior to June 30, 2016, the Company sold Carticel to a distributor, which subsequently resold Carticel to patients and healthcare providers. The Company has transitioned to a new provider, Dohmen Life Science Services, LLC (DLSS) who provides a patient support services program but does not act as a distributor. The Company's receivables risk is now spread among various hospitals, individual patients, and third-party payers and therefore, the concentration of credit risk shifted for the Company.</w:t>
      </w:r>
    </w:p>
    <w:p>
      <w:pPr>
        <w:spacing w:after="0" w:line="18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Revenue from one customer, a distributor in the U.S., represented 31% and 66% of total revenue during the years ended December 31, 2016 and 2015, respectively. Accounts receivable from the same customer accounted for 1% and 76% of the outstanding accounts receivable as of December 31, 2016 and 2015, respectively. The next largest customer represented 11% and 12% of revenue for the year ended December 31, 2016 and 2015, respectively. Accounts receivable from the next largest customer accounted for 5% and 8% of the outstanding accounts receivable as of December 31, 2016 and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Licenses, Royalties and Collaborative Agreements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Corning Incorporated </w:t>
      </w:r>
      <w:r>
        <w:rPr>
          <w:rFonts w:ascii="Arial" w:cs="Arial" w:eastAsia="Arial" w:hAnsi="Arial"/>
          <w:sz w:val="18"/>
          <w:szCs w:val="18"/>
          <w:color w:val="auto"/>
        </w:rPr>
        <w:t>— In December 2002, the Company entered into an agreement with Corning Incorporated (Corning) that granted Corning an</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sublicense relating to the Company’s cell transfection technology. Under the terms of the agreement, the Company retains exclusive rights to the applications of the technologies involving cells for therapeutic applications. In addition, the agreement provides for future royalty payments on net sales of licensed products sold under the sublicense amounting to 5% of such sales up to $50.0 million. However, the Company does not expect to receive material revenue from this source for several years, if ever.</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 xml:space="preserve">RealBio Technologies — </w:t>
      </w:r>
      <w:r>
        <w:rPr>
          <w:rFonts w:ascii="Arial" w:cs="Arial" w:eastAsia="Arial" w:hAnsi="Arial"/>
          <w:sz w:val="17"/>
          <w:szCs w:val="17"/>
          <w:color w:val="auto"/>
        </w:rPr>
        <w:t>In May 2009, the Company entered into an agreement with RealBio Technologies, Inc. (RealBio) that granted RealBio an</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license to utilize our technology outside of the Company’s core area of focus - human regenerative medicine. In return for this license, the Company received a minority equity interest in RealBio, which was not material as of December 31, 2016 or 2015. The Company received a plan of complete liquidation, dissolution and termination of the existence of RealBio under which RealBio was to be liquidated no later than November 30, 2016. The Company entered into a license assignment, assumption, amendment and consent agreement as of January 23, 2017 pursuant to which RealBio’s license was transferred to RealBio Holdings LLC and amended to add royalties on future sales of licensed products.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Matricel — </w:t>
      </w:r>
      <w:r>
        <w:rPr>
          <w:rFonts w:ascii="Arial" w:cs="Arial" w:eastAsia="Arial" w:hAnsi="Arial"/>
          <w:sz w:val="18"/>
          <w:szCs w:val="18"/>
          <w:color w:val="auto"/>
        </w:rPr>
        <w:t>In October 2015, the Company signed a long-term supply agreement with Matricel GmbH for the ACI-Maix collagen membrane used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of MACI™. Matricel supplied ACI-Maix membranes used in the production of MACI when it was previously marketed outside the U.S. by Genzyme Corporation, a Sanofi company. Under the agreement, the Company</w:t>
      </w:r>
    </w:p>
    <w:p>
      <w:pPr>
        <w:sectPr>
          <w:pgSz w:w="11900" w:h="16838" w:orient="portrait"/>
          <w:cols w:equalWidth="0" w:num="1">
            <w:col w:w="11420"/>
          </w:cols>
          <w:pgMar w:left="240" w:top="125" w:right="239" w:bottom="744"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744"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has committed to purchase annually approximately $0.6 million per year. The agreement is effective until December 31, 2022 and contains a 5-year renewal option by the Company and an additional 5-year automatic renewal, unless otherwise terminated.</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Manufacture, Supply and Other Agreements — </w:t>
      </w:r>
      <w:r>
        <w:rPr>
          <w:rFonts w:ascii="Arial" w:cs="Arial" w:eastAsia="Arial" w:hAnsi="Arial"/>
          <w:sz w:val="18"/>
          <w:szCs w:val="18"/>
          <w:color w:val="auto"/>
        </w:rPr>
        <w:t>The Company has entered into various agreements relating to the manufacture of its products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of certain components. If the manufacturing or supply agreements expire or are otherwise terminated, the Company may not be able to identify and obtain ancillary materials that are necessary to develop its product and such expiration and termination could have a material effect on the Company’s business.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The Company leases facilities in Ann Arbor, Michigan and Cambridge, Massachusetts. In March 2016, the Company amended its current lease in Cambridge to extend the terms until February 2022. Under the amendment, the landlord will contribute approximately $2.0 million toward the cost of tenant improvements. The </w:t>
      </w:r>
      <w:r>
        <w:rPr>
          <w:rFonts w:ascii="Arial" w:cs="Arial" w:eastAsia="Arial" w:hAnsi="Arial"/>
          <w:sz w:val="18"/>
          <w:szCs w:val="18"/>
          <w:color w:val="222222"/>
        </w:rPr>
        <w:t>contribution toward the cost of tenant improvements is recorded as deferred rent on the Company's consolidated balance sheet and is</w:t>
      </w:r>
      <w:r>
        <w:rPr>
          <w:rFonts w:ascii="Arial" w:cs="Arial" w:eastAsia="Arial" w:hAnsi="Arial"/>
          <w:sz w:val="18"/>
          <w:szCs w:val="18"/>
          <w:color w:val="auto"/>
        </w:rPr>
        <w:t xml:space="preserve"> </w:t>
      </w:r>
      <w:r>
        <w:rPr>
          <w:rFonts w:ascii="Arial" w:cs="Arial" w:eastAsia="Arial" w:hAnsi="Arial"/>
          <w:sz w:val="18"/>
          <w:szCs w:val="18"/>
          <w:color w:val="222222"/>
        </w:rPr>
        <w:t xml:space="preserve">amortized to our consolidated statement of operations as reductions to rent expense over the lease term. As of </w:t>
      </w:r>
      <w:r>
        <w:rPr>
          <w:rFonts w:ascii="Arial" w:cs="Arial" w:eastAsia="Arial" w:hAnsi="Arial"/>
          <w:sz w:val="18"/>
          <w:szCs w:val="18"/>
          <w:color w:val="000000"/>
        </w:rPr>
        <w:t>December 31, 2016</w:t>
      </w:r>
      <w:r>
        <w:rPr>
          <w:rFonts w:ascii="Arial" w:cs="Arial" w:eastAsia="Arial" w:hAnsi="Arial"/>
          <w:sz w:val="18"/>
          <w:szCs w:val="18"/>
          <w:color w:val="222222"/>
        </w:rPr>
        <w:t xml:space="preserve">, the Company has recorded a tenant improvement of $0.9 million. </w:t>
      </w:r>
      <w:r>
        <w:rPr>
          <w:rFonts w:ascii="Arial" w:cs="Arial" w:eastAsia="Arial" w:hAnsi="Arial"/>
          <w:sz w:val="18"/>
          <w:szCs w:val="18"/>
          <w:color w:val="000000"/>
        </w:rPr>
        <w:t>In addition to the property leases, the Company also leases an offsite warehouse, various vehicles and computer</w:t>
      </w:r>
      <w:r>
        <w:rPr>
          <w:rFonts w:ascii="Arial" w:cs="Arial" w:eastAsia="Arial" w:hAnsi="Arial"/>
          <w:sz w:val="18"/>
          <w:szCs w:val="18"/>
          <w:color w:val="222222"/>
        </w:rPr>
        <w:t xml:space="preserve"> </w:t>
      </w:r>
      <w:r>
        <w:rPr>
          <w:rFonts w:ascii="Arial" w:cs="Arial" w:eastAsia="Arial" w:hAnsi="Arial"/>
          <w:sz w:val="18"/>
          <w:szCs w:val="18"/>
          <w:color w:val="000000"/>
        </w:rPr>
        <w:t>equipment.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minimum payments related to Vericel’s operating and capital leases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57"/>
              <w:spacing w:after="0"/>
              <w:rPr>
                <w:sz w:val="20"/>
                <w:szCs w:val="20"/>
                <w:color w:val="auto"/>
              </w:rPr>
            </w:pPr>
            <w:r>
              <w:rPr>
                <w:rFonts w:ascii="Arial" w:cs="Arial" w:eastAsia="Arial" w:hAnsi="Arial"/>
                <w:sz w:val="14"/>
                <w:szCs w:val="14"/>
                <w:b w:val="1"/>
                <w:bCs w:val="1"/>
                <w:color w:val="auto"/>
              </w:rPr>
              <w:t>More than</w:t>
            </w:r>
          </w:p>
        </w:tc>
      </w:tr>
      <w:tr>
        <w:trPr>
          <w:trHeight w:val="22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5 Years</w:t>
            </w: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761</w:t>
            </w: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600</w:t>
            </w: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37"/>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5,753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1,361</w:t>
            </w: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Rent expense for the years ended December 31, 2016, 2015 and 2014, was $4.8 million, $4.9 million and $2.5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10, 2017, the Company sent notice to Eastern Capital Limited (Eastern), an existing holder of shares of the Company’s Series B-1 Non-Voting Convertible Preferred Stock or Series B-2 Voting Convertible Preferred Stock (Preferred Stock), informing Eastern of the Company's election to convert all 12,308 of the outstanding shares of Preferred Stock held by Eastern, plus 9,570 shares of Preferred Stock in accumulated but undeclared dividends thereon, into 1,093,892 shares of the Company's common stock pursuant to the terms of the Amended and Restated Certificate of Designations, Preferences and Rights of Series B-1 Non-Voting Preferred Stock and Series B-2 Voting Preferred Stock of the Company (Mandatory Conversion). After the Mandatory Conversion on March 9, 2017, no shares of Preferred Stock of the Company will remain outstanding.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Supplementary Quarterly Financial Information (unaudited)</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Quarterly earnings per share amounts may not sum to the totals for each of the years, since quarterly computations are based on weighted average common shares outstanding during each quarter.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First Quarter</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Second Quarter</w:t>
            </w: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Third Quarter</w:t>
            </w: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Fourth Quarter</w:t>
            </w: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Year</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14,108</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12,823</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10,929</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16,523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54,383</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(19,245)</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10,849</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11,309</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15,420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51,168</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(16,671)</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none to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13a-15(e) and 15d-15(e) under the Exchange Act. Based on the evaluation as of December 31, 2016, our Certifying Officers concluded that the Company’s disclosure controls and procedures were effective.</w:t>
      </w:r>
    </w:p>
    <w:p>
      <w:pPr>
        <w:spacing w:after="0" w:line="18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financial statements for external purposes in accordance with generally accepted accounting principles. Management evaluated the effectiveness of our internal control over financial reporting using the criteria set forth by the Committee of Sponsoring Organizations of the Treadway Commission (COSO)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 </w:t>
      </w:r>
      <w:r>
        <w:rPr>
          <w:rFonts w:ascii="Arial" w:cs="Arial" w:eastAsia="Arial" w:hAnsi="Arial"/>
          <w:sz w:val="17"/>
          <w:szCs w:val="17"/>
          <w:i w:val="1"/>
          <w:iCs w:val="1"/>
          <w:color w:val="auto"/>
        </w:rPr>
        <w:t>Integrated Framework</w:t>
      </w:r>
      <w:r>
        <w:rPr>
          <w:rFonts w:ascii="Arial" w:cs="Arial" w:eastAsia="Arial" w:hAnsi="Arial"/>
          <w:sz w:val="17"/>
          <w:szCs w:val="17"/>
          <w:color w:val="auto"/>
        </w:rPr>
        <w:t xml:space="preserve"> (2013). Management concluded our internal control over financial reporting was effective as of December 31, 2016.</w:t>
      </w:r>
    </w:p>
    <w:p>
      <w:pPr>
        <w:spacing w:after="0" w:line="178"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2016 has been audited by PricewaterhouseCoopers LLP, an independent registered public accounting firm, as stated in their report which appears in Item 8 of this form 10-K.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Remediation of Material Weakness</w:t>
      </w:r>
    </w:p>
    <w:p>
      <w:pPr>
        <w:spacing w:after="0" w:line="310"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Management, with the input, oversight and support of our audit committee, has completed the following steps, which assisted us in remediating the material weakness in our internal control over financial reporting described in our Annual Report on Form 10-K for the year ended December 31, 2015, filed with the SEC on March 25, 2015.</w:t>
      </w:r>
    </w:p>
    <w:p>
      <w:pPr>
        <w:spacing w:after="0" w:line="181" w:lineRule="exact"/>
        <w:rPr>
          <w:sz w:val="20"/>
          <w:szCs w:val="20"/>
          <w:color w:val="auto"/>
        </w:rPr>
      </w:pPr>
    </w:p>
    <w:p>
      <w:pPr>
        <w:ind w:left="980" w:hanging="324"/>
        <w:spacing w:after="0" w:line="264" w:lineRule="auto"/>
        <w:tabs>
          <w:tab w:leader="none" w:pos="8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removed the inappropriate permissions. Information Technology staff responsible for the maintenance of Active Directory Group assignments made changes to the Controller’s permissions and by January 21, 2016, the Controller’s permissions were corrected to remove the incompatible access.</w:t>
      </w:r>
    </w:p>
    <w:p>
      <w:pPr>
        <w:spacing w:after="0" w:line="181"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Enabled a reporting functionality that provided an audit trail for journal entries, module access and other relevant user actions. The audit trail includes a new report which captures journal entries that originate in the general ledger together with the user that initiated each journal entry, the user that changed each journal entry, and the user that posted each journal entry in the ERP to monitor appropriate segregation of duties. An additional new report is generated and used as an audit trail to list all user access changes and new user provisioning to identify, monitor and review, and approve changes to any user’s access within Great Plains.</w:t>
      </w:r>
    </w:p>
    <w:p>
      <w:pPr>
        <w:spacing w:after="0" w:line="188" w:lineRule="exact"/>
        <w:rPr>
          <w:rFonts w:ascii="Arial" w:cs="Arial" w:eastAsia="Arial" w:hAnsi="Arial"/>
          <w:sz w:val="18"/>
          <w:szCs w:val="18"/>
          <w:color w:val="auto"/>
        </w:rPr>
      </w:pPr>
    </w:p>
    <w:p>
      <w:pPr>
        <w:ind w:left="980" w:hanging="324"/>
        <w:spacing w:after="0" w:line="277" w:lineRule="auto"/>
        <w:tabs>
          <w:tab w:leader="none" w:pos="10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remaining conflicts and permissions and documented the appropriate control that effectively mitigates the risk associated with the conflicts and/or permissions.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fourth quarter of 2016, we completed our remediation activities by testing the design and operating effectiveness of the enhanced and newly implemented controls and found them to be effective. As a result, we have concluded that the material weakness related to the design of controls to mitigate segregation of duties conflicts in our financial management/ERP software have been remediated as of December 31,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quarter ended December 31, 2016, there were no material changes made in our internal control over financial reporting (as such term is defined in Rules 13a-15(f) and 15d-15(f) of the Exchange Act).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8, 2016, we entered into amendments to our 2005 and 2008 lease agreements for our Cambridge, Massachusetts headquarters. The amendment to the 2008 lease agreement provides for an additional 306 rentable square feet of space, extends the term of the lease for an additional five years through February 28, 2022, and gives us an option to extend the term for one additional period of five years. In addition, the amendment provides us with a right of first offer to rent an additional 12,795 rentable square feet of space, subject to availability and the satisfaction of certain other conditions specified in the amendment. The annual lease rate will range from $71 per rentable square foot commencing on March 1, 2017 to $79.91 per rentable square foot for the period commencing on March 1, 2021. In addition, the landlord has agreed to provide us a leasehold improvement allowance under this lease agreement of $0.4 million.</w:t>
      </w:r>
    </w:p>
    <w:p>
      <w:pPr>
        <w:spacing w:after="0" w:line="18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amendment to the 2005 lease agreement also extends the term of our lease through February 28, 2022, and provides us with an option to the extend the term for one additional period of five years. Similar to the amendment to the 2008 lease agreement, the annual lease rate will range from $71 per rentable square foot commencing on March 1, 2017 to $79.91 per rentable square foot for the period commencing on March 1, 2021. In addition, the landlord has agreed to provide us a leasehold improvement allowance under this lease agreement of $1.6 million.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by reference to our definitive Proxy Statement to be filed with the Securities and Exchange Commission pursuant to Regulation 14A in connection with our 2017 Annual Meeting of Shareholders scheduled for May 3,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information relating to our directors is incorporated by reference to the Proxy Statement as set forth under the caption “Election of Directors.” Information relating to our executive officers is set forth in Part I of this Report under the caption “Executive Officers.”</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Information with respect to delinquent filings pursuant to Item 405 of Regulation S-K is incorporated by reference to the Proxy Statement as set forth under the caption “Section 16(a) Beneficial Ownership Reporting Compliance.”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color w:val="auto"/>
        </w:rPr>
        <w:t>The information relating to executive compensation is incorporated by reference to the Proxy Statement under the caption “Executive Compensation and Related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information relating to ownership of our equity securities by certain beneficial owners and management is incorporated by reference to the Proxy Statement as set forth under the caption “Stock Ownership of Certain Beneficial Owners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information relating to certain relationships and related person transactions is incorporated by reference to the Proxy Statement under the caption “Certain Relationships and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information relating to principal accountant fees and services is incorporated by reference to the Proxy Statement under the caption “Ratification of Appointment of Independent Registered Public Accounting Firm.”</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11" w:lineRule="exact"/>
        <w:rPr>
          <w:sz w:val="20"/>
          <w:szCs w:val="20"/>
          <w:color w:val="auto"/>
        </w:rPr>
      </w:pPr>
    </w:p>
    <w:p>
      <w:pPr>
        <w:ind w:left="500" w:hanging="249"/>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840" w:hanging="170"/>
        <w:spacing w:after="0"/>
        <w:tabs>
          <w:tab w:leader="none" w:pos="8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 (see Item 8).</w:t>
      </w:r>
    </w:p>
    <w:p>
      <w:pPr>
        <w:spacing w:after="0" w:line="23" w:lineRule="exact"/>
        <w:rPr>
          <w:rFonts w:ascii="Arial" w:cs="Arial" w:eastAsia="Arial" w:hAnsi="Arial"/>
          <w:sz w:val="18"/>
          <w:szCs w:val="18"/>
          <w:color w:val="auto"/>
        </w:rPr>
      </w:pPr>
    </w:p>
    <w:p>
      <w:pPr>
        <w:ind w:left="840" w:hanging="170"/>
        <w:spacing w:after="0"/>
        <w:tabs>
          <w:tab w:leader="none" w:pos="8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information is included in the Financial Statements or Notes thereto.</w:t>
      </w:r>
    </w:p>
    <w:p>
      <w:pPr>
        <w:spacing w:after="0" w:line="9" w:lineRule="exact"/>
        <w:rPr>
          <w:rFonts w:ascii="Arial" w:cs="Arial" w:eastAsia="Arial" w:hAnsi="Arial"/>
          <w:sz w:val="18"/>
          <w:szCs w:val="18"/>
          <w:color w:val="auto"/>
        </w:rPr>
      </w:pPr>
    </w:p>
    <w:p>
      <w:pPr>
        <w:ind w:left="840" w:hanging="170"/>
        <w:spacing w:after="0"/>
        <w:tabs>
          <w:tab w:leader="none" w:pos="8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Annual Report on Form 10-K does not include a summary.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13, 2017</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3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280" w:firstLine="35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on behalf of the registrant on March 13, 2017 by the following persons in the capacities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13"/>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DOMINICK C. COLANGELO</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Dominick C. Colangelo</w:t>
            </w:r>
          </w:p>
        </w:tc>
        <w:tc>
          <w:tcPr>
            <w:tcW w:w="46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GERARD J. MICHEL</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 and Vice President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1"/>
              </w:rPr>
              <w:t>of Corporate Development</w:t>
            </w: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Gerard J. Michel</w:t>
            </w:r>
          </w:p>
        </w:tc>
        <w:tc>
          <w:tcPr>
            <w:tcW w:w="46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3"/>
              </w:rPr>
              <w:t>/s/ ROBERT L. ZERBE, M.D.</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3"/>
              </w:rPr>
              <w:t>Robert L. Zerbe, M.D.</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ALAN L. RUBINO</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6"/>
              </w:rPr>
              <w:t>Alan L. Rubino</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HEIDI M. HAGEN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Heidi M. Hagen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STEVEN C. GILMAN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Steven C. Gilman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KEVIN F. MCLAUGHLIN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4"/>
              </w:rPr>
              <w:t>Kevin F. McLaughlin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PAUL K. WOTTON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1"/>
              </w:rPr>
              <w:t>Paul K. Wotton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95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498"/>
        </w:trPr>
        <w:tc>
          <w:tcPr>
            <w:tcW w:w="138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95"/>
              </w:rPr>
              <w:t>3.1</w:t>
            </w:r>
          </w:p>
        </w:tc>
        <w:tc>
          <w:tcPr>
            <w:tcW w:w="4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Restated Articles of Incorporation of the Company, filed as Exhibit 4.1 to the Company’s Current Report on Form 8-K filed on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December 17, 2009,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Certificate of Amendment to Restated Articles of Incorporation of the Company dated February 9, 2010, filed as Exhibit 3.2 to the</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Company’s Post-Effective Amendment No. 1 to Form S-1 filed on March 31, 2010,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3.3</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Certificate of Amendment to Restated Articles of Incorporation of the Company dated March 22, 2011, attached as Exhibit 3.1 to</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the Company’s Current Report on Form 8-K filed on March 25, 2011,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3.4</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Certificate of Amendment to the Restated Articles of Incorporation of the Company, dated November 21, 2014, attached as</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Vericel’s Current Report on Form 8-K filed on November 24, 2014,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Certificate of Designations, Preferences and Rights and Limitations of Series A Convertible Preferred Stock (incorporated herein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by reference as Exhibit 3.7 to the Company's Annual Report on Form 10-K, filed March 14, 2016).</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3.8</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8"/>
              </w:rPr>
              <w:t>Bylaws, as amended, attached as Exhibit 3.1 to the Company’s Current Report on Form 8-K filed on November 12, 2010,</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Form of Senior Indenture for Senior Debt Securities, filed as Exhibit 4.1 to the Company’s Registration Statement on Form S-3</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filed on June 29, 2015 and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4.2</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Form of Indenture for Subordinated Debt Securities, filed as Exhibit 4.3 to the Company’s Registration Statement on Form S-3</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filed on June 29, 2015 and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4.3</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Shareholder Rights Agreement, dated as of August 11, 2011, between the Company and Continental Stock Transfer &amp; Trust</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Company, as Rights Agent, attached as Exhibit 4.3 to the Company’s Current Report on Form 8-A filed on August 12, 2011,</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4.4</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0"/>
              </w:rPr>
              <w:t>Amendment to Shareholder Rights Agreement, dated as of March 9, 2012, between the Company and Continental Stock Transfer &amp;</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Trust Company, as Rights Agent, attached as Exhibit 4.1 to the Company’s Current Report on Form 8-K filed on March 9, 2012,</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10.1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Form of Indemnification Agreement, attached as Exhibit 10.1 to the Company’s Registration Statement on Form S-1 (No. 333-</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15415), filed on November 1, 1996,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1"/>
              </w:rPr>
              <w:t>10.3</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License Agreement, dated March 13, 1992, between the Company and the University of Michigan and amendments thereto dated</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March 13, 1992, October 8, 1993 and June 21, 1995, attached as Exhibit 10.17 to the Company’s Registration Statement on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Form S-1 (No. 333-15415), filed on November 1, 1996,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10.4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2004 Equity Incentive Plan, attached as Exhibit 10.82 to Amendment No. 1 to the Company’s Quarterly Report on Form 10-Q/A</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for the quarter ended September 30, 2004, incorporated herein by reference.</w:t>
            </w:r>
          </w:p>
        </w:tc>
      </w:tr>
      <w:tr>
        <w:trPr>
          <w:trHeight w:val="756"/>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95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38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87"/>
              </w:rPr>
              <w:t>10.5 #</w:t>
            </w:r>
          </w:p>
        </w:tc>
        <w:tc>
          <w:tcPr>
            <w:tcW w:w="460" w:type="dxa"/>
            <w:vAlign w:val="bottom"/>
          </w:tcPr>
          <w:p>
            <w:pPr>
              <w:spacing w:after="0"/>
              <w:rPr>
                <w:sz w:val="19"/>
                <w:szCs w:val="19"/>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Form of Option and Restricted Stock Award Agreements for Grants under 2004 Equity Incentive Plan, attached as Exhibit 10.84 to</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the Company’s Annual Report on Form 10-K for the year ended June 30, 2005,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1"/>
              </w:rPr>
              <w:t>10.6</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Amendment dated December 5, 2002 to License Agreement with the University of Michigan, attached as Exhibit 10.87 to the</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Company’s Annual Report on Form 10-K for the year ended June 30, 2005,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10.7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9"/>
              </w:rPr>
              <w:t>2004 Equity Incentive Plan, as amended, attached as Exhibit 99.1 to the Company’s Current Report on Form 8-K filed on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November 8, 2006,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10.8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Forms of Grant Notice and Stock Option Agreement for Grants under 2004 Equity Incentive Plan, as amended, attached as</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9"/>
              </w:rPr>
              <w:t>Exhibit 99.2 to the Company’s Current Report on Form 8-K filed on November 8, 2006,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1"/>
              </w:rPr>
              <w:t>10.9</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Form of Purchase Agreement, attached as Exhibit 10.3 to the Company’s Current Report on Form 8-K filed on October 16, 2007,</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10.10</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Form of Warrant, attached as Exhibit 10.4 to the Company’s Current Report on Form 8-K filed on October 16, 2007, incorporated</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0"/>
              </w:rPr>
              <w:t>Standard Lease between the Company and Domino’s Farms Office Park, L.L.C. dated January 31, 2007, as amended, (incorporated</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by reference to Exhibit 10.1 to the Company's Current Report on Form 8-K filed with the SEC on April 9, 2013).</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10.12</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Class A Warrant Agreement, dated as of January 21, 2010, by and between the Registrant and Continental Stock Transfer &amp; Trust</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Company (incorporated herein by reference to Exhibit 4.1 to the Company’s Current Report on Form 8-K filed with the SEC on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January 27, 2010).</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10.13</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Class B Warrant Agreement, dated as of January 21, 2010, by and between the Registrant and Continental Stock Transfer &amp; Trust</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Company (incorporated herein by reference to Exhibit 4.2 to the Company’s Current Report on Form 8-K filed with the SEC on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January 27, 2010).</w:t>
            </w:r>
          </w:p>
        </w:tc>
      </w:tr>
      <w:tr>
        <w:trPr>
          <w:trHeight w:val="526"/>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10.14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Form of Indemnification Agreement entered into between the Company and each of its directors, attached as Exhibit 10.1 to the</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Company’s Current Report on Form 8-K filed on August 31, 2010,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10.15</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Amended Code of Business Conduct and Ethics, attached as Exhibit 14.1 to the Company’s Current Report on Form 8-K filed on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August 31, 2010, incorporated herein by reference.</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10.16</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Warrant agreement, dated as of December 15, 2010, by and between the Registrant and Continental Stock Transfer &amp; Trust</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Company (incorporated herein by reference to Exhibit 4.1 to the Company’s Current Report on Form 8-K filed with the SEC on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December 16, 2010).</w:t>
            </w:r>
          </w:p>
        </w:tc>
      </w:tr>
      <w:tr>
        <w:trPr>
          <w:trHeight w:val="526"/>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10.17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Senior Executive Incentive Bonus Plan (incorporated herein by reference to Exhibit 10.3 to the Company’s Current Report on</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Form 8-K, filed on March 25, 2011).</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10.18</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0"/>
              </w:rPr>
              <w:t>Master Services Agreement by and between the Company and PPD, made and entered into as of September 23, 2011 (the “Master</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Services Agreement”) (incorporated herein by reference to Exhibit 10.28 to the Company’s Annual Report on Form 10-K for the</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year ended December 31, 2012).</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10.19</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Project Addendum to the Master Services Agreement, dated as of November 16, 2011 (incorporated herein by reference to</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10.2 to the Company’s Current Report on Form 8-K filed with the SEC November 22, 2011).</w:t>
            </w:r>
          </w:p>
        </w:tc>
      </w:tr>
      <w:tr>
        <w:trPr>
          <w:trHeight w:val="486"/>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95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498"/>
        </w:trPr>
        <w:tc>
          <w:tcPr>
            <w:tcW w:w="138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88"/>
              </w:rPr>
              <w:t>10.20</w:t>
            </w:r>
          </w:p>
        </w:tc>
        <w:tc>
          <w:tcPr>
            <w:tcW w:w="4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Registration Rights Agreement, dated March 9, 2012, between the Company and Eastern Capital Limited, attached as Exhibit 10.2</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to the Company’s Current Report on Form 8-K filed on March 9, 2012, incorporated herein by reference.</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Securities Purchase Agreement, dated as of March 9, 2012, by and between the Company and Eastern Capital Limited</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(incorporated herein by reference to Exhibit 10.1 to the Company’s Current Report on Form 8-K filed with the SEC on March 9,</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2012).</w:t>
            </w:r>
          </w:p>
        </w:tc>
      </w:tr>
      <w:tr>
        <w:trPr>
          <w:trHeight w:val="526"/>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10.22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Employment Agreement, dated as of April 3, 2013, by and between the Company and Daniel R. Orlando (incorporated herein by</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reference to Exhibit 10.2 to the Company’s Current Report on Form 8-K filed on April 9, 2013).</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10.23</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Form of Warrant Exchange Agreement, dated June 27, 2012 (incorporated herein by reference to Exhibit 10.1 to the Company’s</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Report on Form 8-K, filed on June 27, 2012).</w:t>
            </w:r>
          </w:p>
        </w:tc>
      </w:tr>
      <w:tr>
        <w:trPr>
          <w:trHeight w:val="526"/>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10.24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Executive Employment Agreement, executed March 4, 2013 and effective March 1, 2013, by and between the Company and</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Dominick C. Colangelo (incorporated herein by reference to Exhibit 10.1 to the Company’s Report on Form 8-K, filed on March 9,</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10.25</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Form of Warrant Exercise Agreement, dated September 24, 2013 (incorporated herein by reference to Exhibit 10 to the Company’s</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Report on Form 8-K, filed on September 27, 2013).</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10.26</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Purchase Agreement, dated as of January 21, 2014, by and between the Company and Lincoln Park Capital Fund, LLC</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(incorporated herein by reference to Exhibit 10.1 to the Company’s Current Report on Form 8-K filed on January 27, 2014).</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10.27</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Registration Rights Agreement, dated as of January 21, 2014, by and between the Company and Lincoln Park Capital Fund, LLC</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(incorporated herein by reference to Exhibit 10.2 to the Company’s Current Report on Form 8-K filed on January 27, 2014).</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10.28</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Asset Purchase Agreement, dated as of April 19, 2014, by and between the Company and Sanofi (incorporated herein by reference</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to Exhibit 2.1 to the Company’s Current Report on Form 8-K filed on June 2, 2014).</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10.29</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Transition Services Agreement, dated as of May 30, 2014, by and between the Company and Genzyme Corporation, as amended</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8"/>
              </w:rPr>
              <w:t>(incorporated herein by reference as Exhibit 10.46 to the Company's Annual Report on Form 10-K, filed March 14, 2016).</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10.30</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Transition Supply Agreement, dated as of May 30, 2014, by and between the Company and Genzyme Corporation, as amended</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8"/>
              </w:rPr>
              <w:t>(incorporated herein by reference as Exhibit 10.46 to the Company's Annual Report on Form 10-K, filed March 14, 2016).</w:t>
            </w:r>
          </w:p>
        </w:tc>
      </w:tr>
      <w:tr>
        <w:trPr>
          <w:trHeight w:val="526"/>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Form of Warrant Exercise Agreement, dated July 9, 2014 (incorporated herein by reference to Exhibit 10 to the Company’s Report</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on Form 8-K, filed on July 11, 2014).</w:t>
            </w:r>
          </w:p>
        </w:tc>
      </w:tr>
      <w:tr>
        <w:trPr>
          <w:trHeight w:val="553"/>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10.32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Employment Agreement, dated September 25, 2014, by and between the Company and David Recker (incorporated herein by</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reference to Exhibit 10.2 to the Company’s Current Report on Form 8-K filed on September 25, 2014).</w:t>
            </w:r>
          </w:p>
        </w:tc>
      </w:tr>
      <w:tr>
        <w:trPr>
          <w:trHeight w:val="526"/>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10.33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Second Amended and Restated 2009 Omnibus Incentive Plan (previously filed as Appendix II to the Company’s definitive proxy</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statement on Schedule 14A, filed on October 21, 2014 and incorporated herein by reference).</w:t>
            </w:r>
          </w:p>
        </w:tc>
      </w:tr>
      <w:tr>
        <w:trPr>
          <w:trHeight w:val="756"/>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95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380" w:type="dxa"/>
            <w:vAlign w:val="bottom"/>
            <w:tcBorders>
              <w:top w:val="single" w:sz="8" w:color="auto"/>
            </w:tcBorders>
          </w:tcPr>
          <w:p>
            <w:pPr>
              <w:jc w:val="center"/>
              <w:ind w:left="151"/>
              <w:spacing w:after="0"/>
              <w:rPr>
                <w:sz w:val="20"/>
                <w:szCs w:val="20"/>
                <w:color w:val="auto"/>
              </w:rPr>
            </w:pPr>
            <w:r>
              <w:rPr>
                <w:rFonts w:ascii="Arial" w:cs="Arial" w:eastAsia="Arial" w:hAnsi="Arial"/>
                <w:sz w:val="18"/>
                <w:szCs w:val="18"/>
                <w:color w:val="auto"/>
                <w:w w:val="89"/>
              </w:rPr>
              <w:t>10.34 #</w:t>
            </w:r>
          </w:p>
        </w:tc>
        <w:tc>
          <w:tcPr>
            <w:tcW w:w="460" w:type="dxa"/>
            <w:vAlign w:val="bottom"/>
          </w:tcPr>
          <w:p>
            <w:pPr>
              <w:spacing w:after="0"/>
              <w:rPr>
                <w:sz w:val="19"/>
                <w:szCs w:val="19"/>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Employment Agreement, dated November 6, 2014, by and between the Company and Gerard Michel (incorporated herein by</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reference to Exhibit 10.1 to the Company’s Current Report on Form 8-K filed on November 12, 2014).</w:t>
            </w:r>
          </w:p>
        </w:tc>
      </w:tr>
      <w:tr>
        <w:trPr>
          <w:trHeight w:val="540"/>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10.35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Amended and Restated Non-employee Director Compensation Guidelines.</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10.36</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0"/>
              </w:rPr>
              <w:t>Securities Exchange Agreement, dated December 18, 2015, by and between the Company and Stonepine Capital, LP (incorporated</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herein by reference to Exhibit 10.1 to the Company’s Current Report on Form 8-K filed on December 18, 2015).</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10.37</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8"/>
              </w:rPr>
              <w:t>Lease Agreement, dated November 30, 2005, by and between the Company and Up 64 Sidney Street, LLC, as amended</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8"/>
              </w:rPr>
              <w:t>(incorporated herein by reference as Exhibit 10.46 to the Company's Annual Report on Form 10-K, filed March 14, 2016).</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10.38</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0"/>
              </w:rPr>
              <w:t>Lease Agreement, dated January 23, 2008, by and between the Company and Up 64 Sidney Street, LLC, as amended (incorporated</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herein by reference as Exhibit 10.46 to the Company's Annual Report on Form 10-K, filed March 14, 2016).</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2"/>
              </w:rPr>
              <w:t>10.39*</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ACI-Maix Supply Agreement, dated October 20, 2015, by and between the Company and Matricel GmbH (incorporated herein by</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reference to Exhibit 10.1 to the Company’s Quarterly Report on Form 10-Q for the quarterly period ended September 30, 2015 filed</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on November 11, 2015).</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10.40</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Vericel Corporation 2015 Employee Stock Purchase Plan (incorporated herein by reference to Appendix I of the Company’s Proxy</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Statement on Schedule 14A for the fiscal year ended December 31, 2014, filed on March 25, 2015).</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Third Amendment to Standard Lease between the Company and Domino's Farms Office Park, L.L.C., dated March 2, 2015</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8"/>
              </w:rPr>
              <w:t>(incorporated herein by reference as Exhibit 10.63 to the Company's Annual Report on Form 10-K, filed March 14, 2016).</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10.42</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Loan and Security Agreement, dated March 8, 2016 between the Company, as borrower, and Silicon Valley Bank, as lender</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(incorporated herein by reference to Exhibit 10.1 of the Company’s Current Report on Form 8-K filed with the SEC on March 9,</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2016).</w:t>
            </w:r>
          </w:p>
        </w:tc>
      </w:tr>
      <w:tr>
        <w:trPr>
          <w:trHeight w:val="553"/>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10.43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Services Agreement, dated April 5, 2016 between the Company and Dohmen Life Science Services, LLC (incorporated herein by</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reference to Exhibit 10.2 of the Company’s Quarterly Report on Form 10-Q filed with the SEC on May 10, 2016).</w:t>
            </w:r>
          </w:p>
        </w:tc>
      </w:tr>
      <w:tr>
        <w:trPr>
          <w:trHeight w:val="553"/>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10.44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Amended and Restated Contract Manufacturing and Supply Agreement, dated April 20, 2016 between the Company and Vention</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Medical Inc. (formerly ATEK Medical, LLC) (incorporated herein by reference to Exhibit 10.1 of the Company’s Quarterly Report</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on Form 10-Q filed with the SEC on August 8, 2016).</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10.45</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First Amendment to the Services Agreement, dated April 5, 2016 between the Company and Dohmen Life Science Services, LLC,</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dated May 31, 2016 (incorporated herein by reference to Exhibit 10.2 of the Company’s Quarterly Report on Form 10-Q filed with</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the SEC on August 8, 2016).</w:t>
            </w:r>
          </w:p>
        </w:tc>
      </w:tr>
      <w:tr>
        <w:trPr>
          <w:trHeight w:val="553"/>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10.46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Second Amendment to the Services Agreement, dated April 5, 2016 between the Company and Dohmen Life Science Services,</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LLC, dated July 1, 2016 (incorporated herein by reference to Exhibit 10.3 of the Company’s Quarterly Report on Form 10-Q filed</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with the SEC on August 8, 2016).</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10.47</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Seventh Amendment to Transition Services Agreement, dated as of May 28, 2016, by and between the Company and Genzyme</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Corporation (incorporated herein by reference to Exhibit 10.4 of the Company’s Quarterly Report on Form 10-Q filed with the SEC</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on August 8, 2016).</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95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38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88"/>
              </w:rPr>
              <w:t>10.48</w:t>
            </w:r>
          </w:p>
        </w:tc>
        <w:tc>
          <w:tcPr>
            <w:tcW w:w="460" w:type="dxa"/>
            <w:vAlign w:val="bottom"/>
          </w:tcPr>
          <w:p>
            <w:pPr>
              <w:spacing w:after="0"/>
              <w:rPr>
                <w:sz w:val="19"/>
                <w:szCs w:val="19"/>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Loan and Security Agreement, dated September 9, 2016, between the Company, as borrower, and Silicon Valley Bank, in its</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capacity as Administrative Agent, and Silicon Valley Bank, MidCap Financial Trust, MidCap Funding III Trust and other lenders</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listed therein as lenders (incorporated by reference to Exhibit 10.1 on Form 8-K/A filed December 30, 2016).</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10.49</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Form of Warrants issued by the Company to the Lenders (incorporated by reference to Exhibit 10.1 on Form 8-K filed September</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14, 2016).</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10.50</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Sales Agreement, dated October 10, 2016, among the Company and Cowen and Company, LLC (incorporated by reference to</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10.1 on Form 8-K filed October 11, 2016).</w:t>
            </w:r>
          </w:p>
        </w:tc>
      </w:tr>
      <w:tr>
        <w:trPr>
          <w:trHeight w:val="553"/>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10.51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Third Amendment to Services Agreement, dated October 12, 2016, by and between the Company and Dohmen Life Science</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Services, LLC (incorporated herein by reference to Exhibit 10.4 of the Company’s Quarterly Report on Form 10-Q filed with the</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SEC on November 7, 2016).</w:t>
            </w:r>
          </w:p>
        </w:tc>
      </w:tr>
      <w:tr>
        <w:trPr>
          <w:trHeight w:val="553"/>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10.52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Distribution and Services Agreement by and between Sartin’s Vital Care, Inc., d/b/a Sartin’s Vital Care, Burnham’s Vital Care,</w:t>
            </w: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L.L.C., d/b/a Burnham’s Vital Care, and Atticus Group, LLC, d/b/a Vital Care of Central Mississippi, Vital Care, Inc. and the</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Company, dated November 22, 2016 (incorporated by reference to Exhibit 10.1 on Form 8-K filed November 25, 2016).</w:t>
            </w:r>
          </w:p>
        </w:tc>
      </w:tr>
      <w:tr>
        <w:trPr>
          <w:trHeight w:val="553"/>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10.53 #</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Fourth Amendment, dated November 19, 2016 to Services Agreement by and between the Company and Dohmen Life Science</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Services, LLC, dated April 5, 2016, as amended (incorporated by reference to Exhibit 10.1 on Form 8-K filed November 25, 2016).</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10.54</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Purchase Agreement between the Company, Piper Jaffray &amp; Co., dated December 16, 2016 (incorporated by reference to Exhibit</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10.1 on Form 8-K filed December 12, 2016).</w:t>
            </w:r>
          </w:p>
        </w:tc>
      </w:tr>
      <w:tr>
        <w:trPr>
          <w:trHeight w:val="553"/>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10.55</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First Loan Modification Agreement, dated as of December 30, 2016, by and between the Company, Agent and Lenders</w:t>
            </w: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(incorporated by reference to Exhibit 10.1 on Form 8-K filed December 30, 2016).</w:t>
            </w:r>
          </w:p>
        </w:tc>
      </w:tr>
      <w:tr>
        <w:trPr>
          <w:trHeight w:val="56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21.1**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Subsidiaries of Registrant.</w:t>
            </w:r>
          </w:p>
        </w:tc>
      </w:tr>
      <w:tr>
        <w:trPr>
          <w:trHeight w:val="54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23.1**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54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31.1**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31.2**</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4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Certification of Chief Executive Officer and Chief Financial Officer pursuant to Section 906 of the Sarbanes-Oxley Act of 2002.</w:t>
            </w: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6"/>
                <w:szCs w:val="16"/>
                <w:color w:val="auto"/>
              </w:rPr>
            </w:pPr>
          </w:p>
        </w:tc>
        <w:tc>
          <w:tcPr>
            <w:tcW w:w="9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29"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covering executive officers or directors of Vericel.</w:t>
      </w:r>
    </w:p>
    <w:p>
      <w:pPr>
        <w:spacing w:after="0" w:line="50" w:lineRule="exact"/>
        <w:rPr>
          <w:sz w:val="20"/>
          <w:szCs w:val="20"/>
          <w:color w:val="auto"/>
        </w:rPr>
      </w:pPr>
    </w:p>
    <w:p>
      <w:pPr>
        <w:ind w:left="480" w:hanging="472"/>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Confidential treatment status has been granted as to certain portions thereto, which portions are omitted and filed separately with the Securities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38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Adverse Event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Autologous (Patient Specific)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 — Biologics License Application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 — Critical Limb Ischemia</w:t>
      </w:r>
    </w:p>
    <w:p>
      <w:pPr>
        <w:spacing w:after="0" w:line="279" w:lineRule="exact"/>
        <w:rPr>
          <w:sz w:val="20"/>
          <w:szCs w:val="20"/>
          <w:color w:val="auto"/>
        </w:rPr>
      </w:pPr>
    </w:p>
    <w:p>
      <w:pPr>
        <w:ind w:left="40" w:right="240"/>
        <w:spacing w:after="0" w:line="590" w:lineRule="auto"/>
        <w:rPr>
          <w:sz w:val="20"/>
          <w:szCs w:val="20"/>
          <w:color w:val="auto"/>
        </w:rPr>
      </w:pPr>
      <w:r>
        <w:rPr>
          <w:rFonts w:ascii="Arial" w:cs="Arial" w:eastAsia="Arial" w:hAnsi="Arial"/>
          <w:sz w:val="18"/>
          <w:szCs w:val="18"/>
          <w:color w:val="auto"/>
        </w:rPr>
        <w:t>CMC — Chemistry, Manufacturing, and Control Controlled Clinical Trial</w:t>
      </w:r>
    </w:p>
    <w:p>
      <w:pPr>
        <w:spacing w:after="0" w:line="171" w:lineRule="exact"/>
        <w:rPr>
          <w:sz w:val="20"/>
          <w:szCs w:val="20"/>
          <w:color w:val="auto"/>
        </w:rPr>
      </w:pPr>
    </w:p>
    <w:p>
      <w:pPr>
        <w:ind w:left="40" w:right="1280"/>
        <w:spacing w:after="0" w:line="634" w:lineRule="auto"/>
        <w:rPr>
          <w:sz w:val="20"/>
          <w:szCs w:val="20"/>
          <w:color w:val="auto"/>
        </w:rPr>
      </w:pPr>
      <w:r>
        <w:rPr>
          <w:rFonts w:ascii="Arial" w:cs="Arial" w:eastAsia="Arial" w:hAnsi="Arial"/>
          <w:sz w:val="16"/>
          <w:szCs w:val="16"/>
          <w:color w:val="auto"/>
        </w:rPr>
        <w:t>DCM — Dilated Cardiomyopathy Double-Blind Clinical Trial</w:t>
      </w:r>
    </w:p>
    <w:p>
      <w:pPr>
        <w:ind w:left="40"/>
        <w:spacing w:after="0"/>
        <w:rPr>
          <w:sz w:val="20"/>
          <w:szCs w:val="20"/>
          <w:color w:val="auto"/>
        </w:rPr>
      </w:pPr>
      <w:r>
        <w:rPr>
          <w:rFonts w:ascii="Arial" w:cs="Arial" w:eastAsia="Arial" w:hAnsi="Arial"/>
          <w:sz w:val="18"/>
          <w:szCs w:val="18"/>
          <w:color w:val="auto"/>
        </w:rPr>
        <w:t>FDA — Food &amp; Drug Administration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GMP — Good Manufacturing Practice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Hematopoietic Stem Cells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IMPACT-DCM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 — Investigational New Drug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Ischemia</w:t>
      </w:r>
    </w:p>
    <w:p>
      <w:pPr>
        <w:spacing w:after="0" w:line="279" w:lineRule="exact"/>
        <w:rPr>
          <w:sz w:val="20"/>
          <w:szCs w:val="20"/>
          <w:color w:val="auto"/>
        </w:rPr>
      </w:pPr>
    </w:p>
    <w:p>
      <w:pPr>
        <w:ind w:left="40" w:right="600"/>
        <w:spacing w:after="0" w:line="340" w:lineRule="auto"/>
        <w:rPr>
          <w:sz w:val="20"/>
          <w:szCs w:val="20"/>
          <w:color w:val="auto"/>
        </w:rPr>
      </w:pPr>
      <w:r>
        <w:rPr>
          <w:rFonts w:ascii="Arial" w:cs="Arial" w:eastAsia="Arial" w:hAnsi="Arial"/>
          <w:sz w:val="18"/>
          <w:szCs w:val="18"/>
          <w:color w:val="auto"/>
        </w:rPr>
        <w:t>LVEF — Left Ventricular Ejection Fraction Mesenchymal stromal cells</w:t>
      </w:r>
    </w:p>
    <w:p>
      <w:pPr>
        <w:spacing w:after="0" w:line="170" w:lineRule="exact"/>
        <w:rPr>
          <w:sz w:val="20"/>
          <w:szCs w:val="20"/>
          <w:color w:val="auto"/>
        </w:rPr>
      </w:pPr>
    </w:p>
    <w:p>
      <w:pPr>
        <w:ind w:left="40" w:right="1140"/>
        <w:spacing w:after="0" w:line="618" w:lineRule="auto"/>
        <w:rPr>
          <w:sz w:val="20"/>
          <w:szCs w:val="20"/>
          <w:color w:val="auto"/>
        </w:rPr>
      </w:pPr>
      <w:r>
        <w:rPr>
          <w:rFonts w:ascii="Arial" w:cs="Arial" w:eastAsia="Arial" w:hAnsi="Arial"/>
          <w:sz w:val="17"/>
          <w:szCs w:val="17"/>
          <w:color w:val="auto"/>
        </w:rPr>
        <w:t>M2 anti-inflammatory macrophages Open-label Clinical Trial Orphan Drug Designation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GLOSSARY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23495</wp:posOffset>
            </wp:positionV>
            <wp:extent cx="4416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Originating from the patient receiving treatment. (Vericel uses only autologous cells)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application containing product safety, efficacy and manufacturing information required by the FDA to market biologics products in the U.S.</w:t>
      </w:r>
    </w:p>
    <w:p>
      <w:pPr>
        <w:spacing w:after="0" w:line="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vascular disease characterized by insufficient blood flow in the lower extremities that causes severe pain, tissue loss or both.</w:t>
      </w:r>
    </w:p>
    <w:p>
      <w:pPr>
        <w:spacing w:after="0" w:line="8"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The composition, manufacture, and control of the drug substance and the drug product. It is information on the identification, quality, purity, and strength of the investigational product.</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clinical study that compares patients receiving a specific treatment to patients receiving an alternate treatment for the condition of interest. The alternate treatment may be another active treatment, standard of care for the condition and/or a placebo (inactive) treatment.</w:t>
      </w:r>
    </w:p>
    <w:p>
      <w:pPr>
        <w:spacing w:after="0" w:line="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chronic cardiac disease where expansion of the patient’s heart reduces the pumping function to a point that the normal circulation of blood cannot be maintained.</w:t>
      </w:r>
    </w:p>
    <w:p>
      <w:pPr>
        <w:spacing w:after="0" w:line="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Clinical trials in which neither the patient nor the physician know if the patient received the experimental treatment or a control/placebo.</w:t>
      </w:r>
    </w:p>
    <w:p>
      <w:pPr>
        <w:spacing w:after="0" w:line="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Stem cells that give rise to all the blood cell types including myeloid (monocytes and macrophages, neutrophils, basophils, eosinophils, erythrocytes, megakaryocytes/platelets, dendritic cells), and lymphoid lineages (T-cells, B-cells, NK-cells).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Vericel’s U.S. Phase 2 dilated cardiomyopathy clinical trial.</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application submitted to the FDA for a new drug or biologic that, if allowed, will be used in a clinical trial.</w:t>
      </w:r>
    </w:p>
    <w:p>
      <w:pPr>
        <w:spacing w:after="0" w:line="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shortage or inadequate flow of blood to a body part (commonly an organ or tissue) caused by a constriction or obstruction of the blood vessels supplying 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fraction of blood pumped out of the left ventricle with each heartbeat.</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Connective tissue cells that, in the case of bone marrow derived MSC, function to support blood forming cells and secrete anti-inflammatory factors.</w:t>
      </w:r>
    </w:p>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Specialized blood cells that remove damaged tissue and bacteria and secrete anti-inflammatory factors.</w:t>
      </w:r>
    </w:p>
    <w:p>
      <w:pPr>
        <w:spacing w:after="0" w:line="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trial in which both the treating physician and the patient know whether they are receiving the experimental treatment or control/placebo treatment.</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2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93</w:t>
      </w:r>
    </w:p>
    <w:p>
      <w:pPr>
        <w:sectPr>
          <w:pgSz w:w="11900" w:h="16838" w:orient="portrait"/>
          <w:cols w:equalWidth="0" w:num="2">
            <w:col w:w="3780" w:space="720"/>
            <w:col w:w="69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TERM</w:t>
            </w:r>
          </w:p>
        </w:tc>
        <w:tc>
          <w:tcPr>
            <w:tcW w:w="460" w:type="dxa"/>
            <w:vAlign w:val="bottom"/>
          </w:tcPr>
          <w:p>
            <w:pPr>
              <w:spacing w:after="0"/>
              <w:rPr>
                <w:sz w:val="16"/>
                <w:szCs w:val="16"/>
                <w:color w:val="auto"/>
              </w:rPr>
            </w:pPr>
          </w:p>
        </w:tc>
        <w:tc>
          <w:tcPr>
            <w:tcW w:w="696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DEFINITION</w:t>
            </w:r>
          </w:p>
        </w:tc>
      </w:tr>
      <w:tr>
        <w:trPr>
          <w:trHeight w:val="228"/>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Phase 1 Clinical Trial</w:t>
            </w:r>
          </w:p>
        </w:tc>
        <w:tc>
          <w:tcPr>
            <w:tcW w:w="6960" w:type="dxa"/>
            <w:vAlign w:val="bottom"/>
          </w:tcPr>
          <w:p>
            <w:pPr>
              <w:ind w:left="40"/>
              <w:spacing w:after="0"/>
              <w:rPr>
                <w:sz w:val="20"/>
                <w:szCs w:val="20"/>
                <w:color w:val="auto"/>
              </w:rPr>
            </w:pPr>
            <w:r>
              <w:rPr>
                <w:rFonts w:ascii="Arial" w:cs="Arial" w:eastAsia="Arial" w:hAnsi="Arial"/>
                <w:sz w:val="18"/>
                <w:szCs w:val="18"/>
                <w:color w:val="auto"/>
                <w:w w:val="90"/>
              </w:rPr>
              <w:t>A Phase 1 trial represents an initial study in a small group of patients to test for safety and other</w:t>
            </w:r>
          </w:p>
        </w:tc>
      </w:tr>
      <w:tr>
        <w:trPr>
          <w:trHeight w:val="230"/>
        </w:trPr>
        <w:tc>
          <w:tcPr>
            <w:tcW w:w="4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relevant factors.</w:t>
            </w:r>
          </w:p>
        </w:tc>
      </w:tr>
      <w:tr>
        <w:trPr>
          <w:trHeight w:val="256"/>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Phase 2 Clinical Trial</w:t>
            </w:r>
          </w:p>
        </w:tc>
        <w:tc>
          <w:tcPr>
            <w:tcW w:w="6960" w:type="dxa"/>
            <w:vAlign w:val="bottom"/>
          </w:tcPr>
          <w:p>
            <w:pPr>
              <w:ind w:left="40"/>
              <w:spacing w:after="0"/>
              <w:rPr>
                <w:sz w:val="20"/>
                <w:szCs w:val="20"/>
                <w:color w:val="auto"/>
              </w:rPr>
            </w:pPr>
            <w:r>
              <w:rPr>
                <w:rFonts w:ascii="Arial" w:cs="Arial" w:eastAsia="Arial" w:hAnsi="Arial"/>
                <w:sz w:val="18"/>
                <w:szCs w:val="18"/>
                <w:color w:val="auto"/>
                <w:w w:val="93"/>
              </w:rPr>
              <w:t>A Phase 2 trial represents a study in a moderate number of patients to assess the safety and</w:t>
            </w:r>
          </w:p>
        </w:tc>
      </w:tr>
      <w:tr>
        <w:trPr>
          <w:trHeight w:val="230"/>
        </w:trPr>
        <w:tc>
          <w:tcPr>
            <w:tcW w:w="4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efficacy of a product.</w:t>
            </w:r>
          </w:p>
        </w:tc>
      </w:tr>
      <w:tr>
        <w:trPr>
          <w:trHeight w:val="256"/>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Phase 2b Clinical Trial</w:t>
            </w:r>
          </w:p>
        </w:tc>
        <w:tc>
          <w:tcPr>
            <w:tcW w:w="6960" w:type="dxa"/>
            <w:vAlign w:val="bottom"/>
          </w:tcPr>
          <w:p>
            <w:pPr>
              <w:ind w:left="40"/>
              <w:spacing w:after="0"/>
              <w:rPr>
                <w:sz w:val="20"/>
                <w:szCs w:val="20"/>
                <w:color w:val="auto"/>
              </w:rPr>
            </w:pPr>
            <w:r>
              <w:rPr>
                <w:rFonts w:ascii="Arial" w:cs="Arial" w:eastAsia="Arial" w:hAnsi="Arial"/>
                <w:sz w:val="18"/>
                <w:szCs w:val="18"/>
                <w:color w:val="auto"/>
                <w:w w:val="89"/>
              </w:rPr>
              <w:t>A Phase 2b trial is a moderately-sized Phase 2 trial that is more specifically designed assess the</w:t>
            </w:r>
          </w:p>
        </w:tc>
      </w:tr>
      <w:tr>
        <w:trPr>
          <w:trHeight w:val="230"/>
        </w:trPr>
        <w:tc>
          <w:tcPr>
            <w:tcW w:w="4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efficacy of a product than a Phase 2a trial.</w:t>
            </w:r>
          </w:p>
        </w:tc>
      </w:tr>
      <w:tr>
        <w:trPr>
          <w:trHeight w:val="256"/>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Phase 3 Clinical Trial</w:t>
            </w:r>
          </w:p>
        </w:tc>
        <w:tc>
          <w:tcPr>
            <w:tcW w:w="6960" w:type="dxa"/>
            <w:vAlign w:val="bottom"/>
          </w:tcPr>
          <w:p>
            <w:pPr>
              <w:ind w:left="40"/>
              <w:spacing w:after="0"/>
              <w:rPr>
                <w:sz w:val="20"/>
                <w:szCs w:val="20"/>
                <w:color w:val="auto"/>
              </w:rPr>
            </w:pPr>
            <w:r>
              <w:rPr>
                <w:rFonts w:ascii="Arial" w:cs="Arial" w:eastAsia="Arial" w:hAnsi="Arial"/>
                <w:sz w:val="18"/>
                <w:szCs w:val="18"/>
                <w:color w:val="auto"/>
                <w:w w:val="91"/>
              </w:rPr>
              <w:t>Phase 3 studies are initiated to establish safety and efficacy in an expanded patient population</w:t>
            </w:r>
          </w:p>
        </w:tc>
      </w:tr>
      <w:tr>
        <w:trPr>
          <w:trHeight w:val="216"/>
        </w:trPr>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at multiple clinical trial sites and are generally larger than trials in earlier phases of</w:t>
            </w:r>
          </w:p>
        </w:tc>
      </w:tr>
      <w:tr>
        <w:trPr>
          <w:trHeight w:val="230"/>
        </w:trPr>
        <w:tc>
          <w:tcPr>
            <w:tcW w:w="4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development.</w:t>
            </w:r>
          </w:p>
        </w:tc>
      </w:tr>
      <w:tr>
        <w:trPr>
          <w:trHeight w:val="256"/>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Prospective Clinical Trial</w:t>
            </w:r>
          </w:p>
        </w:tc>
        <w:tc>
          <w:tcPr>
            <w:tcW w:w="6960" w:type="dxa"/>
            <w:vAlign w:val="bottom"/>
          </w:tcPr>
          <w:p>
            <w:pPr>
              <w:ind w:left="40"/>
              <w:spacing w:after="0"/>
              <w:rPr>
                <w:sz w:val="20"/>
                <w:szCs w:val="20"/>
                <w:color w:val="auto"/>
              </w:rPr>
            </w:pPr>
            <w:r>
              <w:rPr>
                <w:rFonts w:ascii="Arial" w:cs="Arial" w:eastAsia="Arial" w:hAnsi="Arial"/>
                <w:sz w:val="18"/>
                <w:szCs w:val="18"/>
                <w:color w:val="auto"/>
                <w:w w:val="99"/>
              </w:rPr>
              <w:t>A clinical trial in which participants are identified and then followed throughout the study</w:t>
            </w:r>
          </w:p>
        </w:tc>
      </w:tr>
      <w:tr>
        <w:trPr>
          <w:trHeight w:val="230"/>
        </w:trPr>
        <w:tc>
          <w:tcPr>
            <w:tcW w:w="4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going forward in time.</w:t>
            </w:r>
          </w:p>
        </w:tc>
      </w:tr>
      <w:tr>
        <w:trPr>
          <w:trHeight w:val="270"/>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Randomized Clinical Trial</w:t>
            </w:r>
          </w:p>
        </w:tc>
        <w:tc>
          <w:tcPr>
            <w:tcW w:w="6960" w:type="dxa"/>
            <w:vAlign w:val="bottom"/>
          </w:tcPr>
          <w:p>
            <w:pPr>
              <w:ind w:left="40"/>
              <w:spacing w:after="0"/>
              <w:rPr>
                <w:sz w:val="20"/>
                <w:szCs w:val="20"/>
                <w:color w:val="auto"/>
              </w:rPr>
            </w:pPr>
            <w:r>
              <w:rPr>
                <w:rFonts w:ascii="Arial" w:cs="Arial" w:eastAsia="Arial" w:hAnsi="Arial"/>
                <w:sz w:val="18"/>
                <w:szCs w:val="18"/>
                <w:color w:val="auto"/>
                <w:w w:val="95"/>
              </w:rPr>
              <w:t>A clinical trial in which the participants are assigned randomly to different treatment groups.</w:t>
            </w:r>
          </w:p>
        </w:tc>
      </w:tr>
      <w:tr>
        <w:trPr>
          <w:trHeight w:val="256"/>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Somatic Cell</w:t>
            </w:r>
          </w:p>
        </w:tc>
        <w:tc>
          <w:tcPr>
            <w:tcW w:w="6960" w:type="dxa"/>
            <w:vAlign w:val="bottom"/>
          </w:tcPr>
          <w:p>
            <w:pPr>
              <w:ind w:left="40"/>
              <w:spacing w:after="0"/>
              <w:rPr>
                <w:sz w:val="20"/>
                <w:szCs w:val="20"/>
                <w:color w:val="auto"/>
              </w:rPr>
            </w:pPr>
            <w:r>
              <w:rPr>
                <w:rFonts w:ascii="Arial" w:cs="Arial" w:eastAsia="Arial" w:hAnsi="Arial"/>
                <w:sz w:val="18"/>
                <w:szCs w:val="18"/>
                <w:color w:val="auto"/>
                <w:w w:val="97"/>
              </w:rPr>
              <w:t>Any of the cells responsible for forming the body of an organism such as internal organs,</w:t>
            </w:r>
          </w:p>
        </w:tc>
      </w:tr>
      <w:tr>
        <w:trPr>
          <w:trHeight w:val="230"/>
        </w:trPr>
        <w:tc>
          <w:tcPr>
            <w:tcW w:w="4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bones, skin, connective tissues and blood.</w:t>
            </w:r>
          </w:p>
        </w:tc>
      </w:tr>
      <w:tr>
        <w:trPr>
          <w:trHeight w:val="256"/>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Stem Cell</w:t>
            </w:r>
          </w:p>
        </w:tc>
        <w:tc>
          <w:tcPr>
            <w:tcW w:w="6960" w:type="dxa"/>
            <w:vAlign w:val="bottom"/>
          </w:tcPr>
          <w:p>
            <w:pPr>
              <w:ind w:left="40"/>
              <w:spacing w:after="0"/>
              <w:rPr>
                <w:sz w:val="20"/>
                <w:szCs w:val="20"/>
                <w:color w:val="auto"/>
              </w:rPr>
            </w:pPr>
            <w:r>
              <w:rPr>
                <w:rFonts w:ascii="Arial" w:cs="Arial" w:eastAsia="Arial" w:hAnsi="Arial"/>
                <w:sz w:val="18"/>
                <w:szCs w:val="18"/>
                <w:color w:val="auto"/>
                <w:w w:val="93"/>
              </w:rPr>
              <w:t>Unspecialized (undifferentiated) cells that retain the ability to divide throughout a lifetime and</w:t>
            </w:r>
          </w:p>
        </w:tc>
      </w:tr>
      <w:tr>
        <w:trPr>
          <w:trHeight w:val="216"/>
        </w:trPr>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w w:val="93"/>
              </w:rPr>
              <w:t>give rise to more specialized (differentiated) cells which take the place of cells that die or are</w:t>
            </w:r>
          </w:p>
        </w:tc>
      </w:tr>
      <w:tr>
        <w:trPr>
          <w:trHeight w:val="216"/>
        </w:trPr>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w w:val="92"/>
              </w:rPr>
              <w:t>lost. In culture, these undifferentiated cells possess the ability to divide for indefinite periods in</w:t>
            </w:r>
          </w:p>
        </w:tc>
      </w:tr>
      <w:tr>
        <w:trPr>
          <w:trHeight w:val="230"/>
        </w:trPr>
        <w:tc>
          <w:tcPr>
            <w:tcW w:w="4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culture and may give rise to highly specialized cells.</w:t>
            </w:r>
          </w:p>
        </w:tc>
      </w:tr>
      <w:tr>
        <w:trPr>
          <w:trHeight w:val="702"/>
        </w:trPr>
        <w:tc>
          <w:tcPr>
            <w:tcW w:w="4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Aastrom Biosciences GmbH,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Marrow Donation,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Vericel Denmark ApS</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60"/>
        <w:spacing w:after="0" w:line="221" w:lineRule="exact"/>
        <w:rPr>
          <w:sz w:val="20"/>
          <w:szCs w:val="20"/>
          <w:color w:val="auto"/>
        </w:rPr>
      </w:pPr>
      <w:r>
        <w:rPr>
          <w:rFonts w:ascii="Arial" w:cs="Arial" w:eastAsia="Arial" w:hAnsi="Arial"/>
          <w:sz w:val="17"/>
          <w:szCs w:val="17"/>
          <w:color w:val="auto"/>
        </w:rPr>
        <w:t>We hereby consent to the incorporation by reference in the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3 (Nos. 333-205339 and 333-205336) and Form S-8 (Nos. 333-205338</w:t>
      </w:r>
      <w:r>
        <w:rPr>
          <w:rFonts w:ascii="Arial" w:cs="Arial" w:eastAsia="Arial" w:hAnsi="Arial"/>
          <w:sz w:val="15"/>
          <w:szCs w:val="15"/>
          <w:color w:val="auto"/>
        </w:rPr>
        <w:t>,</w:t>
      </w:r>
      <w:r>
        <w:rPr>
          <w:rFonts w:ascii="Arial" w:cs="Arial" w:eastAsia="Arial" w:hAnsi="Arial"/>
          <w:sz w:val="17"/>
          <w:szCs w:val="17"/>
          <w:color w:val="auto"/>
        </w:rPr>
        <w:t xml:space="preserve"> 333-187346, 333-174758, 333-163832, 333-140624 and 333-121006) of Vericel Corporation of our report dated March 13, 2017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13, 2017</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440" w:hanging="189"/>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2016;</w:t>
      </w:r>
    </w:p>
    <w:p>
      <w:pPr>
        <w:spacing w:after="0" w:line="225" w:lineRule="exact"/>
        <w:rPr>
          <w:rFonts w:ascii="Arial" w:cs="Arial" w:eastAsia="Arial" w:hAnsi="Arial"/>
          <w:sz w:val="18"/>
          <w:szCs w:val="18"/>
          <w:color w:val="auto"/>
        </w:rPr>
      </w:pPr>
    </w:p>
    <w:p>
      <w:pPr>
        <w:ind w:right="440" w:firstLine="251"/>
        <w:spacing w:after="0" w:line="342" w:lineRule="auto"/>
        <w:tabs>
          <w:tab w:leader="none" w:pos="42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80" w:firstLine="251"/>
        <w:spacing w:after="0" w:line="277" w:lineRule="auto"/>
        <w:tabs>
          <w:tab w:leader="none" w:pos="4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4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1"/>
        <w:spacing w:after="0" w:line="264" w:lineRule="auto"/>
        <w:tabs>
          <w:tab w:leader="none" w:pos="7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9"/>
        <w:spacing w:after="0"/>
        <w:tabs>
          <w:tab w:leader="none" w:pos="7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60" w:firstLine="521"/>
        <w:spacing w:after="0" w:line="342" w:lineRule="auto"/>
        <w:tabs>
          <w:tab w:leader="none" w:pos="75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1"/>
        <w:spacing w:after="0" w:line="264" w:lineRule="auto"/>
        <w:tabs>
          <w:tab w:leader="none" w:pos="7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251"/>
        <w:spacing w:after="0" w:line="308" w:lineRule="auto"/>
        <w:tabs>
          <w:tab w:leader="none" w:pos="42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60" w:firstLine="521"/>
        <w:spacing w:after="0" w:line="277" w:lineRule="auto"/>
        <w:tabs>
          <w:tab w:leader="none" w:pos="7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521"/>
        <w:spacing w:after="0" w:line="277" w:lineRule="auto"/>
        <w:tabs>
          <w:tab w:leader="none" w:pos="7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March 13, 2017</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J. Michel, certify that:</w:t>
      </w:r>
    </w:p>
    <w:p>
      <w:pPr>
        <w:spacing w:after="0" w:line="225" w:lineRule="exact"/>
        <w:rPr>
          <w:sz w:val="20"/>
          <w:szCs w:val="20"/>
          <w:color w:val="auto"/>
        </w:rPr>
      </w:pPr>
    </w:p>
    <w:p>
      <w:pPr>
        <w:ind w:left="440" w:hanging="189"/>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2016;</w:t>
      </w:r>
    </w:p>
    <w:p>
      <w:pPr>
        <w:spacing w:after="0" w:line="225" w:lineRule="exact"/>
        <w:rPr>
          <w:rFonts w:ascii="Arial" w:cs="Arial" w:eastAsia="Arial" w:hAnsi="Arial"/>
          <w:sz w:val="18"/>
          <w:szCs w:val="18"/>
          <w:color w:val="auto"/>
        </w:rPr>
      </w:pPr>
    </w:p>
    <w:p>
      <w:pPr>
        <w:ind w:right="440" w:firstLine="251"/>
        <w:spacing w:after="0" w:line="342" w:lineRule="auto"/>
        <w:tabs>
          <w:tab w:leader="none" w:pos="4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80" w:firstLine="251"/>
        <w:spacing w:after="0" w:line="277" w:lineRule="auto"/>
        <w:tabs>
          <w:tab w:leader="none" w:pos="4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4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1"/>
        <w:spacing w:after="0" w:line="264" w:lineRule="auto"/>
        <w:tabs>
          <w:tab w:leader="none" w:pos="7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9"/>
        <w:spacing w:after="0"/>
        <w:tabs>
          <w:tab w:leader="none" w:pos="7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60" w:firstLine="521"/>
        <w:spacing w:after="0" w:line="342" w:lineRule="auto"/>
        <w:tabs>
          <w:tab w:leader="none" w:pos="758"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1"/>
        <w:spacing w:after="0" w:line="264" w:lineRule="auto"/>
        <w:tabs>
          <w:tab w:leader="none" w:pos="7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251"/>
        <w:spacing w:after="0" w:line="308" w:lineRule="auto"/>
        <w:tabs>
          <w:tab w:leader="none" w:pos="42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60" w:firstLine="521"/>
        <w:spacing w:after="0" w:line="277" w:lineRule="auto"/>
        <w:tabs>
          <w:tab w:leader="none" w:pos="7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521"/>
        <w:spacing w:after="0" w:line="277" w:lineRule="auto"/>
        <w:tabs>
          <w:tab w:leader="none" w:pos="7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March 13, 2017</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243"/>
        <w:spacing w:after="0" w:line="264" w:lineRule="auto"/>
        <w:rPr>
          <w:sz w:val="20"/>
          <w:szCs w:val="20"/>
          <w:color w:val="auto"/>
        </w:rPr>
      </w:pPr>
      <w:r>
        <w:rPr>
          <w:rFonts w:ascii="Arial" w:cs="Arial" w:eastAsia="Arial" w:hAnsi="Arial"/>
          <w:sz w:val="18"/>
          <w:szCs w:val="18"/>
          <w:color w:val="auto"/>
        </w:rPr>
        <w:t>In connection with the Annual Report of Vericel Corporation (Company) on Form 10-K for the year ended December 31, 2016,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81" w:lineRule="exact"/>
        <w:rPr>
          <w:sz w:val="20"/>
          <w:szCs w:val="20"/>
          <w:color w:val="auto"/>
        </w:rPr>
      </w:pPr>
    </w:p>
    <w:p>
      <w:pPr>
        <w:ind w:left="780" w:hanging="25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March 13, 2017</w:t>
      </w:r>
    </w:p>
    <w:p>
      <w:pPr>
        <w:spacing w:after="0" w:line="252"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lowerRoman"/>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3"/>
    </w:lvl>
  </w:abstractNum>
  <w:abstractNum w:abstractNumId="31">
    <w:nsid w:val="2463B9EA"/>
    <w:multiLevelType w:val="hybridMultilevel"/>
    <w:lvl w:ilvl="0">
      <w:lvlJc w:val="left"/>
      <w:lvlText w:val="%1."/>
      <w:numFmt w:val="decimal"/>
      <w:start w:val="5"/>
    </w:lvl>
  </w:abstractNum>
  <w:abstractNum w:abstractNumId="32">
    <w:nsid w:val="5E884ADC"/>
    <w:multiLevelType w:val="hybridMultilevel"/>
    <w:lvl w:ilvl="0">
      <w:lvlJc w:val="left"/>
      <w:lvlText w:val="%1."/>
      <w:numFmt w:val="decimal"/>
      <w:start w:val="6"/>
    </w:lvl>
  </w:abstractNum>
  <w:abstractNum w:abstractNumId="33">
    <w:nsid w:val="51EAD36B"/>
    <w:multiLevelType w:val="hybridMultilevel"/>
    <w:lvl w:ilvl="0">
      <w:lvlJc w:val="left"/>
      <w:lvlText w:val="%1."/>
      <w:numFmt w:val="decimal"/>
      <w:start w:val="7"/>
    </w:lvl>
  </w:abstractNum>
  <w:abstractNum w:abstractNumId="34">
    <w:nsid w:val="2D517796"/>
    <w:multiLevelType w:val="hybridMultilevel"/>
    <w:lvl w:ilvl="0">
      <w:lvlJc w:val="left"/>
      <w:lvlText w:val="%1."/>
      <w:numFmt w:val="decimal"/>
      <w:start w:val="9"/>
    </w:lvl>
  </w:abstractNum>
  <w:abstractNum w:abstractNumId="35">
    <w:nsid w:val="580BD78F"/>
    <w:multiLevelType w:val="hybridMultilevel"/>
    <w:lvl w:ilvl="0">
      <w:lvlJc w:val="left"/>
      <w:lvlText w:val="(%1)"/>
      <w:numFmt w:val="lowerRoman"/>
      <w:start w:val="1"/>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lowerLetter"/>
      <w:start w:val="1"/>
    </w:lvl>
    <w:lvl w:ilvl="1">
      <w:lvlJc w:val="left"/>
      <w:lvlText w:val="%2."/>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2019-12-29T07:11:53Z</dcterms:created>
  <dcterms:modified xsi:type="dcterms:W3CDTF">2019-12-29T07:11:53Z</dcterms:modified>
</cp:coreProperties>
</file>