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85" w:lineRule="exact"/>
        <w:rPr>
          <w:sz w:val="24"/>
          <w:szCs w:val="24"/>
          <w:color w:val="auto"/>
        </w:rPr>
      </w:pPr>
    </w:p>
    <w:p>
      <w:pPr>
        <w:jc w:val="center"/>
        <w:ind w:left="5400" w:right="220" w:hanging="5177"/>
        <w:spacing w:after="0" w:line="235" w:lineRule="auto"/>
        <w:tabs>
          <w:tab w:leader="none" w:pos="525"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2020</w:t>
      </w:r>
    </w:p>
    <w:p>
      <w:pPr>
        <w:jc w:val="center"/>
        <w:ind w:right="-19"/>
        <w:spacing w:after="0" w:line="188" w:lineRule="auto"/>
        <w:rPr>
          <w:sz w:val="20"/>
          <w:szCs w:val="20"/>
          <w:color w:val="auto"/>
        </w:rPr>
      </w:pPr>
      <w:r>
        <w:rPr>
          <w:rFonts w:ascii="Arial" w:cs="Arial" w:eastAsia="Arial" w:hAnsi="Arial"/>
          <w:sz w:val="18"/>
          <w:szCs w:val="18"/>
          <w:b w:val="1"/>
          <w:bCs w:val="1"/>
          <w:color w:val="auto"/>
        </w:rPr>
        <w:t>or</w:t>
      </w:r>
    </w:p>
    <w:p>
      <w:pPr>
        <w:ind w:left="540" w:hanging="346"/>
        <w:spacing w:after="0" w:line="222" w:lineRule="auto"/>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jc w:val="center"/>
        <w:ind w:right="-19"/>
        <w:spacing w:after="0" w:line="223" w:lineRule="auto"/>
        <w:rPr>
          <w:sz w:val="20"/>
          <w:szCs w:val="20"/>
          <w:color w:val="auto"/>
        </w:rPr>
      </w:pPr>
      <w:r>
        <w:rPr>
          <w:rFonts w:ascii="Arial" w:cs="Arial" w:eastAsia="Arial" w:hAnsi="Arial"/>
          <w:sz w:val="22"/>
          <w:szCs w:val="22"/>
          <w:b w:val="1"/>
          <w:bCs w:val="1"/>
          <w:color w:val="auto"/>
        </w:rPr>
        <w:t>1934</w:t>
      </w:r>
    </w:p>
    <w:p>
      <w:pPr>
        <w:jc w:val="center"/>
        <w:ind w:left="340"/>
        <w:spacing w:after="0"/>
        <w:rPr>
          <w:sz w:val="20"/>
          <w:szCs w:val="20"/>
          <w:color w:val="auto"/>
        </w:rPr>
      </w:pPr>
      <w:r>
        <w:rPr>
          <w:rFonts w:ascii="Arial" w:cs="Arial" w:eastAsia="Arial" w:hAnsi="Arial"/>
          <w:sz w:val="18"/>
          <w:szCs w:val="18"/>
          <w:b w:val="1"/>
          <w:bCs w:val="1"/>
          <w:color w:val="auto"/>
        </w:rPr>
        <w:t>Commission File Number 001-35280</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VERICEL CORPORATION</w:t>
      </w: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99060</wp:posOffset>
            </wp:positionV>
            <wp:extent cx="12687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309" w:lineRule="exact"/>
        <w:rPr>
          <w:sz w:val="24"/>
          <w:szCs w:val="24"/>
          <w:color w:val="auto"/>
        </w:rPr>
      </w:pPr>
    </w:p>
    <w:p>
      <w:pPr>
        <w:ind w:left="2200"/>
        <w:spacing w:after="0"/>
        <w:rPr>
          <w:sz w:val="20"/>
          <w:szCs w:val="20"/>
          <w:color w:val="auto"/>
        </w:rPr>
      </w:pPr>
      <w:r>
        <w:rPr>
          <w:rFonts w:ascii="Arial" w:cs="Arial" w:eastAsia="Arial" w:hAnsi="Arial"/>
          <w:sz w:val="13"/>
          <w:szCs w:val="13"/>
          <w:b w:val="1"/>
          <w:bCs w:val="1"/>
          <w:color w:val="auto"/>
        </w:rPr>
        <w:t>Michigan</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94-3096597</w:t>
      </w:r>
    </w:p>
    <w:p>
      <w:pPr>
        <w:spacing w:after="0" w:line="57" w:lineRule="exact"/>
        <w:rPr>
          <w:sz w:val="24"/>
          <w:szCs w:val="24"/>
          <w:color w:val="auto"/>
        </w:rPr>
      </w:pPr>
    </w:p>
    <w:p>
      <w:pPr>
        <w:sectPr>
          <w:pgSz w:w="11900" w:h="16838" w:orient="portrait"/>
          <w:cols w:equalWidth="0" w:num="2">
            <w:col w:w="7140" w:space="720"/>
            <w:col w:w="3380"/>
          </w:cols>
          <w:pgMar w:left="320" w:top="1039" w:right="339" w:bottom="1440" w:gutter="0" w:footer="0" w:header="0"/>
          <w:type w:val="continuous"/>
        </w:sectPr>
      </w:pPr>
    </w:p>
    <w:p>
      <w:pPr>
        <w:ind w:left="76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90" w:lineRule="exact"/>
        <w:rPr>
          <w:sz w:val="24"/>
          <w:szCs w:val="24"/>
          <w:color w:val="auto"/>
        </w:rPr>
      </w:pPr>
    </w:p>
    <w:p>
      <w:pPr>
        <w:sectPr>
          <w:pgSz w:w="11900" w:h="16838" w:orient="portrait"/>
          <w:cols w:equalWidth="0" w:num="2">
            <w:col w:w="6460" w:space="720"/>
            <w:col w:w="4060"/>
          </w:cols>
          <w:pgMar w:left="320" w:top="1039"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64 Sidney Street</w:t>
      </w:r>
    </w:p>
    <w:p>
      <w:pPr>
        <w:jc w:val="center"/>
        <w:spacing w:after="0" w:line="193" w:lineRule="auto"/>
        <w:rPr>
          <w:sz w:val="20"/>
          <w:szCs w:val="20"/>
          <w:color w:val="auto"/>
        </w:rPr>
      </w:pPr>
      <w:r>
        <w:rPr>
          <w:rFonts w:ascii="Arial" w:cs="Arial" w:eastAsia="Arial" w:hAnsi="Arial"/>
          <w:sz w:val="18"/>
          <w:szCs w:val="18"/>
          <w:b w:val="1"/>
          <w:bCs w:val="1"/>
          <w:color w:val="auto"/>
        </w:rPr>
        <w:t>Cambridge, MA 02139</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(617) 588-5555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109220</wp:posOffset>
            </wp:positionV>
            <wp:extent cx="12687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714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440" w:type="dxa"/>
            <w:vAlign w:val="bottom"/>
          </w:tcPr>
          <w:p>
            <w:pPr>
              <w:spacing w:after="0"/>
              <w:rPr>
                <w:sz w:val="15"/>
                <w:szCs w:val="15"/>
                <w:color w:val="auto"/>
              </w:rPr>
            </w:pPr>
          </w:p>
        </w:tc>
        <w:tc>
          <w:tcPr>
            <w:tcW w:w="4100" w:type="dxa"/>
            <w:vAlign w:val="bottom"/>
          </w:tcPr>
          <w:p>
            <w:pPr>
              <w:jc w:val="center"/>
              <w:ind w:left="202"/>
              <w:spacing w:after="0"/>
              <w:rPr>
                <w:sz w:val="20"/>
                <w:szCs w:val="20"/>
                <w:color w:val="auto"/>
              </w:rPr>
            </w:pPr>
            <w:r>
              <w:rPr>
                <w:rFonts w:ascii="Arial" w:cs="Arial" w:eastAsia="Arial" w:hAnsi="Arial"/>
                <w:sz w:val="14"/>
                <w:szCs w:val="14"/>
                <w:color w:val="auto"/>
                <w:w w:val="92"/>
              </w:rPr>
              <w:t>Securities registered pursuant to Section 12(b) of the Act:</w:t>
            </w:r>
          </w:p>
        </w:tc>
        <w:tc>
          <w:tcPr>
            <w:tcW w:w="3700" w:type="dxa"/>
            <w:vAlign w:val="bottom"/>
          </w:tcPr>
          <w:p>
            <w:pPr>
              <w:spacing w:after="0"/>
              <w:rPr>
                <w:sz w:val="15"/>
                <w:szCs w:val="15"/>
                <w:color w:val="auto"/>
              </w:rPr>
            </w:pPr>
          </w:p>
        </w:tc>
      </w:tr>
      <w:tr>
        <w:trPr>
          <w:trHeight w:val="316"/>
        </w:trPr>
        <w:tc>
          <w:tcPr>
            <w:tcW w:w="3440" w:type="dxa"/>
            <w:vAlign w:val="bottom"/>
          </w:tcPr>
          <w:p>
            <w:pPr>
              <w:jc w:val="center"/>
              <w:ind w:left="259"/>
              <w:spacing w:after="0"/>
              <w:rPr>
                <w:sz w:val="20"/>
                <w:szCs w:val="20"/>
                <w:color w:val="auto"/>
              </w:rPr>
            </w:pPr>
            <w:r>
              <w:rPr>
                <w:rFonts w:ascii="Arial" w:cs="Arial" w:eastAsia="Arial" w:hAnsi="Arial"/>
                <w:sz w:val="16"/>
                <w:szCs w:val="16"/>
                <w:b w:val="1"/>
                <w:bCs w:val="1"/>
                <w:color w:val="auto"/>
                <w:w w:val="90"/>
              </w:rPr>
              <w:t>Title of Class</w:t>
            </w:r>
          </w:p>
        </w:tc>
        <w:tc>
          <w:tcPr>
            <w:tcW w:w="4100" w:type="dxa"/>
            <w:vAlign w:val="bottom"/>
          </w:tcPr>
          <w:p>
            <w:pPr>
              <w:jc w:val="center"/>
              <w:ind w:left="222"/>
              <w:spacing w:after="0"/>
              <w:rPr>
                <w:sz w:val="20"/>
                <w:szCs w:val="20"/>
                <w:color w:val="auto"/>
              </w:rPr>
            </w:pPr>
            <w:r>
              <w:rPr>
                <w:rFonts w:ascii="Arial" w:cs="Arial" w:eastAsia="Arial" w:hAnsi="Arial"/>
                <w:sz w:val="16"/>
                <w:szCs w:val="16"/>
                <w:b w:val="1"/>
                <w:bCs w:val="1"/>
                <w:color w:val="auto"/>
                <w:w w:val="91"/>
              </w:rPr>
              <w:t>Trading Symbol(s)</w:t>
            </w: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33"/>
        </w:trPr>
        <w:tc>
          <w:tcPr>
            <w:tcW w:w="3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jc w:val="center"/>
              <w:ind w:left="279"/>
              <w:spacing w:after="0"/>
              <w:rPr>
                <w:sz w:val="20"/>
                <w:szCs w:val="20"/>
                <w:color w:val="auto"/>
              </w:rPr>
            </w:pPr>
            <w:r>
              <w:rPr>
                <w:rFonts w:ascii="Arial" w:cs="Arial" w:eastAsia="Arial" w:hAnsi="Arial"/>
                <w:sz w:val="16"/>
                <w:szCs w:val="16"/>
                <w:color w:val="auto"/>
                <w:w w:val="92"/>
              </w:rPr>
              <w:t>Common Stock (No par value)</w:t>
            </w:r>
          </w:p>
        </w:tc>
        <w:tc>
          <w:tcPr>
            <w:tcW w:w="4100" w:type="dxa"/>
            <w:vAlign w:val="bottom"/>
          </w:tcPr>
          <w:p>
            <w:pPr>
              <w:jc w:val="center"/>
              <w:ind w:left="242"/>
              <w:spacing w:after="0"/>
              <w:rPr>
                <w:sz w:val="20"/>
                <w:szCs w:val="20"/>
                <w:color w:val="auto"/>
              </w:rPr>
            </w:pPr>
            <w:r>
              <w:rPr>
                <w:rFonts w:ascii="Arial" w:cs="Arial" w:eastAsia="Arial" w:hAnsi="Arial"/>
                <w:sz w:val="16"/>
                <w:szCs w:val="16"/>
                <w:color w:val="auto"/>
              </w:rPr>
              <w:t>VCEL</w:t>
            </w:r>
          </w:p>
        </w:tc>
        <w:tc>
          <w:tcPr>
            <w:tcW w:w="3700" w:type="dxa"/>
            <w:vAlign w:val="bottom"/>
          </w:tcPr>
          <w:p>
            <w:pPr>
              <w:jc w:val="center"/>
              <w:spacing w:after="0"/>
              <w:rPr>
                <w:sz w:val="20"/>
                <w:szCs w:val="20"/>
                <w:color w:val="auto"/>
              </w:rPr>
            </w:pPr>
            <w:r>
              <w:rPr>
                <w:rFonts w:ascii="Arial" w:cs="Arial" w:eastAsia="Arial" w:hAnsi="Arial"/>
                <w:sz w:val="16"/>
                <w:szCs w:val="16"/>
                <w:color w:val="auto"/>
              </w:rPr>
              <w:t>NASDAQ</w:t>
            </w:r>
          </w:p>
        </w:tc>
      </w:tr>
    </w:tbl>
    <w:p>
      <w:pPr>
        <w:spacing w:after="0" w:line="239" w:lineRule="exact"/>
        <w:rPr>
          <w:sz w:val="24"/>
          <w:szCs w:val="24"/>
          <w:color w:val="auto"/>
        </w:rPr>
      </w:pPr>
    </w:p>
    <w:p>
      <w:pPr>
        <w:jc w:val="both"/>
        <w:ind w:right="360" w:firstLine="324"/>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5" w:lineRule="exact"/>
        <w:rPr>
          <w:sz w:val="24"/>
          <w:szCs w:val="24"/>
          <w:color w:val="auto"/>
        </w:rPr>
      </w:pPr>
    </w:p>
    <w:p>
      <w:pPr>
        <w:ind w:right="80" w:firstLine="324"/>
        <w:spacing w:after="0" w:line="27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95" w:lineRule="exact"/>
        <w:rPr>
          <w:sz w:val="24"/>
          <w:szCs w:val="24"/>
          <w:color w:val="auto"/>
        </w:rPr>
      </w:pPr>
    </w:p>
    <w:p>
      <w:pPr>
        <w:jc w:val="center"/>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2900" w:type="dxa"/>
        <w:tblCellMar>
          <w:top w:w="0" w:type="dxa"/>
          <w:left w:w="0" w:type="dxa"/>
          <w:bottom w:w="0" w:type="dxa"/>
          <w:right w:w="0" w:type="dxa"/>
        </w:tblCellMar>
      </w:tblPr>
      <w:tr>
        <w:trPr>
          <w:trHeight w:val="226"/>
        </w:trPr>
        <w:tc>
          <w:tcPr>
            <w:tcW w:w="2140" w:type="dxa"/>
            <w:vAlign w:val="bottom"/>
          </w:tcPr>
          <w:p>
            <w:pPr>
              <w:jc w:val="center"/>
              <w:ind w:right="768"/>
              <w:spacing w:after="0"/>
              <w:rPr>
                <w:sz w:val="20"/>
                <w:szCs w:val="20"/>
                <w:color w:val="auto"/>
              </w:rPr>
            </w:pPr>
            <w:r>
              <w:rPr>
                <w:rFonts w:ascii="Arial" w:cs="Arial" w:eastAsia="Arial" w:hAnsi="Arial"/>
                <w:sz w:val="14"/>
                <w:szCs w:val="14"/>
                <w:color w:val="auto"/>
                <w:w w:val="93"/>
              </w:rPr>
              <w:t>Large accelerated filer</w:t>
            </w:r>
          </w:p>
        </w:tc>
        <w:tc>
          <w:tcPr>
            <w:tcW w:w="144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2540" w:type="dxa"/>
            <w:vAlign w:val="bottom"/>
          </w:tcPr>
          <w:p>
            <w:pPr>
              <w:jc w:val="center"/>
              <w:spacing w:after="0"/>
              <w:rPr>
                <w:sz w:val="20"/>
                <w:szCs w:val="20"/>
                <w:color w:val="auto"/>
              </w:rPr>
            </w:pPr>
            <w:r>
              <w:rPr>
                <w:rFonts w:ascii="Arial" w:cs="Arial" w:eastAsia="Arial" w:hAnsi="Arial"/>
                <w:sz w:val="14"/>
                <w:szCs w:val="14"/>
                <w:color w:val="auto"/>
                <w:w w:val="97"/>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40" w:type="dxa"/>
            <w:vAlign w:val="bottom"/>
          </w:tcPr>
          <w:p>
            <w:pPr>
              <w:jc w:val="center"/>
              <w:ind w:right="768"/>
              <w:spacing w:after="0"/>
              <w:rPr>
                <w:sz w:val="20"/>
                <w:szCs w:val="20"/>
                <w:color w:val="auto"/>
              </w:rPr>
            </w:pPr>
            <w:r>
              <w:rPr>
                <w:rFonts w:ascii="Arial" w:cs="Arial" w:eastAsia="Arial" w:hAnsi="Arial"/>
                <w:sz w:val="14"/>
                <w:szCs w:val="14"/>
                <w:color w:val="auto"/>
                <w:w w:val="94"/>
              </w:rPr>
              <w:t>Non-accelerated filer</w:t>
            </w:r>
          </w:p>
        </w:tc>
        <w:tc>
          <w:tcPr>
            <w:tcW w:w="144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2540" w:type="dxa"/>
            <w:vAlign w:val="bottom"/>
          </w:tcPr>
          <w:p>
            <w:pPr>
              <w:jc w:val="center"/>
              <w:spacing w:after="0"/>
              <w:rPr>
                <w:sz w:val="20"/>
                <w:szCs w:val="20"/>
                <w:color w:val="auto"/>
              </w:rPr>
            </w:pPr>
            <w:r>
              <w:rPr>
                <w:rFonts w:ascii="Arial" w:cs="Arial" w:eastAsia="Arial" w:hAnsi="Arial"/>
                <w:sz w:val="14"/>
                <w:szCs w:val="14"/>
                <w:color w:val="auto"/>
                <w:w w:val="94"/>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4"/>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1" w:lineRule="exact"/>
        <w:rPr>
          <w:sz w:val="24"/>
          <w:szCs w:val="24"/>
          <w:color w:val="auto"/>
        </w:rPr>
      </w:pPr>
    </w:p>
    <w:p>
      <w:pPr>
        <w:ind w:right="260"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6"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33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July 31, 2020, 45,250,402 shares of Common Stock, no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763905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 w:name="page2"/>
    <w:bookmarkEnd w:id="1"/>
    <w:p>
      <w:pPr>
        <w:jc w:val="center"/>
        <w:ind w:left="102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left="108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left="10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960" w:type="dxa"/>
            <w:vAlign w:val="bottom"/>
            <w:gridSpan w:val="12"/>
          </w:tcPr>
          <w:p>
            <w:pPr>
              <w:spacing w:after="0"/>
              <w:rPr>
                <w:sz w:val="20"/>
                <w:szCs w:val="20"/>
                <w:color w:val="auto"/>
              </w:rPr>
            </w:pPr>
            <w:r>
              <w:rPr>
                <w:rFonts w:ascii="Arial" w:cs="Arial" w:eastAsia="Arial" w:hAnsi="Arial"/>
                <w:sz w:val="18"/>
                <w:szCs w:val="18"/>
                <w:b w:val="1"/>
                <w:bCs w:val="1"/>
                <w:color w:val="auto"/>
              </w:rPr>
              <w:t>PART I - FINANCIAL INFORMATION</w:t>
            </w:r>
          </w:p>
        </w:tc>
      </w:tr>
      <w:tr>
        <w:trPr>
          <w:trHeight w:val="229"/>
        </w:trPr>
        <w:tc>
          <w:tcPr>
            <w:tcW w:w="12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960" w:type="dxa"/>
            <w:vAlign w:val="bottom"/>
            <w:gridSpan w:val="12"/>
          </w:tcPr>
          <w:p>
            <w:pPr>
              <w:spacing w:after="0"/>
              <w:rPr>
                <w:sz w:val="20"/>
                <w:szCs w:val="20"/>
                <w:color w:val="auto"/>
              </w:rPr>
            </w:pPr>
            <w:r>
              <w:rPr>
                <w:rFonts w:ascii="Arial" w:cs="Arial" w:eastAsia="Arial" w:hAnsi="Arial"/>
                <w:sz w:val="18"/>
                <w:szCs w:val="18"/>
                <w:color w:val="0000FF"/>
              </w:rPr>
              <w:t>Financial Statements (Unaudited):</w:t>
            </w:r>
          </w:p>
        </w:tc>
      </w:tr>
      <w:tr>
        <w:trPr>
          <w:trHeight w:val="20"/>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60" w:type="dxa"/>
            <w:vAlign w:val="bottom"/>
            <w:gridSpan w:val="1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as of June 30, </w:t>
              </w:r>
              <w:r>
                <w:rPr>
                  <w:rFonts w:ascii="Arial" w:cs="Arial" w:eastAsia="Arial" w:hAnsi="Arial"/>
                  <w:sz w:val="18"/>
                  <w:szCs w:val="18"/>
                  <w:u w:val="single" w:color="auto"/>
                  <w:color w:val="0000FF"/>
                </w:rPr>
                <w:t>2020 and December 31, 2019</w:t>
              </w:r>
            </w:hyperlink>
          </w:p>
        </w:tc>
      </w:tr>
      <w:tr>
        <w:trPr>
          <w:trHeight w:val="20"/>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60" w:type="dxa"/>
            <w:vAlign w:val="bottom"/>
            <w:gridSpan w:val="1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Operations for the three and six months ended June 30, 2020 and 2019</w:t>
              </w:r>
            </w:hyperlink>
          </w:p>
        </w:tc>
      </w:tr>
      <w:tr>
        <w:trPr>
          <w:trHeight w:val="486"/>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60" w:type="dxa"/>
            <w:vAlign w:val="bottom"/>
            <w:gridSpan w:val="12"/>
          </w:tcPr>
          <w:p>
            <w:pPr>
              <w:spacing w:after="0"/>
              <w:rPr>
                <w:rFonts w:ascii="Arial" w:cs="Arial" w:eastAsia="Arial" w:hAnsi="Arial"/>
                <w:sz w:val="18"/>
                <w:szCs w:val="18"/>
                <w:color w:val="0000FF"/>
                <w:w w:val="91"/>
              </w:rPr>
            </w:pPr>
            <w:hyperlink w:anchor="page4">
              <w:r>
                <w:rPr>
                  <w:rFonts w:ascii="Arial" w:cs="Arial" w:eastAsia="Arial" w:hAnsi="Arial"/>
                  <w:sz w:val="18"/>
                  <w:szCs w:val="18"/>
                  <w:u w:val="single" w:color="auto"/>
                  <w:color w:val="0000FF"/>
                  <w:w w:val="91"/>
                </w:rPr>
                <w:t>Condensed Consolidated Statements of Comprehensive Loss for the three</w:t>
              </w:r>
              <w:r>
                <w:rPr>
                  <w:rFonts w:ascii="Arial" w:cs="Arial" w:eastAsia="Arial" w:hAnsi="Arial"/>
                  <w:sz w:val="18"/>
                  <w:szCs w:val="18"/>
                  <w:color w:val="0000FF"/>
                  <w:w w:val="91"/>
                </w:rPr>
                <w:t xml:space="preserve"> and six months ended June 30, </w:t>
              </w:r>
              <w:r>
                <w:rPr>
                  <w:rFonts w:ascii="Arial" w:cs="Arial" w:eastAsia="Arial" w:hAnsi="Arial"/>
                  <w:sz w:val="18"/>
                  <w:szCs w:val="18"/>
                  <w:u w:val="single" w:color="auto"/>
                  <w:color w:val="0000FF"/>
                  <w:w w:val="91"/>
                </w:rPr>
                <w:t>2020 and 2019</w:t>
              </w:r>
            </w:hyperlink>
          </w:p>
        </w:tc>
      </w:tr>
      <w:tr>
        <w:trPr>
          <w:trHeight w:val="20"/>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60" w:type="dxa"/>
            <w:vAlign w:val="bottom"/>
            <w:gridSpan w:val="12"/>
          </w:tcPr>
          <w:p>
            <w:pPr>
              <w:spacing w:after="0"/>
              <w:rPr>
                <w:rFonts w:ascii="Arial" w:cs="Arial" w:eastAsia="Arial" w:hAnsi="Arial"/>
                <w:sz w:val="18"/>
                <w:szCs w:val="18"/>
                <w:color w:val="0000FF"/>
                <w:w w:val="89"/>
              </w:rPr>
            </w:pPr>
            <w:hyperlink w:anchor="page5">
              <w:r>
                <w:rPr>
                  <w:rFonts w:ascii="Arial" w:cs="Arial" w:eastAsia="Arial" w:hAnsi="Arial"/>
                  <w:sz w:val="18"/>
                  <w:szCs w:val="18"/>
                  <w:u w:val="single" w:color="auto"/>
                  <w:color w:val="0000FF"/>
                  <w:w w:val="89"/>
                </w:rPr>
                <w:t>Consolidated Statements of Shareholders' Equity from December 31, 2019 to June 30,</w:t>
              </w:r>
              <w:r>
                <w:rPr>
                  <w:rFonts w:ascii="Arial" w:cs="Arial" w:eastAsia="Arial" w:hAnsi="Arial"/>
                  <w:sz w:val="18"/>
                  <w:szCs w:val="18"/>
                  <w:color w:val="0000FF"/>
                  <w:w w:val="89"/>
                </w:rPr>
                <w:t xml:space="preserve"> 2020 </w:t>
              </w:r>
              <w:r>
                <w:rPr>
                  <w:rFonts w:ascii="Arial" w:cs="Arial" w:eastAsia="Arial" w:hAnsi="Arial"/>
                  <w:sz w:val="18"/>
                  <w:szCs w:val="18"/>
                  <w:u w:val="single" w:color="auto"/>
                  <w:color w:val="0000FF"/>
                  <w:w w:val="89"/>
                </w:rPr>
                <w:t>and from December 31,</w:t>
              </w:r>
              <w:r>
                <w:rPr>
                  <w:rFonts w:ascii="Arial" w:cs="Arial" w:eastAsia="Arial" w:hAnsi="Arial"/>
                  <w:sz w:val="18"/>
                  <w:szCs w:val="18"/>
                  <w:color w:val="0000FF"/>
                  <w:w w:val="89"/>
                </w:rPr>
                <w:t xml:space="preserve"> 2018 to</w:t>
              </w:r>
            </w:hyperlink>
          </w:p>
        </w:tc>
      </w:tr>
      <w:tr>
        <w:trPr>
          <w:trHeight w:val="156"/>
        </w:trPr>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20" w:type="dxa"/>
            <w:vAlign w:val="bottom"/>
            <w:gridSpan w:val="7"/>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June 30, 20</w:t>
              </w:r>
              <w:r>
                <w:rPr>
                  <w:rFonts w:ascii="Arial" w:cs="Arial" w:eastAsia="Arial" w:hAnsi="Arial"/>
                  <w:sz w:val="18"/>
                  <w:szCs w:val="18"/>
                  <w:u w:val="single" w:color="auto"/>
                  <w:color w:val="0000FF"/>
                </w:rPr>
                <w:t>19</w:t>
              </w:r>
            </w:hyperlink>
          </w:p>
        </w:tc>
        <w:tc>
          <w:tcPr>
            <w:tcW w:w="220" w:type="dxa"/>
            <w:vAlign w:val="bottom"/>
            <w:tcBorders>
              <w:top w:val="single" w:sz="8" w:color="0000FF"/>
            </w:tcBorders>
          </w:tcPr>
          <w:p>
            <w:pPr>
              <w:spacing w:after="0"/>
              <w:rPr>
                <w:sz w:val="13"/>
                <w:szCs w:val="13"/>
                <w:color w:val="auto"/>
              </w:rPr>
            </w:pPr>
          </w:p>
        </w:tc>
        <w:tc>
          <w:tcPr>
            <w:tcW w:w="2040" w:type="dxa"/>
            <w:vAlign w:val="bottom"/>
            <w:gridSpan w:val="2"/>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2820" w:type="dxa"/>
            <w:vAlign w:val="bottom"/>
            <w:gridSpan w:val="6"/>
          </w:tcPr>
          <w:p>
            <w:pPr>
              <w:spacing w:after="0" w:line="20" w:lineRule="exact"/>
              <w:rPr>
                <w:sz w:val="1"/>
                <w:szCs w:val="1"/>
                <w:color w:val="auto"/>
              </w:rPr>
            </w:pPr>
          </w:p>
        </w:tc>
      </w:tr>
      <w:tr>
        <w:trPr>
          <w:trHeight w:val="493"/>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60" w:type="dxa"/>
            <w:vAlign w:val="bottom"/>
            <w:gridSpan w:val="1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 xml:space="preserve">Condensed Consolidated Statements of Cash Flows for the six months ended June 30, </w:t>
              </w:r>
              <w:r>
                <w:rPr>
                  <w:rFonts w:ascii="Arial" w:cs="Arial" w:eastAsia="Arial" w:hAnsi="Arial"/>
                  <w:sz w:val="18"/>
                  <w:szCs w:val="18"/>
                  <w:u w:val="single" w:color="auto"/>
                  <w:color w:val="0000FF"/>
                </w:rPr>
                <w:t>2020 and 2019</w:t>
              </w:r>
            </w:hyperlink>
          </w:p>
        </w:tc>
      </w:tr>
      <w:tr>
        <w:trPr>
          <w:trHeight w:val="561"/>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40" w:type="dxa"/>
            <w:vAlign w:val="bottom"/>
            <w:tcBorders>
              <w:top w:val="single" w:sz="8" w:color="0000FF"/>
            </w:tcBorders>
            <w:gridSpan w:val="6"/>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tc>
        <w:tc>
          <w:tcPr>
            <w:tcW w:w="2820" w:type="dxa"/>
            <w:vAlign w:val="bottom"/>
            <w:gridSpan w:val="6"/>
          </w:tcPr>
          <w:p>
            <w:pPr>
              <w:spacing w:after="0"/>
              <w:rPr>
                <w:sz w:val="24"/>
                <w:szCs w:val="24"/>
                <w:color w:val="auto"/>
              </w:rPr>
            </w:pPr>
          </w:p>
        </w:tc>
      </w:tr>
      <w:tr>
        <w:trPr>
          <w:trHeight w:val="540"/>
        </w:trPr>
        <w:tc>
          <w:tcPr>
            <w:tcW w:w="12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8960" w:type="dxa"/>
            <w:vAlign w:val="bottom"/>
            <w:gridSpan w:val="12"/>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Management’s Discussion and Analysis of Financial Condition and Results of Operations</w:t>
              </w:r>
            </w:hyperlink>
          </w:p>
        </w:tc>
      </w:tr>
      <w:tr>
        <w:trPr>
          <w:trHeight w:val="540"/>
        </w:trPr>
        <w:tc>
          <w:tcPr>
            <w:tcW w:w="12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8960" w:type="dxa"/>
            <w:vAlign w:val="bottom"/>
            <w:gridSpan w:val="12"/>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Quantitative and Qualitative Disclosures About Market Risk</w:t>
              </w:r>
            </w:hyperlink>
          </w:p>
        </w:tc>
      </w:tr>
      <w:tr>
        <w:trPr>
          <w:trHeight w:val="540"/>
        </w:trPr>
        <w:tc>
          <w:tcPr>
            <w:tcW w:w="12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960" w:type="dxa"/>
            <w:vAlign w:val="bottom"/>
            <w:gridSpan w:val="12"/>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Controls and Procedures</w:t>
              </w:r>
            </w:hyperlink>
          </w:p>
        </w:tc>
      </w:tr>
      <w:tr>
        <w:trPr>
          <w:trHeight w:val="540"/>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60" w:type="dxa"/>
            <w:vAlign w:val="bottom"/>
            <w:gridSpan w:val="12"/>
          </w:tcPr>
          <w:p>
            <w:pPr>
              <w:spacing w:after="0"/>
              <w:rPr>
                <w:sz w:val="20"/>
                <w:szCs w:val="20"/>
                <w:color w:val="auto"/>
              </w:rPr>
            </w:pPr>
            <w:r>
              <w:rPr>
                <w:rFonts w:ascii="Arial" w:cs="Arial" w:eastAsia="Arial" w:hAnsi="Arial"/>
                <w:sz w:val="18"/>
                <w:szCs w:val="18"/>
                <w:b w:val="1"/>
                <w:bCs w:val="1"/>
                <w:color w:val="auto"/>
              </w:rPr>
              <w:t>PART II — OTHER INFORMATION</w:t>
            </w:r>
          </w:p>
        </w:tc>
      </w:tr>
      <w:tr>
        <w:trPr>
          <w:trHeight w:val="270"/>
        </w:trPr>
        <w:tc>
          <w:tcPr>
            <w:tcW w:w="12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960" w:type="dxa"/>
            <w:vAlign w:val="bottom"/>
            <w:gridSpan w:val="12"/>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Legal Proceedings</w:t>
              </w:r>
            </w:hyperlink>
          </w:p>
        </w:tc>
      </w:tr>
      <w:tr>
        <w:trPr>
          <w:trHeight w:val="540"/>
        </w:trPr>
        <w:tc>
          <w:tcPr>
            <w:tcW w:w="12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960" w:type="dxa"/>
            <w:vAlign w:val="bottom"/>
            <w:gridSpan w:val="12"/>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Risk Factors</w:t>
              </w:r>
            </w:hyperlink>
          </w:p>
        </w:tc>
      </w:tr>
      <w:tr>
        <w:trPr>
          <w:trHeight w:val="540"/>
        </w:trPr>
        <w:tc>
          <w:tcPr>
            <w:tcW w:w="12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8960" w:type="dxa"/>
            <w:vAlign w:val="bottom"/>
            <w:gridSpan w:val="12"/>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Unregistered Sales of Equity Securities and Use of Proceeds</w:t>
              </w:r>
            </w:hyperlink>
          </w:p>
        </w:tc>
      </w:tr>
      <w:tr>
        <w:trPr>
          <w:trHeight w:val="540"/>
        </w:trPr>
        <w:tc>
          <w:tcPr>
            <w:tcW w:w="12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8960" w:type="dxa"/>
            <w:vAlign w:val="bottom"/>
            <w:gridSpan w:val="12"/>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Defaults Upon Senior Securities</w:t>
              </w:r>
            </w:hyperlink>
          </w:p>
        </w:tc>
      </w:tr>
      <w:tr>
        <w:trPr>
          <w:trHeight w:val="540"/>
        </w:trPr>
        <w:tc>
          <w:tcPr>
            <w:tcW w:w="12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960" w:type="dxa"/>
            <w:vAlign w:val="bottom"/>
            <w:gridSpan w:val="12"/>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Mine Safety Disclosures</w:t>
              </w:r>
            </w:hyperlink>
          </w:p>
        </w:tc>
      </w:tr>
      <w:tr>
        <w:trPr>
          <w:trHeight w:val="540"/>
        </w:trPr>
        <w:tc>
          <w:tcPr>
            <w:tcW w:w="12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8960" w:type="dxa"/>
            <w:vAlign w:val="bottom"/>
            <w:gridSpan w:val="12"/>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Other Information</w:t>
              </w:r>
            </w:hyperlink>
          </w:p>
        </w:tc>
      </w:tr>
      <w:tr>
        <w:trPr>
          <w:trHeight w:val="499"/>
        </w:trPr>
        <w:tc>
          <w:tcPr>
            <w:tcW w:w="12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960" w:type="dxa"/>
            <w:vAlign w:val="bottom"/>
            <w:gridSpan w:val="12"/>
          </w:tcPr>
          <w:p>
            <w:pPr>
              <w:spacing w:after="0"/>
              <w:rPr>
                <w:sz w:val="20"/>
                <w:szCs w:val="20"/>
                <w:color w:val="auto"/>
              </w:rPr>
            </w:pPr>
            <w:r>
              <w:rPr>
                <w:rFonts w:ascii="Arial" w:cs="Arial" w:eastAsia="Arial" w:hAnsi="Arial"/>
                <w:sz w:val="18"/>
                <w:szCs w:val="18"/>
                <w:color w:val="0000FF"/>
              </w:rPr>
              <w:t>Exhibits</w:t>
            </w:r>
          </w:p>
        </w:tc>
      </w:tr>
      <w:tr>
        <w:trPr>
          <w:trHeight w:val="507"/>
        </w:trPr>
        <w:tc>
          <w:tcPr>
            <w:tcW w:w="10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5"/>
              </w:rPr>
              <w:t>Exhibit Index</w:t>
            </w:r>
          </w:p>
        </w:tc>
        <w:tc>
          <w:tcPr>
            <w:tcW w:w="2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9"/>
        </w:trPr>
        <w:tc>
          <w:tcPr>
            <w:tcW w:w="7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Signature</w:t>
            </w:r>
          </w:p>
        </w:tc>
        <w:tc>
          <w:tcPr>
            <w:tcW w:w="54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23495</wp:posOffset>
            </wp:positionV>
            <wp:extent cx="445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327" w:lineRule="exact"/>
        <w:rPr>
          <w:sz w:val="20"/>
          <w:szCs w:val="20"/>
          <w:color w:val="auto"/>
        </w:rPr>
      </w:pPr>
    </w:p>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p>
      <w:pPr>
        <w:spacing w:after="0" w:line="333" w:lineRule="exact"/>
        <w:rPr>
          <w:sz w:val="20"/>
          <w:szCs w:val="20"/>
          <w:color w:val="auto"/>
        </w:rPr>
      </w:pPr>
    </w:p>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p>
      <w:pPr>
        <w:spacing w:after="0" w:line="333"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p>
      <w:pPr>
        <w:spacing w:after="0" w:line="293" w:lineRule="exact"/>
        <w:rPr>
          <w:sz w:val="20"/>
          <w:szCs w:val="20"/>
          <w:color w:val="auto"/>
        </w:rPr>
      </w:pPr>
    </w:p>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p>
      <w:pPr>
        <w:spacing w:after="0" w:line="200" w:lineRule="exact"/>
        <w:rPr>
          <w:sz w:val="20"/>
          <w:szCs w:val="20"/>
          <w:color w:val="auto"/>
        </w:rPr>
      </w:pPr>
    </w:p>
    <w:p>
      <w:pPr>
        <w:spacing w:after="0" w:line="268"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p>
      <w:pPr>
        <w:spacing w:after="0" w:line="333" w:lineRule="exact"/>
        <w:rPr>
          <w:sz w:val="20"/>
          <w:szCs w:val="20"/>
          <w:color w:val="auto"/>
        </w:rPr>
      </w:pPr>
    </w:p>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p>
      <w:pPr>
        <w:spacing w:after="0" w:line="333" w:lineRule="exact"/>
        <w:rPr>
          <w:sz w:val="20"/>
          <w:szCs w:val="20"/>
          <w:color w:val="auto"/>
        </w:rPr>
      </w:pPr>
    </w:p>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p>
      <w:pPr>
        <w:spacing w:after="0" w:line="333" w:lineRule="exact"/>
        <w:rPr>
          <w:sz w:val="20"/>
          <w:szCs w:val="20"/>
          <w:color w:val="auto"/>
        </w:rPr>
      </w:pPr>
    </w:p>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22</w:t>
        </w:r>
      </w:hyperlink>
    </w:p>
    <w:p>
      <w:pPr>
        <w:spacing w:after="0" w:line="333" w:lineRule="exact"/>
        <w:rPr>
          <w:sz w:val="20"/>
          <w:szCs w:val="20"/>
          <w:color w:val="auto"/>
        </w:rPr>
      </w:pPr>
    </w:p>
    <w:p>
      <w:pPr>
        <w:ind w:left="30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27</w:t>
        </w:r>
      </w:hyperlink>
    </w:p>
    <w:p>
      <w:pPr>
        <w:spacing w:after="0" w:line="316" w:lineRule="exact"/>
        <w:rPr>
          <w:sz w:val="20"/>
          <w:szCs w:val="20"/>
          <w:color w:val="auto"/>
        </w:rPr>
      </w:pPr>
    </w:p>
    <w:p>
      <w:pPr>
        <w:ind w:left="30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27</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0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28</w:t>
        </w:r>
      </w:hyperlink>
    </w:p>
    <w:p>
      <w:pPr>
        <w:spacing w:after="0" w:line="356" w:lineRule="exact"/>
        <w:rPr>
          <w:sz w:val="20"/>
          <w:szCs w:val="20"/>
          <w:color w:val="auto"/>
        </w:rPr>
      </w:pPr>
    </w:p>
    <w:p>
      <w:pPr>
        <w:ind w:left="30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28</w:t>
        </w:r>
      </w:hyperlink>
    </w:p>
    <w:p>
      <w:pPr>
        <w:spacing w:after="0" w:line="356" w:lineRule="exact"/>
        <w:rPr>
          <w:sz w:val="20"/>
          <w:szCs w:val="20"/>
          <w:color w:val="auto"/>
        </w:rPr>
      </w:pPr>
    </w:p>
    <w:p>
      <w:pPr>
        <w:ind w:left="30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31</w:t>
        </w:r>
      </w:hyperlink>
    </w:p>
    <w:p>
      <w:pPr>
        <w:spacing w:after="0" w:line="356" w:lineRule="exact"/>
        <w:rPr>
          <w:sz w:val="20"/>
          <w:szCs w:val="20"/>
          <w:color w:val="auto"/>
        </w:rPr>
      </w:pPr>
    </w:p>
    <w:p>
      <w:pPr>
        <w:ind w:left="30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31</w:t>
        </w:r>
      </w:hyperlink>
    </w:p>
    <w:p>
      <w:pPr>
        <w:spacing w:after="0" w:line="356" w:lineRule="exact"/>
        <w:rPr>
          <w:sz w:val="20"/>
          <w:szCs w:val="20"/>
          <w:color w:val="auto"/>
        </w:rPr>
      </w:pPr>
    </w:p>
    <w:p>
      <w:pPr>
        <w:ind w:left="30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31</w:t>
        </w:r>
      </w:hyperlink>
    </w:p>
    <w:p>
      <w:pPr>
        <w:spacing w:after="0" w:line="356" w:lineRule="exact"/>
        <w:rPr>
          <w:sz w:val="20"/>
          <w:szCs w:val="20"/>
          <w:color w:val="auto"/>
        </w:rPr>
      </w:pPr>
    </w:p>
    <w:p>
      <w:pPr>
        <w:ind w:left="30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31</w:t>
        </w:r>
      </w:hyperlink>
    </w:p>
    <w:p>
      <w:pPr>
        <w:spacing w:after="0" w:line="356" w:lineRule="exact"/>
        <w:rPr>
          <w:sz w:val="20"/>
          <w:szCs w:val="20"/>
          <w:color w:val="auto"/>
        </w:rPr>
      </w:pPr>
    </w:p>
    <w:p>
      <w:pPr>
        <w:ind w:left="30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32</w:t>
        </w:r>
      </w:hyperlink>
    </w:p>
    <w:p>
      <w:pPr>
        <w:spacing w:after="0" w:line="316" w:lineRule="exact"/>
        <w:rPr>
          <w:sz w:val="20"/>
          <w:szCs w:val="20"/>
          <w:color w:val="auto"/>
        </w:rPr>
      </w:pPr>
    </w:p>
    <w:p>
      <w:pPr>
        <w:ind w:left="300"/>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32</w:t>
        </w:r>
      </w:hyperlink>
    </w:p>
    <w:p>
      <w:pPr>
        <w:spacing w:after="0" w:line="316" w:lineRule="exact"/>
        <w:rPr>
          <w:sz w:val="20"/>
          <w:szCs w:val="20"/>
          <w:color w:val="auto"/>
        </w:rPr>
      </w:pPr>
    </w:p>
    <w:p>
      <w:pPr>
        <w:ind w:left="300"/>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33</w:t>
        </w:r>
      </w:hyperlink>
    </w:p>
    <w:p>
      <w:pPr>
        <w:sectPr>
          <w:pgSz w:w="11900" w:h="16838" w:orient="portrait"/>
          <w:cols w:equalWidth="0" w:num="2">
            <w:col w:w="10180" w:space="520"/>
            <w:col w:w="480"/>
          </w:cols>
          <w:pgMar w:left="340" w:top="89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6960" w:type="dxa"/>
            <w:vAlign w:val="bottom"/>
          </w:tcPr>
          <w:p>
            <w:pPr>
              <w:jc w:val="center"/>
              <w:ind w:left="1510"/>
              <w:spacing w:after="0"/>
              <w:rPr>
                <w:sz w:val="20"/>
                <w:szCs w:val="20"/>
                <w:color w:val="auto"/>
              </w:rPr>
            </w:pPr>
            <w:r>
              <w:rPr>
                <w:rFonts w:ascii="Arial" w:cs="Arial" w:eastAsia="Arial" w:hAnsi="Arial"/>
                <w:sz w:val="18"/>
                <w:szCs w:val="18"/>
                <w:b w:val="1"/>
                <w:bCs w:val="1"/>
                <w:color w:val="auto"/>
              </w:rPr>
              <w:t>PART I - FINANCIAL INFORMATION</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96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340" w:type="dxa"/>
            <w:vAlign w:val="bottom"/>
          </w:tcPr>
          <w:p>
            <w:pPr>
              <w:spacing w:after="0"/>
              <w:rPr>
                <w:sz w:val="24"/>
                <w:szCs w:val="24"/>
                <w:color w:val="auto"/>
              </w:rPr>
            </w:pPr>
          </w:p>
        </w:tc>
        <w:tc>
          <w:tcPr>
            <w:tcW w:w="6960" w:type="dxa"/>
            <w:vAlign w:val="bottom"/>
          </w:tcPr>
          <w:p>
            <w:pPr>
              <w:jc w:val="center"/>
              <w:ind w:left="1530"/>
              <w:spacing w:after="0"/>
              <w:rPr>
                <w:sz w:val="20"/>
                <w:szCs w:val="20"/>
                <w:color w:val="auto"/>
              </w:rPr>
            </w:pPr>
            <w:r>
              <w:rPr>
                <w:rFonts w:ascii="Arial" w:cs="Arial" w:eastAsia="Arial" w:hAnsi="Arial"/>
                <w:sz w:val="18"/>
                <w:szCs w:val="18"/>
                <w:b w:val="1"/>
                <w:bCs w:val="1"/>
                <w:color w:val="auto"/>
              </w:rPr>
              <w:t>VERICEL CORPORATION</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960" w:type="dxa"/>
            <w:vAlign w:val="bottom"/>
          </w:tcPr>
          <w:p>
            <w:pPr>
              <w:jc w:val="center"/>
              <w:ind w:left="151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6960" w:type="dxa"/>
            <w:vAlign w:val="bottom"/>
          </w:tcPr>
          <w:p>
            <w:pPr>
              <w:jc w:val="center"/>
              <w:ind w:left="1530"/>
              <w:spacing w:after="0"/>
              <w:rPr>
                <w:sz w:val="20"/>
                <w:szCs w:val="20"/>
                <w:color w:val="auto"/>
              </w:rPr>
            </w:pPr>
            <w:r>
              <w:rPr>
                <w:rFonts w:ascii="Arial" w:cs="Arial" w:eastAsia="Arial" w:hAnsi="Arial"/>
                <w:sz w:val="18"/>
                <w:szCs w:val="18"/>
                <w:b w:val="1"/>
                <w:bCs w:val="1"/>
                <w:color w:val="auto"/>
                <w:w w:val="89"/>
              </w:rPr>
              <w:t>(Unaudited, amounts in thousands)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4"/>
        </w:trPr>
        <w:tc>
          <w:tcPr>
            <w:tcW w:w="13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CCEEFF"/>
            </w:tcBorders>
          </w:tcPr>
          <w:p>
            <w:pPr>
              <w:spacing w:after="0"/>
              <w:rPr>
                <w:sz w:val="17"/>
                <w:szCs w:val="17"/>
                <w:color w:val="auto"/>
              </w:rPr>
            </w:pPr>
          </w:p>
        </w:tc>
        <w:tc>
          <w:tcPr>
            <w:tcW w:w="69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9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6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55,704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26,889</w:t>
            </w:r>
          </w:p>
        </w:tc>
        <w:tc>
          <w:tcPr>
            <w:tcW w:w="0" w:type="dxa"/>
            <w:vAlign w:val="bottom"/>
          </w:tcPr>
          <w:p>
            <w:pPr>
              <w:spacing w:after="0"/>
              <w:rPr>
                <w:sz w:val="1"/>
                <w:szCs w:val="1"/>
                <w:color w:val="auto"/>
              </w:rPr>
            </w:pP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8"/>
                <w:szCs w:val="18"/>
                <w:color w:val="auto"/>
              </w:rPr>
              <w:t>Short term investments</w:t>
            </w:r>
          </w:p>
        </w:tc>
        <w:tc>
          <w:tcPr>
            <w:tcW w:w="28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25,086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42,829</w:t>
            </w:r>
          </w:p>
        </w:tc>
        <w:tc>
          <w:tcPr>
            <w:tcW w:w="0" w:type="dxa"/>
            <w:vAlign w:val="bottom"/>
          </w:tcPr>
          <w:p>
            <w:pPr>
              <w:spacing w:after="0"/>
              <w:rPr>
                <w:sz w:val="1"/>
                <w:szCs w:val="1"/>
                <w:color w:val="auto"/>
              </w:rPr>
            </w:pPr>
          </w:p>
        </w:tc>
      </w:tr>
      <w:tr>
        <w:trPr>
          <w:trHeight w:val="27"/>
        </w:trPr>
        <w:tc>
          <w:tcPr>
            <w:tcW w:w="8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Accounts receivable (net of allowance for doubtful accounts of $207 and $306,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23,655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32,168</w:t>
            </w:r>
          </w:p>
        </w:tc>
        <w:tc>
          <w:tcPr>
            <w:tcW w:w="0" w:type="dxa"/>
            <w:vAlign w:val="bottom"/>
          </w:tcPr>
          <w:p>
            <w:pPr>
              <w:spacing w:after="0"/>
              <w:rPr>
                <w:sz w:val="1"/>
                <w:szCs w:val="1"/>
                <w:color w:val="auto"/>
              </w:rPr>
            </w:pPr>
          </w:p>
        </w:tc>
      </w:tr>
      <w:tr>
        <w:trPr>
          <w:trHeight w:val="243"/>
        </w:trPr>
        <w:tc>
          <w:tcPr>
            <w:tcW w:w="134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6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8,417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6,816</w:t>
            </w:r>
          </w:p>
        </w:tc>
        <w:tc>
          <w:tcPr>
            <w:tcW w:w="0" w:type="dxa"/>
            <w:vAlign w:val="bottom"/>
          </w:tcPr>
          <w:p>
            <w:pPr>
              <w:spacing w:after="0"/>
              <w:rPr>
                <w:sz w:val="1"/>
                <w:szCs w:val="1"/>
                <w:color w:val="auto"/>
              </w:rPr>
            </w:pPr>
          </w:p>
        </w:tc>
      </w:tr>
      <w:tr>
        <w:trPr>
          <w:trHeight w:val="27"/>
        </w:trPr>
        <w:tc>
          <w:tcPr>
            <w:tcW w:w="8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37"/>
        </w:trPr>
        <w:tc>
          <w:tcPr>
            <w:tcW w:w="830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115,762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111,655</w:t>
            </w:r>
          </w:p>
        </w:tc>
        <w:tc>
          <w:tcPr>
            <w:tcW w:w="0" w:type="dxa"/>
            <w:vAlign w:val="bottom"/>
          </w:tcPr>
          <w:p>
            <w:pPr>
              <w:spacing w:after="0"/>
              <w:rPr>
                <w:sz w:val="1"/>
                <w:szCs w:val="1"/>
                <w:color w:val="auto"/>
              </w:rPr>
            </w:pPr>
          </w:p>
        </w:tc>
      </w:tr>
      <w:tr>
        <w:trPr>
          <w:trHeight w:val="27"/>
        </w:trPr>
        <w:tc>
          <w:tcPr>
            <w:tcW w:w="8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7,144</w:t>
            </w:r>
          </w:p>
        </w:tc>
        <w:tc>
          <w:tcPr>
            <w:tcW w:w="0" w:type="dxa"/>
            <w:vAlign w:val="bottom"/>
          </w:tcPr>
          <w:p>
            <w:pPr>
              <w:spacing w:after="0"/>
              <w:rPr>
                <w:sz w:val="1"/>
                <w:szCs w:val="1"/>
                <w:color w:val="auto"/>
              </w:rPr>
            </w:pPr>
          </w:p>
        </w:tc>
      </w:tr>
      <w:tr>
        <w:trPr>
          <w:trHeight w:val="243"/>
        </w:trPr>
        <w:tc>
          <w:tcPr>
            <w:tcW w:w="1340" w:type="dxa"/>
            <w:vAlign w:val="bottom"/>
          </w:tcPr>
          <w:p>
            <w:pPr>
              <w:ind w:left="120"/>
              <w:spacing w:after="0"/>
              <w:rPr>
                <w:sz w:val="20"/>
                <w:szCs w:val="20"/>
                <w:color w:val="auto"/>
              </w:rPr>
            </w:pPr>
            <w:r>
              <w:rPr>
                <w:rFonts w:ascii="Arial" w:cs="Arial" w:eastAsia="Arial" w:hAnsi="Arial"/>
                <w:sz w:val="18"/>
                <w:szCs w:val="18"/>
                <w:color w:val="auto"/>
                <w:w w:val="96"/>
              </w:rPr>
              <w:t>Restricted cash</w:t>
            </w:r>
          </w:p>
        </w:tc>
        <w:tc>
          <w:tcPr>
            <w:tcW w:w="6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8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Right-of-use leased assets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25,103</w:t>
            </w:r>
          </w:p>
        </w:tc>
        <w:tc>
          <w:tcPr>
            <w:tcW w:w="0" w:type="dxa"/>
            <w:vAlign w:val="bottom"/>
          </w:tcPr>
          <w:p>
            <w:pPr>
              <w:spacing w:after="0"/>
              <w:rPr>
                <w:sz w:val="1"/>
                <w:szCs w:val="1"/>
                <w:color w:val="auto"/>
              </w:rPr>
            </w:pP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8"/>
                <w:szCs w:val="18"/>
                <w:color w:val="auto"/>
              </w:rPr>
              <w:t>Long term investments</w:t>
            </w:r>
          </w:p>
        </w:tc>
        <w:tc>
          <w:tcPr>
            <w:tcW w:w="2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7"/>
        </w:trPr>
        <w:tc>
          <w:tcPr>
            <w:tcW w:w="134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69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146,691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153,238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Current liabilities:</w:t>
            </w:r>
          </w:p>
        </w:tc>
        <w:tc>
          <w:tcPr>
            <w:tcW w:w="6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4,535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7"/>
        </w:trPr>
        <w:tc>
          <w:tcPr>
            <w:tcW w:w="8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7,948</w:t>
            </w:r>
          </w:p>
        </w:tc>
        <w:tc>
          <w:tcPr>
            <w:tcW w:w="0" w:type="dxa"/>
            <w:vAlign w:val="bottom"/>
          </w:tcPr>
          <w:p>
            <w:pPr>
              <w:spacing w:after="0"/>
              <w:rPr>
                <w:sz w:val="1"/>
                <w:szCs w:val="1"/>
                <w:color w:val="auto"/>
              </w:rPr>
            </w:pP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8"/>
                <w:szCs w:val="18"/>
                <w:color w:val="auto"/>
              </w:rPr>
              <w:t>Current portion of operating lease liabilities</w:t>
            </w:r>
          </w:p>
        </w:tc>
        <w:tc>
          <w:tcPr>
            <w:tcW w:w="28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5,570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69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83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18,121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19,795</w:t>
            </w:r>
          </w:p>
        </w:tc>
        <w:tc>
          <w:tcPr>
            <w:tcW w:w="0" w:type="dxa"/>
            <w:vAlign w:val="bottom"/>
          </w:tcPr>
          <w:p>
            <w:pPr>
              <w:spacing w:after="0"/>
              <w:rPr>
                <w:sz w:val="1"/>
                <w:szCs w:val="1"/>
                <w:color w:val="auto"/>
              </w:rPr>
            </w:pPr>
          </w:p>
        </w:tc>
      </w:tr>
      <w:tr>
        <w:trPr>
          <w:trHeight w:val="27"/>
        </w:trPr>
        <w:tc>
          <w:tcPr>
            <w:tcW w:w="8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20,881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22,242</w:t>
            </w:r>
          </w:p>
        </w:tc>
        <w:tc>
          <w:tcPr>
            <w:tcW w:w="0" w:type="dxa"/>
            <w:vAlign w:val="bottom"/>
          </w:tcPr>
          <w:p>
            <w:pPr>
              <w:spacing w:after="0"/>
              <w:rPr>
                <w:sz w:val="1"/>
                <w:szCs w:val="1"/>
                <w:color w:val="auto"/>
              </w:rPr>
            </w:pP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39,095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42,147</w:t>
            </w:r>
          </w:p>
        </w:tc>
        <w:tc>
          <w:tcPr>
            <w:tcW w:w="0" w:type="dxa"/>
            <w:vAlign w:val="bottom"/>
          </w:tcPr>
          <w:p>
            <w:pPr>
              <w:spacing w:after="0"/>
              <w:rPr>
                <w:sz w:val="1"/>
                <w:szCs w:val="1"/>
                <w:color w:val="auto"/>
              </w:rPr>
            </w:pPr>
          </w:p>
        </w:tc>
      </w:tr>
      <w:tr>
        <w:trPr>
          <w:trHeight w:val="243"/>
        </w:trPr>
        <w:tc>
          <w:tcPr>
            <w:tcW w:w="830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00" w:type="dxa"/>
            <w:vAlign w:val="bottom"/>
            <w:gridSpan w:val="2"/>
          </w:tcPr>
          <w:p>
            <w:pPr>
              <w:ind w:left="120"/>
              <w:spacing w:after="0"/>
              <w:rPr>
                <w:sz w:val="20"/>
                <w:szCs w:val="20"/>
                <w:color w:val="auto"/>
              </w:rPr>
            </w:pPr>
            <w:r>
              <w:rPr>
                <w:rFonts w:ascii="Arial" w:cs="Arial" w:eastAsia="Arial" w:hAnsi="Arial"/>
                <w:sz w:val="18"/>
                <w:szCs w:val="18"/>
                <w:color w:val="auto"/>
                <w:w w:val="97"/>
              </w:rPr>
              <w:t>Common stock, no par value; shares authorized — 75,000; shares issued and outstanding — 45,194 and</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120"/>
              <w:spacing w:after="0"/>
              <w:rPr>
                <w:sz w:val="20"/>
                <w:szCs w:val="20"/>
                <w:color w:val="auto"/>
              </w:rPr>
            </w:pPr>
            <w:r>
              <w:rPr>
                <w:rFonts w:ascii="Arial" w:cs="Arial" w:eastAsia="Arial" w:hAnsi="Arial"/>
                <w:sz w:val="18"/>
                <w:szCs w:val="18"/>
                <w:color w:val="auto"/>
              </w:rPr>
              <w:t>44,864, respectively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499,103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489,749</w:t>
            </w:r>
          </w:p>
        </w:tc>
        <w:tc>
          <w:tcPr>
            <w:tcW w:w="0" w:type="dxa"/>
            <w:vAlign w:val="bottom"/>
          </w:tcPr>
          <w:p>
            <w:pPr>
              <w:spacing w:after="0"/>
              <w:rPr>
                <w:sz w:val="1"/>
                <w:szCs w:val="1"/>
                <w:color w:val="auto"/>
              </w:rPr>
            </w:pPr>
          </w:p>
        </w:tc>
      </w:tr>
      <w:tr>
        <w:trPr>
          <w:trHeight w:val="27"/>
        </w:trPr>
        <w:tc>
          <w:tcPr>
            <w:tcW w:w="8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comprehensive gain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(391,653)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(378,679)</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107,596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111,091</w:t>
            </w:r>
          </w:p>
        </w:tc>
        <w:tc>
          <w:tcPr>
            <w:tcW w:w="0" w:type="dxa"/>
            <w:vAlign w:val="bottom"/>
          </w:tcPr>
          <w:p>
            <w:pPr>
              <w:spacing w:after="0"/>
              <w:rPr>
                <w:sz w:val="1"/>
                <w:szCs w:val="1"/>
                <w:color w:val="auto"/>
              </w:rPr>
            </w:pPr>
          </w:p>
        </w:tc>
      </w:tr>
      <w:tr>
        <w:trPr>
          <w:trHeight w:val="237"/>
        </w:trPr>
        <w:tc>
          <w:tcPr>
            <w:tcW w:w="8300" w:type="dxa"/>
            <w:vAlign w:val="bottom"/>
            <w:gridSpan w:val="2"/>
          </w:tcPr>
          <w:p>
            <w:pPr>
              <w:ind w:left="12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146,691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153,238</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to the Condensed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sales, net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26,151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46,692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47,961</w:t>
            </w:r>
          </w:p>
        </w:tc>
        <w:tc>
          <w:tcPr>
            <w:tcW w:w="0" w:type="dxa"/>
            <w:vAlign w:val="bottom"/>
          </w:tcPr>
          <w:p>
            <w:pPr>
              <w:spacing w:after="0"/>
              <w:rPr>
                <w:sz w:val="1"/>
                <w:szCs w:val="1"/>
                <w:color w:val="auto"/>
              </w:rPr>
            </w:pPr>
          </w:p>
        </w:tc>
      </w:tr>
      <w:tr>
        <w:trPr>
          <w:trHeight w:val="243"/>
        </w:trPr>
        <w:tc>
          <w:tcPr>
            <w:tcW w:w="5180" w:type="dxa"/>
            <w:vAlign w:val="bottom"/>
          </w:tcPr>
          <w:p>
            <w:pPr>
              <w:ind w:left="120"/>
              <w:spacing w:after="0"/>
              <w:rPr>
                <w:sz w:val="20"/>
                <w:szCs w:val="20"/>
                <w:color w:val="auto"/>
              </w:rPr>
            </w:pPr>
            <w:r>
              <w:rPr>
                <w:rFonts w:ascii="Arial" w:cs="Arial" w:eastAsia="Arial" w:hAnsi="Arial"/>
                <w:sz w:val="18"/>
                <w:szCs w:val="18"/>
                <w:color w:val="auto"/>
              </w:rPr>
              <w:t>Cost of product sales</w:t>
            </w:r>
          </w:p>
        </w:tc>
        <w:tc>
          <w:tcPr>
            <w:tcW w:w="3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8,660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18,582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17,662</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11,354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28,110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30,299</w:t>
            </w:r>
          </w:p>
        </w:tc>
        <w:tc>
          <w:tcPr>
            <w:tcW w:w="0" w:type="dxa"/>
            <w:vAlign w:val="bottom"/>
          </w:tcPr>
          <w:p>
            <w:pPr>
              <w:spacing w:after="0"/>
              <w:rPr>
                <w:sz w:val="1"/>
                <w:szCs w:val="1"/>
                <w:color w:val="auto"/>
              </w:rPr>
            </w:pPr>
          </w:p>
        </w:tc>
      </w:tr>
      <w:tr>
        <w:trPr>
          <w:trHeight w:val="237"/>
        </w:trPr>
        <w:tc>
          <w:tcPr>
            <w:tcW w:w="51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21,070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6,989</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24,078</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16,486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34,555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29,779</w:t>
            </w:r>
          </w:p>
        </w:tc>
        <w:tc>
          <w:tcPr>
            <w:tcW w:w="0" w:type="dxa"/>
            <w:vAlign w:val="bottom"/>
          </w:tcPr>
          <w:p>
            <w:pPr>
              <w:spacing w:after="0"/>
              <w:rPr>
                <w:sz w:val="1"/>
                <w:szCs w:val="1"/>
                <w:color w:val="auto"/>
              </w:rPr>
            </w:pPr>
          </w:p>
        </w:tc>
      </w:tr>
      <w:tr>
        <w:trPr>
          <w:trHeight w:val="237"/>
        </w:trPr>
        <w:tc>
          <w:tcPr>
            <w:tcW w:w="51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19,712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37,329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41,544</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53,857</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(13,434)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(23,558)</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43"/>
        </w:trPr>
        <w:tc>
          <w:tcPr>
            <w:tcW w:w="51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180" w:type="dxa"/>
            <w:vAlign w:val="bottom"/>
          </w:tcPr>
          <w:p>
            <w:pPr>
              <w:ind w:left="34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(8,269)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(19,792)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(12,974)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(22,636)</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6"/>
              </w:rPr>
              <w:t>Net loss per share attributable to common shareholders (Basic and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80" w:type="dxa"/>
            <w:vAlign w:val="bottom"/>
            <w:vMerge w:val="continue"/>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ind w:right="32"/>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31"/>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32"/>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1"/>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35"/>
        </w:trPr>
        <w:tc>
          <w:tcPr>
            <w:tcW w:w="5180" w:type="dxa"/>
            <w:vAlign w:val="bottom"/>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w w:val="92"/>
              </w:rPr>
              <w:t>Weighted average number of common shares outstanding (Basic and</w:t>
            </w: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45,137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43,956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45,031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43,841</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to the Condensed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 w:name="page5"/>
    <w:bookmarkEnd w:id="4"/>
    <w:p>
      <w:pPr>
        <w:jc w:val="center"/>
        <w:ind w:right="-279"/>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 amounts in thousands</w:t>
      </w:r>
      <w:r>
        <w:rPr>
          <w:rFonts w:ascii="Arial" w:cs="Arial" w:eastAsia="Arial" w:hAnsi="Arial"/>
          <w:sz w:val="18"/>
          <w:szCs w:val="18"/>
          <w:color w:val="auto"/>
        </w:rPr>
        <w:t>)</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340" w:type="dxa"/>
            <w:vAlign w:val="bottom"/>
            <w:gridSpan w:val="6"/>
          </w:tcPr>
          <w:p>
            <w:pPr>
              <w:ind w:left="70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8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40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(8,269)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(12,974)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(22,636)</w:t>
            </w:r>
          </w:p>
        </w:tc>
      </w:tr>
      <w:tr>
        <w:trPr>
          <w:trHeight w:val="243"/>
        </w:trPr>
        <w:tc>
          <w:tcPr>
            <w:tcW w:w="440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Unrealized gain on investments</w:t>
            </w: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38</w:t>
            </w: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(8,185)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(19,757)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(12,849)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(22,598)</w:t>
            </w:r>
          </w:p>
        </w:tc>
      </w:tr>
      <w:tr>
        <w:trPr>
          <w:trHeight w:val="27"/>
        </w:trPr>
        <w:tc>
          <w:tcPr>
            <w:tcW w:w="4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accompanying Notes to the Condensed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891" w:right="61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580" w:type="dxa"/>
            <w:vAlign w:val="bottom"/>
            <w:gridSpan w:val="5"/>
          </w:tcPr>
          <w:p>
            <w:pPr>
              <w:ind w:left="7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Warrants</w:t>
            </w:r>
          </w:p>
        </w:tc>
        <w:tc>
          <w:tcPr>
            <w:tcW w:w="15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gridSpan w:val="2"/>
            <w:vMerge w:val="restart"/>
          </w:tcPr>
          <w:p>
            <w:pPr>
              <w:jc w:val="center"/>
              <w:ind w:right="32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1200" w:type="dxa"/>
            <w:vAlign w:val="bottom"/>
            <w:gridSpan w:val="2"/>
            <w:vMerge w:val="restart"/>
          </w:tcPr>
          <w:p>
            <w:pPr>
              <w:ind w:left="40"/>
              <w:spacing w:after="0" w:line="126"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4"/>
                <w:szCs w:val="4"/>
                <w:color w:val="auto"/>
              </w:rPr>
            </w:pPr>
          </w:p>
        </w:tc>
        <w:tc>
          <w:tcPr>
            <w:tcW w:w="1080" w:type="dxa"/>
            <w:vAlign w:val="bottom"/>
            <w:vMerge w:val="restart"/>
          </w:tcPr>
          <w:p>
            <w:pPr>
              <w:jc w:val="center"/>
              <w:ind w:right="60"/>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52"/>
        </w:trPr>
        <w:tc>
          <w:tcPr>
            <w:tcW w:w="3300" w:type="dxa"/>
            <w:vAlign w:val="bottom"/>
          </w:tcPr>
          <w:p>
            <w:pPr>
              <w:spacing w:after="0"/>
              <w:rPr>
                <w:sz w:val="4"/>
                <w:szCs w:val="4"/>
                <w:color w:val="auto"/>
              </w:rPr>
            </w:pPr>
          </w:p>
        </w:tc>
        <w:tc>
          <w:tcPr>
            <w:tcW w:w="11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6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6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73"/>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44,864</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489,749</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(378,679)</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111,091</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3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(4,705)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(4,705)</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Compensation expense related to stock options</w:t>
            </w: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restricted stock units granted, net of</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forfeitures</w:t>
            </w: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3,768</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3,768</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6"/>
                <w:szCs w:val="16"/>
                <w:color w:val="auto"/>
              </w:rPr>
              <w:t>Stock option exercises</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196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Shares issued under the Employee Stock Purchase</w:t>
            </w: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Plan</w:t>
            </w: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224</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20"/>
        </w:trPr>
        <w:tc>
          <w:tcPr>
            <w:tcW w:w="3300" w:type="dxa"/>
            <w:vAlign w:val="bottom"/>
          </w:tcPr>
          <w:p>
            <w:pPr>
              <w:ind w:left="20"/>
              <w:spacing w:after="0"/>
              <w:rPr>
                <w:sz w:val="20"/>
                <w:szCs w:val="20"/>
                <w:color w:val="auto"/>
              </w:rPr>
            </w:pPr>
            <w:r>
              <w:rPr>
                <w:rFonts w:ascii="Arial" w:cs="Arial" w:eastAsia="Arial" w:hAnsi="Arial"/>
                <w:sz w:val="16"/>
                <w:szCs w:val="16"/>
                <w:color w:val="auto"/>
              </w:rPr>
              <w:t>Issuance of stock upon restricted stock unit</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00" w:type="dxa"/>
            <w:vAlign w:val="bottom"/>
          </w:tcPr>
          <w:p>
            <w:pPr>
              <w:ind w:left="20"/>
              <w:spacing w:after="0"/>
              <w:rPr>
                <w:sz w:val="20"/>
                <w:szCs w:val="20"/>
                <w:color w:val="auto"/>
              </w:rPr>
            </w:pPr>
            <w:r>
              <w:rPr>
                <w:rFonts w:ascii="Arial" w:cs="Arial" w:eastAsia="Arial" w:hAnsi="Arial"/>
                <w:sz w:val="16"/>
                <w:szCs w:val="16"/>
                <w:color w:val="auto"/>
              </w:rPr>
              <w:t>vesting</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withheld for employee tax</w:t>
            </w: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remittance</w:t>
            </w:r>
          </w:p>
        </w:tc>
        <w:tc>
          <w:tcPr>
            <w:tcW w:w="11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(14)</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6"/>
                <w:szCs w:val="16"/>
                <w:color w:val="auto"/>
              </w:rPr>
              <w:t>Unrealized gain on investments</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3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44,963</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493,774</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62</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(383,384)</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110,452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3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(8,269)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(8,269)</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Compensation expense related to stock options</w:t>
            </w: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restricted stock units granted, net of</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forfeitures</w:t>
            </w: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4,376</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4,376</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6"/>
                <w:szCs w:val="16"/>
                <w:color w:val="auto"/>
              </w:rPr>
              <w:t>Stock option exercises</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188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696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Shares issued under the Employee Stock Purchase</w:t>
            </w: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Plan</w:t>
            </w: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32</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257</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6"/>
                <w:szCs w:val="16"/>
                <w:color w:val="auto"/>
                <w:w w:val="94"/>
              </w:rPr>
              <w:t>Issuance of stock for restricted stock unit vesting</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Unrealized gain on investments</w:t>
            </w: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84</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47"/>
        </w:trPr>
        <w:tc>
          <w:tcPr>
            <w:tcW w:w="3300" w:type="dxa"/>
            <w:vAlign w:val="bottom"/>
          </w:tcPr>
          <w:p>
            <w:pPr>
              <w:ind w:left="20"/>
              <w:spacing w:after="0"/>
              <w:rPr>
                <w:sz w:val="20"/>
                <w:szCs w:val="20"/>
                <w:color w:val="auto"/>
              </w:rPr>
            </w:pPr>
            <w:r>
              <w:rPr>
                <w:rFonts w:ascii="Arial" w:cs="Arial" w:eastAsia="Arial" w:hAnsi="Arial"/>
                <w:sz w:val="16"/>
                <w:szCs w:val="16"/>
                <w:color w:val="auto"/>
              </w:rPr>
              <w:t>BALANCE, JUNE 30, 2020</w:t>
            </w:r>
          </w:p>
        </w:tc>
        <w:tc>
          <w:tcPr>
            <w:tcW w:w="11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45,194</w:t>
            </w:r>
          </w:p>
        </w:tc>
        <w:tc>
          <w:tcPr>
            <w:tcW w:w="1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499,103</w:t>
            </w: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146</w:t>
            </w:r>
          </w:p>
        </w:tc>
        <w:tc>
          <w:tcPr>
            <w:tcW w:w="1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(391,653)</w:t>
            </w:r>
          </w:p>
        </w:tc>
        <w:tc>
          <w:tcPr>
            <w:tcW w:w="1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107,596</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580" w:type="dxa"/>
            <w:vAlign w:val="bottom"/>
            <w:gridSpan w:val="5"/>
          </w:tcPr>
          <w:p>
            <w:pPr>
              <w:ind w:left="7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Warrants</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2"/>
            <w:vMerge w:val="restart"/>
          </w:tcPr>
          <w:p>
            <w:pPr>
              <w:jc w:val="center"/>
              <w:ind w:right="28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1240" w:type="dxa"/>
            <w:vAlign w:val="bottom"/>
            <w:gridSpan w:val="2"/>
            <w:vMerge w:val="restart"/>
          </w:tcPr>
          <w:p>
            <w:pPr>
              <w:ind w:left="40"/>
              <w:spacing w:after="0" w:line="126"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4"/>
                <w:szCs w:val="4"/>
                <w:color w:val="auto"/>
              </w:rPr>
            </w:pPr>
          </w:p>
        </w:tc>
        <w:tc>
          <w:tcPr>
            <w:tcW w:w="1080" w:type="dxa"/>
            <w:vAlign w:val="bottom"/>
            <w:gridSpan w:val="2"/>
            <w:vMerge w:val="restart"/>
          </w:tcPr>
          <w:p>
            <w:pPr>
              <w:jc w:val="center"/>
              <w:ind w:right="160"/>
              <w:spacing w:after="0" w:line="126" w:lineRule="exact"/>
              <w:rPr>
                <w:sz w:val="20"/>
                <w:szCs w:val="20"/>
                <w:color w:val="auto"/>
              </w:rPr>
            </w:pPr>
            <w:r>
              <w:rPr>
                <w:rFonts w:ascii="Arial" w:cs="Arial" w:eastAsia="Arial" w:hAnsi="Arial"/>
                <w:sz w:val="14"/>
                <w:szCs w:val="14"/>
                <w:b w:val="1"/>
                <w:bCs w:val="1"/>
                <w:color w:val="auto"/>
                <w:w w:val="90"/>
              </w:rPr>
              <w:t>Shareholders'</w:t>
            </w: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2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4"/>
                <w:szCs w:val="4"/>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4"/>
                <w:szCs w:val="4"/>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3"/>
                <w:szCs w:val="23"/>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11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43,578</w:t>
            </w: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471,180</w:t>
            </w: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104</w:t>
            </w:r>
          </w:p>
        </w:tc>
        <w:tc>
          <w:tcPr>
            <w:tcW w:w="16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(369,014)</w:t>
            </w: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102,231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Net loss</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(2,844)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(2,844)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w w:val="97"/>
              </w:rPr>
              <w:t>Compensation expense related to stock options</w:t>
            </w: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and restricted stock units granted, net of</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forfeitures</w:t>
            </w: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2,628</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Stock option exercises</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228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780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780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w w:val="90"/>
              </w:rPr>
              <w:t>Shares issued under the Employee Stock Purchase</w:t>
            </w: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Plan</w:t>
            </w: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218</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Unrealized gain on investments</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MARCH 31, 2019</w:t>
            </w: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43,825</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474,806</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104</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(371,858)</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103,055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Net loss</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(19,792)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(19,792)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w w:val="97"/>
              </w:rPr>
              <w:t>Compensation expense related to stock options</w:t>
            </w: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and restricted stock units granted, net of</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color w:val="auto"/>
              </w:rPr>
              <w:t>4,183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forfeitures</w:t>
            </w: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Stock option exercises</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227</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78"/>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850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w w:val="90"/>
              </w:rPr>
              <w:t>Shares issued under the Employee Stock Purchase</w:t>
            </w: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Plan</w:t>
            </w:r>
          </w:p>
        </w:tc>
        <w:tc>
          <w:tcPr>
            <w:tcW w:w="11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Unrealized gain on investments</w:t>
            </w: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JUNE 30, 2019</w:t>
            </w: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44,066</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480,050</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104</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(391,650)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88,542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2"/>
        </w:trPr>
        <w:tc>
          <w:tcPr>
            <w:tcW w:w="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987"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amounts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3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3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300" w:type="dxa"/>
            <w:vAlign w:val="bottom"/>
          </w:tcPr>
          <w:p>
            <w:pPr>
              <w:ind w:left="1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(12,974)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(22,636)</w:t>
            </w:r>
          </w:p>
        </w:tc>
      </w:tr>
      <w:tr>
        <w:trPr>
          <w:trHeight w:val="27"/>
        </w:trPr>
        <w:tc>
          <w:tcPr>
            <w:tcW w:w="8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provided by (used for)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34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698</w:t>
            </w:r>
          </w:p>
        </w:tc>
      </w:tr>
      <w:tr>
        <w:trPr>
          <w:trHeight w:val="27"/>
        </w:trPr>
        <w:tc>
          <w:tcPr>
            <w:tcW w:w="8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8,144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6,810</w:t>
            </w:r>
          </w:p>
        </w:tc>
      </w:tr>
      <w:tr>
        <w:trPr>
          <w:trHeight w:val="243"/>
        </w:trPr>
        <w:tc>
          <w:tcPr>
            <w:tcW w:w="8300" w:type="dxa"/>
            <w:vAlign w:val="bottom"/>
          </w:tcPr>
          <w:p>
            <w:pPr>
              <w:ind w:left="340"/>
              <w:spacing w:after="0"/>
              <w:rPr>
                <w:sz w:val="20"/>
                <w:szCs w:val="20"/>
                <w:color w:val="auto"/>
              </w:rPr>
            </w:pPr>
            <w:r>
              <w:rPr>
                <w:rFonts w:ascii="Arial" w:cs="Arial" w:eastAsia="Arial" w:hAnsi="Arial"/>
                <w:sz w:val="18"/>
                <w:szCs w:val="18"/>
                <w:color w:val="auto"/>
              </w:rPr>
              <w:t>Foreign currency translation loss</w:t>
            </w: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13</w:t>
            </w:r>
          </w:p>
        </w:tc>
      </w:tr>
      <w:tr>
        <w:trPr>
          <w:trHeight w:val="27"/>
        </w:trPr>
        <w:tc>
          <w:tcPr>
            <w:tcW w:w="8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sale of fixed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40"/>
              <w:spacing w:after="0"/>
              <w:rPr>
                <w:sz w:val="20"/>
                <w:szCs w:val="20"/>
                <w:color w:val="auto"/>
              </w:rPr>
            </w:pPr>
            <w:r>
              <w:rPr>
                <w:rFonts w:ascii="Arial" w:cs="Arial" w:eastAsia="Arial" w:hAnsi="Arial"/>
                <w:sz w:val="18"/>
                <w:szCs w:val="18"/>
                <w:color w:val="auto"/>
              </w:rPr>
              <w:t>Amortization of premiums and discounts on marketable securities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(408)</w:t>
            </w:r>
          </w:p>
        </w:tc>
      </w:tr>
      <w:tr>
        <w:trPr>
          <w:trHeight w:val="27"/>
        </w:trPr>
        <w:tc>
          <w:tcPr>
            <w:tcW w:w="8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 and interest accretion related to operating leases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1,139</w:t>
            </w:r>
          </w:p>
        </w:tc>
      </w:tr>
      <w:tr>
        <w:trPr>
          <w:trHeight w:val="243"/>
        </w:trPr>
        <w:tc>
          <w:tcPr>
            <w:tcW w:w="83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w:t>
            </w:r>
          </w:p>
        </w:tc>
      </w:tr>
      <w:tr>
        <w:trPr>
          <w:trHeight w:val="243"/>
        </w:trPr>
        <w:tc>
          <w:tcPr>
            <w:tcW w:w="830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8,513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2,370</w:t>
            </w:r>
          </w:p>
        </w:tc>
      </w:tr>
      <w:tr>
        <w:trPr>
          <w:trHeight w:val="27"/>
        </w:trPr>
        <w:tc>
          <w:tcPr>
            <w:tcW w:w="8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680</w:t>
            </w:r>
          </w:p>
        </w:tc>
      </w:tr>
      <w:tr>
        <w:trPr>
          <w:trHeight w:val="243"/>
        </w:trPr>
        <w:tc>
          <w:tcPr>
            <w:tcW w:w="830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(2,238)</w:t>
            </w:r>
          </w:p>
        </w:tc>
      </w:tr>
      <w:tr>
        <w:trPr>
          <w:trHeight w:val="27"/>
        </w:trPr>
        <w:tc>
          <w:tcPr>
            <w:tcW w:w="8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(2,229)</w:t>
            </w:r>
          </w:p>
        </w:tc>
      </w:tr>
      <w:tr>
        <w:trPr>
          <w:trHeight w:val="243"/>
        </w:trPr>
        <w:tc>
          <w:tcPr>
            <w:tcW w:w="8300" w:type="dxa"/>
            <w:vAlign w:val="bottom"/>
          </w:tcPr>
          <w:p>
            <w:pPr>
              <w:ind w:left="54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(1,007)</w:t>
            </w:r>
          </w:p>
        </w:tc>
      </w:tr>
      <w:tr>
        <w:trPr>
          <w:trHeight w:val="27"/>
        </w:trPr>
        <w:tc>
          <w:tcPr>
            <w:tcW w:w="8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non-current assets and liabilities, net</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r>
      <w:tr>
        <w:trPr>
          <w:trHeight w:val="237"/>
        </w:trPr>
        <w:tc>
          <w:tcPr>
            <w:tcW w:w="8300" w:type="dxa"/>
            <w:vAlign w:val="bottom"/>
          </w:tcPr>
          <w:p>
            <w:pPr>
              <w:ind w:left="660"/>
              <w:spacing w:after="0"/>
              <w:rPr>
                <w:sz w:val="20"/>
                <w:szCs w:val="20"/>
                <w:color w:val="auto"/>
              </w:rPr>
            </w:pPr>
            <w:r>
              <w:rPr>
                <w:rFonts w:ascii="Arial" w:cs="Arial" w:eastAsia="Arial" w:hAnsi="Arial"/>
                <w:sz w:val="18"/>
                <w:szCs w:val="18"/>
                <w:color w:val="auto"/>
              </w:rPr>
              <w:t>Net cash provided by (used for) operating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(18,225)</w:t>
            </w:r>
          </w:p>
        </w:tc>
      </w:tr>
      <w:tr>
        <w:trPr>
          <w:trHeight w:val="27"/>
        </w:trPr>
        <w:tc>
          <w:tcPr>
            <w:tcW w:w="8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120"/>
              <w:spacing w:after="0"/>
              <w:rPr>
                <w:sz w:val="20"/>
                <w:szCs w:val="20"/>
                <w:color w:val="auto"/>
              </w:rPr>
            </w:pPr>
            <w:r>
              <w:rPr>
                <w:rFonts w:ascii="Arial" w:cs="Arial" w:eastAsia="Arial" w:hAnsi="Arial"/>
                <w:sz w:val="18"/>
                <w:szCs w:val="18"/>
                <w:color w:val="auto"/>
              </w:rPr>
              <w:t>Purchases of short term investments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(5,657)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(32,402)</w:t>
            </w:r>
          </w:p>
        </w:tc>
      </w:tr>
      <w:tr>
        <w:trPr>
          <w:trHeight w:val="27"/>
        </w:trPr>
        <w:tc>
          <w:tcPr>
            <w:tcW w:w="8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Maturities of short 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32,797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45,477</w:t>
            </w:r>
          </w:p>
        </w:tc>
      </w:tr>
      <w:tr>
        <w:trPr>
          <w:trHeight w:val="243"/>
        </w:trPr>
        <w:tc>
          <w:tcPr>
            <w:tcW w:w="8300" w:type="dxa"/>
            <w:vAlign w:val="bottom"/>
          </w:tcPr>
          <w:p>
            <w:pPr>
              <w:ind w:left="120"/>
              <w:spacing w:after="0"/>
              <w:rPr>
                <w:sz w:val="20"/>
                <w:szCs w:val="20"/>
                <w:color w:val="auto"/>
              </w:rPr>
            </w:pPr>
            <w:r>
              <w:rPr>
                <w:rFonts w:ascii="Arial" w:cs="Arial" w:eastAsia="Arial" w:hAnsi="Arial"/>
                <w:sz w:val="18"/>
                <w:szCs w:val="18"/>
                <w:color w:val="auto"/>
              </w:rPr>
              <w:t>Expenditures for property, plant and equipment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(1,224)</w:t>
            </w:r>
          </w:p>
        </w:tc>
      </w:tr>
      <w:tr>
        <w:trPr>
          <w:trHeight w:val="27"/>
        </w:trPr>
        <w:tc>
          <w:tcPr>
            <w:tcW w:w="8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25,954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11,851</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proceeds from common stock issuance due to stock option exercises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2,059</w:t>
            </w:r>
          </w:p>
        </w:tc>
      </w:tr>
      <w:tr>
        <w:trPr>
          <w:trHeight w:val="243"/>
        </w:trPr>
        <w:tc>
          <w:tcPr>
            <w:tcW w:w="8300" w:type="dxa"/>
            <w:vAlign w:val="bottom"/>
          </w:tcPr>
          <w:p>
            <w:pPr>
              <w:ind w:left="120"/>
              <w:spacing w:after="0"/>
              <w:rPr>
                <w:sz w:val="20"/>
                <w:szCs w:val="20"/>
                <w:color w:val="auto"/>
              </w:rPr>
            </w:pPr>
            <w:r>
              <w:rPr>
                <w:rFonts w:ascii="Arial" w:cs="Arial" w:eastAsia="Arial" w:hAnsi="Arial"/>
                <w:sz w:val="18"/>
                <w:szCs w:val="18"/>
                <w:color w:val="auto"/>
              </w:rPr>
              <w:t>Payments on employee's behalf for taxes related to vesting of restricted stock unit awards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37"/>
        </w:trPr>
        <w:tc>
          <w:tcPr>
            <w:tcW w:w="8300" w:type="dxa"/>
            <w:vAlign w:val="bottom"/>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2,050</w:t>
            </w:r>
          </w:p>
        </w:tc>
      </w:tr>
      <w:tr>
        <w:trPr>
          <w:trHeight w:val="27"/>
        </w:trPr>
        <w:tc>
          <w:tcPr>
            <w:tcW w:w="8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28,815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(4,324)</w:t>
            </w: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26,978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18,286</w:t>
            </w:r>
          </w:p>
        </w:tc>
      </w:tr>
      <w:tr>
        <w:trPr>
          <w:trHeight w:val="27"/>
        </w:trPr>
        <w:tc>
          <w:tcPr>
            <w:tcW w:w="8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55,793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13,962</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the Condensed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jc w:val="both"/>
        <w:ind w:firstLine="243"/>
        <w:spacing w:after="0"/>
        <w:rPr>
          <w:sz w:val="20"/>
          <w:szCs w:val="20"/>
          <w:color w:val="auto"/>
        </w:rPr>
      </w:pPr>
      <w:r>
        <w:rPr>
          <w:rFonts w:ascii="Arial" w:cs="Arial" w:eastAsia="Arial" w:hAnsi="Arial"/>
          <w:sz w:val="18"/>
          <w:szCs w:val="18"/>
          <w:color w:val="auto"/>
        </w:rPr>
        <w:t>Vericel Corporation, a Michigan corporation (together with its consolidated subsidiaries referred to herein as the Company, Vericel, we, us or our), was incorporated in March 1989 and began employee-based operations in 1991. The Company is a fully-integrated, commercial-stage biopharmaceutical company and is a leader in advanced cell therapies for the sports medicine and severe burn care markets. Vericel currently markets two cell therapy products, MACI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Epicel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Vericel obtained both products in May 2014, as part of the acquisition of certain assets and the assumption of certain liabilities from Sanofi,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(Sanofi).</w:t>
      </w:r>
    </w:p>
    <w:p>
      <w:pPr>
        <w:spacing w:after="0" w:line="231" w:lineRule="exact"/>
        <w:rPr>
          <w:sz w:val="20"/>
          <w:szCs w:val="20"/>
          <w:color w:val="auto"/>
        </w:rPr>
      </w:pPr>
    </w:p>
    <w:p>
      <w:pPr>
        <w:jc w:val="both"/>
        <w:ind w:firstLine="243"/>
        <w:spacing w:after="0" w:line="231" w:lineRule="auto"/>
        <w:rPr>
          <w:sz w:val="20"/>
          <w:szCs w:val="20"/>
          <w:color w:val="auto"/>
        </w:rPr>
      </w:pPr>
      <w:r>
        <w:rPr>
          <w:rFonts w:ascii="Arial" w:cs="Arial" w:eastAsia="Arial" w:hAnsi="Arial"/>
          <w:sz w:val="18"/>
          <w:szCs w:val="18"/>
          <w:color w:val="auto"/>
        </w:rPr>
        <w:t>MACI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The Company also markets Epicel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(cultured epidermal autografts), a permanent skin replacement Humanitarian Use Device (HUD) for the treatment of adult and pediatric patients with deep-dermal or full-thickness burns comprising greater than or equal to 30 percent of total body surface area (TBSA). The Company operates its business primarily in the U.S. in one reportable segment — the research, product development, manufacture and distribution of biopharmaceuticals for use in the treatment of specific diseases.</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novel coronavirus (COVID-19) outbreak was first reported by China in late December 2019 and rapidly spread globally. The World Health Organization (WHO) declared the outbreak a pandemic on March 11, 2020 and the President of the United States declared a national health emergency two days later. Subsequently most states' governments, including those in Massachusetts and Michigan where the Company's operations are located, issued orders requiring businesses that do not conduct essential services to temporarily close their physical workplaces to employees and customers. The status of such orders varies on a state-by-state basis and is likely to continue to vary. Because Vericel is deemed an essential business, the Company is exempt from these state orders in their current form.</w:t>
      </w:r>
    </w:p>
    <w:p>
      <w:pPr>
        <w:spacing w:after="0" w:line="219"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Notwithstanding being an essential business, the Company’s business and operations have been, and are expected to continue to be, adversely impacted by the effects of COVID-19 as a result of various factors including, without limitation, patients’ potential reluctance to undergo elective surgical procedures, healthcare facility restrictions regarding elective surgical procedures, the recent economic downturn due to the pandemic, the imposition of related public health measures and travel and business restrictions and disruptions to the ability of the Company’s employees to perform their jobs.</w:t>
      </w:r>
    </w:p>
    <w:p>
      <w:pPr>
        <w:spacing w:after="0" w:line="18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7"/>
          <w:szCs w:val="17"/>
          <w:color w:val="auto"/>
        </w:rPr>
        <w:t>The implantation of MACI is an elective surgical procedure. On March 13, 2020 and March 14, 2020, the American College of Surgeons and United States Surgeon General, respectively, recommended that each hospital, health system, and surgeon minimize, postpone, or cancel electively scheduled surgeries, which has resulted in a reduction in MACI sales. The stated purpose for these recommendations was that every elective surgery could spread COVID-19 within a facility, use up personal protective equipment (PPE) which may be needed by healthcare workers treating COVID-19 patients, and burden hospital workforce who may be needed to respond to COVID-19. These recommendations were followed by numerous state level executive orders either banning or partially banning elective surgeries. As a result of these restrictions, beginning in mid-March 2020, the Company started to experience a significant increase in cancellations of scheduled MACI procedures as well as a slowdown in new MACI orders. By early April 2020, 45 states, representing over 95% of total U.S. surgical capacity had issued either mandates or recommendations and guidelines suspending elective surgical procedures. These restrictions began to ease in May and, by the end of June 2020, states representing an estimated 90% total U.S. surgical capacity had lifted restrictions suspending elective procedures. It is likely that restrictions will continue to be both lifted and re-imposed as regional COVID 19 cases rates fall and rise. The Company’s MACI business will continue to be negatively impacted so long as multiple state orders and/or facilities restrict elective surgical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ind w:left="260"/>
        <w:spacing w:after="0"/>
        <w:rPr>
          <w:sz w:val="20"/>
          <w:szCs w:val="20"/>
          <w:color w:val="auto"/>
        </w:rPr>
      </w:pPr>
      <w:r>
        <w:rPr>
          <w:rFonts w:ascii="Arial" w:cs="Arial" w:eastAsia="Arial" w:hAnsi="Arial"/>
          <w:sz w:val="18"/>
          <w:szCs w:val="18"/>
          <w:b w:val="1"/>
          <w:bCs w:val="1"/>
          <w:i w:val="1"/>
          <w:iCs w:val="1"/>
          <w:color w:val="222222"/>
        </w:rPr>
        <w:t>Going Concern</w:t>
      </w:r>
    </w:p>
    <w:p>
      <w:pPr>
        <w:spacing w:after="0" w:line="22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222222"/>
        </w:rPr>
        <w:t xml:space="preserve">The accompanying condensed consolidated financial statements have been prepared on a basis which assumes that the Company will continue as a going concern and contemplates the realization of assets and the satisfaction of liabilities and commitments in the normal course of business. As of June 30, 2020, the Company had an accumulated deficit of $391.7 million and incurred a net loss of $8.3 million and $13.0 million for the three and six months ended June 30, 2020, respectively. The Company had cash and cash equivalents of $55.8 million and investments of $25.1 million as of June 30, 2020. The Company expects that existing cash, cash equivalents and investments will be sufficient to support the </w:t>
      </w:r>
      <w:r>
        <w:rPr>
          <w:rFonts w:ascii="Arial" w:cs="Arial" w:eastAsia="Arial" w:hAnsi="Arial"/>
          <w:sz w:val="17"/>
          <w:szCs w:val="17"/>
          <w:color w:val="000000"/>
        </w:rPr>
        <w:t>Company’s current operations through at</w:t>
      </w:r>
      <w:r>
        <w:rPr>
          <w:rFonts w:ascii="Arial" w:cs="Arial" w:eastAsia="Arial" w:hAnsi="Arial"/>
          <w:sz w:val="17"/>
          <w:szCs w:val="17"/>
          <w:color w:val="222222"/>
        </w:rPr>
        <w:t xml:space="preserve"> </w:t>
      </w:r>
      <w:r>
        <w:rPr>
          <w:rFonts w:ascii="Arial" w:cs="Arial" w:eastAsia="Arial" w:hAnsi="Arial"/>
          <w:sz w:val="17"/>
          <w:szCs w:val="17"/>
          <w:color w:val="000000"/>
        </w:rPr>
        <w:t xml:space="preserve">least 12 months from the issuance of these financial statements. However, the continuing effects of the COVID-19 pandemic may require the Company to engage in layoffs, furloughs and/or reductions in salary, all of which may result in irrecoverable losses of customers and significantly impact long-term liquidity. </w:t>
      </w:r>
      <w:r>
        <w:rPr>
          <w:rFonts w:ascii="Arial" w:cs="Arial" w:eastAsia="Arial" w:hAnsi="Arial"/>
          <w:sz w:val="17"/>
          <w:szCs w:val="17"/>
          <w:color w:val="263238"/>
        </w:rPr>
        <w:t>If elective surgery restrictions are reinstated on a widespread basis, significantly impacting</w:t>
      </w:r>
      <w:r>
        <w:rPr>
          <w:rFonts w:ascii="Arial" w:cs="Arial" w:eastAsia="Arial" w:hAnsi="Arial"/>
          <w:sz w:val="17"/>
          <w:szCs w:val="17"/>
          <w:color w:val="000000"/>
        </w:rPr>
        <w:t xml:space="preserve"> the Company's business, the Company may need to a</w:t>
      </w:r>
      <w:r>
        <w:rPr>
          <w:rFonts w:ascii="Arial" w:cs="Arial" w:eastAsia="Arial" w:hAnsi="Arial"/>
          <w:sz w:val="17"/>
          <w:szCs w:val="17"/>
          <w:color w:val="222222"/>
        </w:rPr>
        <w:t>ccess additional capital; however, the Company may not be able to obtain financing on acceptable terms or at all, particularly in light of the impact of</w:t>
      </w:r>
      <w:r>
        <w:rPr>
          <w:rFonts w:ascii="Arial" w:cs="Arial" w:eastAsia="Arial" w:hAnsi="Arial"/>
          <w:sz w:val="17"/>
          <w:szCs w:val="17"/>
          <w:color w:val="000000"/>
        </w:rPr>
        <w:t xml:space="preserve"> </w:t>
      </w:r>
      <w:r>
        <w:rPr>
          <w:rFonts w:ascii="Arial" w:cs="Arial" w:eastAsia="Arial" w:hAnsi="Arial"/>
          <w:sz w:val="17"/>
          <w:szCs w:val="17"/>
          <w:color w:val="222222"/>
        </w:rPr>
        <w:t xml:space="preserve">COVID-19 on the global economy and financial markets. The terms of any financing may adversely affect the holdings or the rights of the </w:t>
      </w:r>
      <w:r>
        <w:rPr>
          <w:rFonts w:ascii="Arial" w:cs="Arial" w:eastAsia="Arial" w:hAnsi="Arial"/>
          <w:sz w:val="17"/>
          <w:szCs w:val="17"/>
          <w:color w:val="000000"/>
        </w:rPr>
        <w:t>Company’s</w:t>
      </w:r>
      <w:r>
        <w:rPr>
          <w:rFonts w:ascii="Arial" w:cs="Arial" w:eastAsia="Arial" w:hAnsi="Arial"/>
          <w:sz w:val="17"/>
          <w:szCs w:val="17"/>
          <w:color w:val="222222"/>
        </w:rPr>
        <w:t xml:space="preserve"> shareholders.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7"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 xml:space="preserve">The accompanying condensed consolidated financial statements as of June 30, 2020 and for the </w:t>
      </w:r>
      <w:r>
        <w:rPr>
          <w:rFonts w:ascii="Arial" w:cs="Arial" w:eastAsia="Arial" w:hAnsi="Arial"/>
          <w:sz w:val="16"/>
          <w:szCs w:val="16"/>
          <w:color w:val="222222"/>
        </w:rPr>
        <w:t>three and six months ended</w:t>
      </w:r>
      <w:r>
        <w:rPr>
          <w:rFonts w:ascii="Arial" w:cs="Arial" w:eastAsia="Arial" w:hAnsi="Arial"/>
          <w:sz w:val="16"/>
          <w:szCs w:val="16"/>
          <w:color w:val="auto"/>
        </w:rPr>
        <w:t xml:space="preserve"> June 30, 2020 are unaudited and have been prepared in accordance with the rules and regulations of the U.S. Securities and Exchange Commission (SEC). The preparation of condensed consolidated financial statements in conformity with generally accepted accounting principles in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We base our estimates on historical experience and on various other assumptions that we believe are reasonable, the results of which form the basis for making judgments about the carrying values of assets, liabilities and equity and the amount of revenues and expenses. The full extent to which the COVID-19 pandemic will continue to directly or indirectly impact our business, results of operations and financial condition, including sales,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continue to contain it or treat COVID-19, as well as the economic impact on our customers. We have made estimates of the impact of COVID-19 within our financial statements and there may be changes to those estimates in future periods. Actual results may differ from these estimates. As of June 30, 2020, the Company has not recorded impairments to investments, inventory, other current assets or long-lived assets as a result of the COVID-19 pandemic and does not expect material impairments in the future. The Company has assessed the impact of COVID-19 on accounts receivables (see note 4).</w:t>
      </w:r>
    </w:p>
    <w:p>
      <w:pPr>
        <w:spacing w:after="0" w:line="174"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and the notes thereto included in our Annual Report on Form 10-K for the year ended December 31, 2019 as filed with the SEC on February 25, 2020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661670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Consolidated Statement of Cash Flows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supplementary cash flows information for the six months ended June 30, 2020 and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Six Months Ended June 30,</w:t>
            </w:r>
          </w:p>
        </w:tc>
      </w:tr>
      <w:tr>
        <w:trPr>
          <w:trHeight w:val="237"/>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3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Supplementary Cash Flows information:</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Non-cash information:</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Right-of-use asset and lease liability recognized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560</w:t>
            </w:r>
          </w:p>
        </w:tc>
      </w:tr>
      <w:tr>
        <w:trPr>
          <w:trHeight w:val="243"/>
        </w:trPr>
        <w:tc>
          <w:tcPr>
            <w:tcW w:w="8360" w:type="dxa"/>
            <w:vAlign w:val="bottom"/>
          </w:tcPr>
          <w:p>
            <w:pPr>
              <w:ind w:left="120"/>
              <w:spacing w:after="0"/>
              <w:rPr>
                <w:sz w:val="20"/>
                <w:szCs w:val="20"/>
                <w:color w:val="auto"/>
              </w:rPr>
            </w:pPr>
            <w:r>
              <w:rPr>
                <w:rFonts w:ascii="Arial" w:cs="Arial" w:eastAsia="Arial" w:hAnsi="Arial"/>
                <w:sz w:val="18"/>
                <w:szCs w:val="18"/>
                <w:color w:val="auto"/>
              </w:rPr>
              <w:t>Additions to property, plant and equipment included in accounts payable</w:t>
            </w:r>
          </w:p>
        </w:tc>
        <w:tc>
          <w:tcPr>
            <w:tcW w:w="320" w:type="dxa"/>
            <w:vAlign w:val="bottom"/>
          </w:tcPr>
          <w:p>
            <w:pPr>
              <w:spacing w:after="0"/>
              <w:rPr>
                <w:sz w:val="21"/>
                <w:szCs w:val="21"/>
                <w:color w:val="auto"/>
              </w:rPr>
            </w:pP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365</w:t>
            </w:r>
          </w:p>
        </w:tc>
      </w:tr>
      <w:tr>
        <w:trPr>
          <w:trHeight w:val="27"/>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20"/>
              <w:spacing w:after="0"/>
              <w:rPr>
                <w:sz w:val="20"/>
                <w:szCs w:val="20"/>
                <w:color w:val="auto"/>
              </w:rPr>
            </w:pPr>
            <w:r>
              <w:rPr>
                <w:rFonts w:ascii="Arial" w:cs="Arial" w:eastAsia="Arial" w:hAnsi="Arial"/>
                <w:sz w:val="18"/>
                <w:szCs w:val="18"/>
                <w:color w:val="auto"/>
              </w:rPr>
              <w:t>Interest paid (net of interest capitalized)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4</w:t>
            </w:r>
          </w:p>
        </w:tc>
      </w:tr>
    </w:tbl>
    <w:p>
      <w:pPr>
        <w:spacing w:after="0" w:line="337" w:lineRule="exact"/>
        <w:rPr>
          <w:sz w:val="20"/>
          <w:szCs w:val="20"/>
          <w:color w:val="auto"/>
        </w:rPr>
      </w:pPr>
    </w:p>
    <w:p>
      <w:pPr>
        <w:jc w:val="both"/>
        <w:ind w:right="280" w:firstLine="243"/>
        <w:spacing w:after="0" w:line="286" w:lineRule="auto"/>
        <w:rPr>
          <w:sz w:val="20"/>
          <w:szCs w:val="20"/>
          <w:color w:val="auto"/>
        </w:rPr>
      </w:pPr>
      <w:r>
        <w:rPr>
          <w:rFonts w:ascii="Arial" w:cs="Arial" w:eastAsia="Arial" w:hAnsi="Arial"/>
          <w:sz w:val="17"/>
          <w:szCs w:val="17"/>
          <w:color w:val="auto"/>
        </w:rPr>
        <w:t>Total cash, cash equivalents, and restricted cash of $55.8 million as of June 30, 2020, shown in the statement of cash flows is comprised of cash and cash equivalents of $55.7 million and restricted cash of $0.1 million which is included in other long term assets on the consolidated balance sheet. As of June 30, 2019, cash and cash equivalents were $14.0 million and the Company did not have any restricted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Measuring Credit Losses on Financial Instruments</w:t>
      </w:r>
    </w:p>
    <w:p>
      <w:pPr>
        <w:spacing w:after="0" w:line="2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The FASB issued updated guidance on measuring credit losses on financial instruments. The guidance removes the thresholds that companies apply to measure credit losses on financial instruments measured at amortized cost, such as loans, receivables, and held-to-maturity debt securities. Prior to the updated guidance, credit losses are recognized when it is probable that the loss has been incurred. The revised guidance removes all recognition thresholds and requires companies to recognize an allowance for credit losses for the difference between the amortized cost basis of a financial instrument and the amount of amortized cost that a company expected to collect over the instrument’s contractual life. The Accounting Standard Update (ASU) 2016-13, </w:t>
      </w:r>
      <w:r>
        <w:rPr>
          <w:rFonts w:ascii="Arial" w:cs="Arial" w:eastAsia="Arial" w:hAnsi="Arial"/>
          <w:sz w:val="16"/>
          <w:szCs w:val="16"/>
          <w:i w:val="1"/>
          <w:iCs w:val="1"/>
          <w:color w:val="auto"/>
        </w:rPr>
        <w:t xml:space="preserve">Financial Instruments-Credit Losses (Topic 326), </w:t>
      </w:r>
      <w:r>
        <w:rPr>
          <w:rFonts w:ascii="Arial" w:cs="Arial" w:eastAsia="Arial" w:hAnsi="Arial"/>
          <w:sz w:val="16"/>
          <w:szCs w:val="16"/>
          <w:color w:val="auto"/>
        </w:rPr>
        <w:t>became effective for the Company January 1, 2020. See note 4 and note 8 for further discussion.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Fair Value Measurement Disclosure</w:t>
      </w:r>
    </w:p>
    <w:p>
      <w:pPr>
        <w:spacing w:after="0" w:line="2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The FASB issued updated guidance through ASU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The revised guidance is intended to develop a more consistent disclosure framework that will increase clarity,</w:t>
      </w:r>
      <w:r>
        <w:rPr>
          <w:rFonts w:ascii="Arial" w:cs="Arial" w:eastAsia="Arial" w:hAnsi="Arial"/>
          <w:sz w:val="16"/>
          <w:szCs w:val="16"/>
          <w:i w:val="1"/>
          <w:iCs w:val="1"/>
          <w:color w:val="auto"/>
        </w:rPr>
        <w:t xml:space="preserve"> </w:t>
      </w:r>
      <w:r>
        <w:rPr>
          <w:rFonts w:ascii="Arial" w:cs="Arial" w:eastAsia="Arial" w:hAnsi="Arial"/>
          <w:sz w:val="16"/>
          <w:szCs w:val="16"/>
          <w:color w:val="auto"/>
        </w:rPr>
        <w:t>remove, modify and add certain fair value disclosures to improve the effectiveness of the Company’s disclosures in the notes of the financial statements. This guidance became effective for the Company January 1, 2020 and had no impact to its condensed consolidated financial statements.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Simplifying the Accounting for Income Taxes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 (ASC 740).</w:t>
      </w:r>
      <w:r>
        <w:rPr>
          <w:rFonts w:ascii="Arial" w:cs="Arial" w:eastAsia="Arial" w:hAnsi="Arial"/>
          <w:sz w:val="18"/>
          <w:szCs w:val="18"/>
          <w:color w:val="auto"/>
        </w:rPr>
        <w:t xml:space="preserve"> The ASU enhances and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is effective for the Company for annual and interim periods beginning after December 31, 2020; however, early adoption is permitted. The Company is currently in the process of evaluating the impact to its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706755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Net Product Sales</w:t>
      </w:r>
    </w:p>
    <w:p>
      <w:pPr>
        <w:spacing w:after="0" w:line="17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 xml:space="preserve">The Company recognizes product revenue from sales of MACI kits, MACI implants and Epicel grafts following the five-step model in Accounting Standards Codification 606,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606).</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MACI Kits</w:t>
      </w:r>
    </w:p>
    <w:p>
      <w:pPr>
        <w:spacing w:after="0" w:line="171"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MACI kits are sold directly to hospitals based on contracted rates in the approved contract or sales order. The Company recognizes MACI kit revenue upon delivery of the biopsy kit at which time the customer (the facility) is in control of the kit. The kit provides the doctor the ability to biopsy a sampling of cells to provide to the Company that can be used later to manufacture the implant. The ordering of the kit does not obligate the Company to manufacture an implant nor does the receipt of the cell tissue. The customer’s order of an implant is separate from the process of ordering the kit. Therefore, the sale of the kit and any subsequent sale of an implant are distinct contracts and are accounted for separately.</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MACI Implants</w:t>
      </w:r>
    </w:p>
    <w:p>
      <w:pPr>
        <w:spacing w:after="0" w:line="171" w:lineRule="exact"/>
        <w:rPr>
          <w:sz w:val="20"/>
          <w:szCs w:val="20"/>
          <w:color w:val="auto"/>
        </w:rPr>
      </w:pPr>
    </w:p>
    <w:p>
      <w:pPr>
        <w:jc w:val="both"/>
        <w:ind w:firstLine="202"/>
        <w:spacing w:after="0" w:line="273" w:lineRule="auto"/>
        <w:rPr>
          <w:sz w:val="20"/>
          <w:szCs w:val="20"/>
          <w:color w:val="auto"/>
        </w:rPr>
      </w:pPr>
      <w:r>
        <w:rPr>
          <w:rFonts w:ascii="Arial" w:cs="Arial" w:eastAsia="Arial" w:hAnsi="Arial"/>
          <w:sz w:val="17"/>
          <w:szCs w:val="17"/>
          <w:color w:val="auto"/>
        </w:rPr>
        <w:t>The Company contracts with two specialty pharmacies, Orsini Pharmaceutical Services, Inc. (Orsini) and AllCare Plus Pharmacy, Inc. (AllCare) to distribute its MACI product in arrangements whereby the Company retains the credit and collection risk from the end customer. The Company pays both specialty pharmacies a fee for each patient to whom MACI is dispensed. Both Orsini and AllCare perform collection activities to receive payment from customers. The Company has engaged a third-party to provide services in connection with a patient support program to manage patient cases and to ensure complete and correct billing information is provided to the insurers and hospitals. In addition, the Company also sells MACI directly to DMS Pharmaceutical (DMS) for military implants. The sales directly to DMS are sold at a contracted rate.</w:t>
      </w:r>
    </w:p>
    <w:p>
      <w:pPr>
        <w:spacing w:after="0" w:line="20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Prior authorization and confirmation of coverage level by the patient’s private insurance plan, hospital or government payer is a prerequisite to the shipment of product to a patient. The Company recognizes product revenues from sales of all MACI implants upon delivery at which time the customer obtains control of the implant and the claim is billable. The total consideration which the Company expects to collect in exchange for MACI implants (the transaction price) may be fixed or variable. Direct sales to hospitals or distributors are recorded at a contracted price, and other than customary prompt pay discounts, there are typically no forms of variable consideration.</w:t>
      </w:r>
    </w:p>
    <w:p>
      <w:pPr>
        <w:spacing w:after="0" w:line="21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or a fee schedule. Net product revenue is recognized net of contractual allowances, which considers historical collection experience from both the payer and patient and the terms of the Company’s contractual arrangements. The Company estimates expected collections for these transactions using the portfolio approach. These estimates include the impact of contractual allowances, which considers historical collection experience from both the payer and patient, denial rates and the terms of the Company’s contractual arrangements. The Company records a reduction to revenue at the time of sale for its estimate of the amount of consideration that will not be collected. In addition, potential credit risk exposure has been evaluated for the Company's accounts receivable in accordance with </w:t>
      </w:r>
      <w:r>
        <w:rPr>
          <w:rFonts w:ascii="Arial" w:cs="Arial" w:eastAsia="Arial" w:hAnsi="Arial"/>
          <w:sz w:val="17"/>
          <w:szCs w:val="17"/>
          <w:i w:val="1"/>
          <w:iCs w:val="1"/>
          <w:color w:val="auto"/>
        </w:rPr>
        <w:t>ASC 326, Financial Instruments - Credit Losses.</w:t>
      </w:r>
      <w:r>
        <w:rPr>
          <w:rFonts w:ascii="Arial" w:cs="Arial" w:eastAsia="Arial" w:hAnsi="Arial"/>
          <w:sz w:val="17"/>
          <w:szCs w:val="17"/>
          <w:color w:val="auto"/>
        </w:rPr>
        <w:t xml:space="preserve"> The Company assesses risk and determines a loss percentage by pooling account receivables based on similar risk characteristics. The loss percentage is based on current and historical information as well as reasonable and supportable forecasts. This loss percentage was applied to the accounts receivables as of June 30, 2020. The total allowance for uncollectible consideration was $4.4 million as of June 30, 2020 and $3.9 million at December 31, 2019. The allowance includes less than $0.1 million of which is related to COVID-19 potential impacts on accounts receivable from third-party insurers, government payers, hospitals and patients. Changes to the estimate of the amount of consideration that will not be collected could have a material impact to the revenue recognized. A 0.5% change to the estimated uncollectible percentage could result in approximately a $0.1 million decrease in the revenue recognized for the six months ended June 30, 2020.</w:t>
      </w:r>
    </w:p>
    <w:p>
      <w:pPr>
        <w:spacing w:after="0" w:line="20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Changes in estimates of the transaction price are recorded through revenue in the period in which such change occurs. Changes in estimates related to prior period sales for the three and six months ended June 30, 2020 resulted in a decrease to revenue of $0.2 million and increase to revenue of $1.1 million, respectively, and an increase to revenue of $0.09 million and $0.05 million, respectively for the same period in 2019. The changes in estimates recorded during the three and six months ended June 30, 2020, were primarily due to completion of the billing claims process for implants that occurred in late 2019. Upon completion of the billing claims process, the Company concluded that it was probable that a significant reversal in the amount of revenue recognized would not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line="2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Epicel</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sells Epicel directly to hospitals based on contracted rates stated in the approved contract or purchase order. Similar to MACI, there is no obligation to manufacture skin grafts upon receipt of a skin biopsy, and Vericel has no contractual right to receive payment until the product is delivered to the hospital. The Company recognizes product revenues from sales of Epicel upon delivery to the hospital at which time the customer is in control of the skin grafts and the claim is billable to the hospital.</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Product and Customer</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and description below shows the products from which the Company generated its revenue: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 by product (in thousands)</w:t>
            </w: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MACI implants and kits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w w:val="91"/>
              </w:rPr>
              <w:t>Implants based on contracted rate sold through a specialty pharmacy</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9,790</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12,989</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21,218</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22,776</w:t>
            </w:r>
          </w:p>
        </w:tc>
      </w:tr>
      <w:tr>
        <w:trPr>
          <w:trHeight w:val="27"/>
        </w:trPr>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Implants subject to third party reimbursement sold through a specialty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pharmacy (b)</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2,819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3,459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6,335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6,202</w:t>
            </w:r>
          </w:p>
        </w:tc>
      </w:tr>
      <w:tr>
        <w:trPr>
          <w:trHeight w:val="243"/>
        </w:trPr>
        <w:tc>
          <w:tcPr>
            <w:tcW w:w="5300" w:type="dxa"/>
            <w:vAlign w:val="bottom"/>
          </w:tcPr>
          <w:p>
            <w:pPr>
              <w:ind w:left="220"/>
              <w:spacing w:after="0"/>
              <w:rPr>
                <w:sz w:val="20"/>
                <w:szCs w:val="20"/>
                <w:color w:val="auto"/>
              </w:rPr>
            </w:pPr>
            <w:r>
              <w:rPr>
                <w:rFonts w:ascii="Arial" w:cs="Arial" w:eastAsia="Arial" w:hAnsi="Arial"/>
                <w:sz w:val="18"/>
                <w:szCs w:val="18"/>
                <w:color w:val="auto"/>
              </w:rPr>
              <w:t>Implants sold direct based on contracted rates (c)</w:t>
            </w:r>
          </w:p>
        </w:tc>
        <w:tc>
          <w:tcPr>
            <w:tcW w:w="30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3,450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4,916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6,676</w:t>
            </w:r>
          </w:p>
        </w:tc>
      </w:tr>
      <w:tr>
        <w:trPr>
          <w:trHeight w:val="27"/>
        </w:trPr>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Implants sold direct subject to third party reimbursement (d)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1,016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603</w:t>
            </w:r>
          </w:p>
        </w:tc>
      </w:tr>
      <w:tr>
        <w:trPr>
          <w:trHeight w:val="243"/>
        </w:trPr>
        <w:tc>
          <w:tcPr>
            <w:tcW w:w="5300" w:type="dxa"/>
            <w:vAlign w:val="bottom"/>
          </w:tcPr>
          <w:p>
            <w:pPr>
              <w:ind w:left="220"/>
              <w:spacing w:after="0"/>
              <w:rPr>
                <w:sz w:val="20"/>
                <w:szCs w:val="20"/>
                <w:color w:val="auto"/>
              </w:rPr>
            </w:pPr>
            <w:r>
              <w:rPr>
                <w:rFonts w:ascii="Arial" w:cs="Arial" w:eastAsia="Arial" w:hAnsi="Arial"/>
                <w:sz w:val="18"/>
                <w:szCs w:val="18"/>
                <w:color w:val="auto"/>
              </w:rPr>
              <w:t>Biopsy kits - direct bill</w:t>
            </w:r>
          </w:p>
        </w:tc>
        <w:tc>
          <w:tcPr>
            <w:tcW w:w="30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811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1,099</w:t>
            </w:r>
          </w:p>
        </w:tc>
      </w:tr>
      <w:tr>
        <w:trPr>
          <w:trHeight w:val="27"/>
        </w:trPr>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 in estimates related to prior periods (e)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1,095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Epicel</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Direct bill (hospital)</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4,910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5,328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11,301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10,555</w:t>
            </w:r>
          </w:p>
        </w:tc>
      </w:tr>
      <w:tr>
        <w:trPr>
          <w:trHeight w:val="264"/>
        </w:trPr>
        <w:tc>
          <w:tcPr>
            <w:tcW w:w="530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20,014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26,151</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46,692</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47,961</w:t>
            </w:r>
          </w:p>
        </w:tc>
      </w:tr>
      <w:tr>
        <w:trPr>
          <w:trHeight w:val="20"/>
        </w:trPr>
        <w:tc>
          <w:tcPr>
            <w:tcW w:w="5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0123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95" w:lineRule="exact"/>
        <w:rPr>
          <w:sz w:val="20"/>
          <w:szCs w:val="20"/>
          <w:color w:val="auto"/>
        </w:rPr>
      </w:pPr>
    </w:p>
    <w:p>
      <w:pPr>
        <w:jc w:val="both"/>
        <w:ind w:left="20" w:right="200" w:firstLine="6"/>
        <w:spacing w:after="0" w:line="263" w:lineRule="auto"/>
        <w:tabs>
          <w:tab w:leader="none" w:pos="273"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implants sold through Orsini and AllCare in both 2020 and 2019 in which such specialty pharmacies have entered into a direct contract with the underlying insurance provider. The amount of reimbursement is based on contracted rates at the time of sale supported by the pharmacy's direct contracts. Also represents direct sales under a contract to the specialty distributor DMS.</w:t>
      </w:r>
    </w:p>
    <w:p>
      <w:pPr>
        <w:spacing w:after="0" w:line="183" w:lineRule="exact"/>
        <w:rPr>
          <w:rFonts w:ascii="Arial" w:cs="Arial" w:eastAsia="Arial" w:hAnsi="Arial"/>
          <w:sz w:val="18"/>
          <w:szCs w:val="18"/>
          <w:color w:val="auto"/>
        </w:rPr>
      </w:pPr>
    </w:p>
    <w:p>
      <w:pPr>
        <w:ind w:left="20" w:right="220" w:firstLine="6"/>
        <w:spacing w:after="0" w:line="277" w:lineRule="auto"/>
        <w:tabs>
          <w:tab w:leader="none" w:pos="277"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implants sold through Orsini or AllCare in which such specialty pharmacy does not have a direct contract with the underlying payer. The amount of reimbursement is established based on a payer or state fee schedule and/or payer history.</w:t>
      </w:r>
    </w:p>
    <w:p>
      <w:pPr>
        <w:spacing w:after="0" w:line="170" w:lineRule="exact"/>
        <w:rPr>
          <w:rFonts w:ascii="Arial" w:cs="Arial" w:eastAsia="Arial" w:hAnsi="Arial"/>
          <w:sz w:val="18"/>
          <w:szCs w:val="18"/>
          <w:color w:val="auto"/>
        </w:rPr>
      </w:pPr>
    </w:p>
    <w:p>
      <w:pPr>
        <w:ind w:left="280" w:hanging="254"/>
        <w:spacing w:after="0"/>
        <w:tabs>
          <w:tab w:leader="none" w:pos="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Represents implants sold directly from the Company to the facility based on a contract and known price agreed upon prior to the surgery date.</w:t>
      </w:r>
    </w:p>
    <w:p>
      <w:pPr>
        <w:spacing w:after="0" w:line="236" w:lineRule="exact"/>
        <w:rPr>
          <w:rFonts w:ascii="Arial" w:cs="Arial" w:eastAsia="Arial" w:hAnsi="Arial"/>
          <w:sz w:val="17"/>
          <w:szCs w:val="17"/>
          <w:color w:val="auto"/>
        </w:rPr>
      </w:pPr>
    </w:p>
    <w:p>
      <w:pPr>
        <w:ind w:left="20" w:right="220" w:firstLine="6"/>
        <w:spacing w:after="0" w:line="277" w:lineRule="auto"/>
        <w:tabs>
          <w:tab w:leader="none" w:pos="283"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170" w:lineRule="exact"/>
        <w:rPr>
          <w:rFonts w:ascii="Arial" w:cs="Arial" w:eastAsia="Arial" w:hAnsi="Arial"/>
          <w:sz w:val="18"/>
          <w:szCs w:val="18"/>
          <w:color w:val="auto"/>
        </w:rPr>
      </w:pPr>
    </w:p>
    <w:p>
      <w:pPr>
        <w:jc w:val="both"/>
        <w:ind w:left="20" w:right="220" w:firstLine="6"/>
        <w:spacing w:after="0" w:line="311" w:lineRule="auto"/>
        <w:tabs>
          <w:tab w:leader="none" w:pos="266"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Primarily represents changes in estimates related to implants sold through Orsini or AllCare in which such specialty pharmacy does not have a direct contract with the underlying payer. The initial estimate of the amount of reimbursement is established based on a payer or state fee schedule and/or payer history. The change in estimates is a result of additional information or actual cash collections received in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849630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5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table below shows the Company’s total Epicel revenue and accounts receivable balances from customers whose revenue or accounts receivable concentration is greater than 10% in any of the periods disclosed below. The Company did not have MACI revenue or accounts receivable concentrations greater than 10% in any of the periods disclosed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962"/>
              <w:spacing w:after="0"/>
              <w:rPr>
                <w:sz w:val="20"/>
                <w:szCs w:val="20"/>
                <w:color w:val="auto"/>
              </w:rPr>
            </w:pPr>
            <w:r>
              <w:rPr>
                <w:rFonts w:ascii="Arial" w:cs="Arial" w:eastAsia="Arial" w:hAnsi="Arial"/>
                <w:sz w:val="14"/>
                <w:szCs w:val="14"/>
                <w:b w:val="1"/>
                <w:bCs w:val="1"/>
                <w:color w:val="auto"/>
                <w:w w:val="99"/>
              </w:rPr>
              <w:t>Revenue Concentration</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Accounts Receivable Concentration</w:t>
            </w: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346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b w:val="1"/>
                <w:bCs w:val="1"/>
                <w:color w:val="auto"/>
              </w:rPr>
              <w:t>Three Months Ended June 30,</w:t>
            </w:r>
          </w:p>
        </w:tc>
        <w:tc>
          <w:tcPr>
            <w:tcW w:w="25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142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June 30,</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Epicel</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8"/>
                <w:szCs w:val="18"/>
                <w:color w:val="auto"/>
              </w:rPr>
              <w:t>10 %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540"/>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w w:val="91"/>
              </w:rPr>
              <w:t>5. Selected Balance Sheet Components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20" w:type="dxa"/>
            <w:vAlign w:val="bottom"/>
            <w:gridSpan w:val="2"/>
          </w:tcPr>
          <w:p>
            <w:pPr>
              <w:ind w:left="260"/>
              <w:spacing w:after="0"/>
              <w:rPr>
                <w:sz w:val="20"/>
                <w:szCs w:val="20"/>
                <w:color w:val="auto"/>
              </w:rPr>
            </w:pPr>
            <w:r>
              <w:rPr>
                <w:rFonts w:ascii="Arial" w:cs="Arial" w:eastAsia="Arial" w:hAnsi="Arial"/>
                <w:sz w:val="18"/>
                <w:szCs w:val="18"/>
                <w:i w:val="1"/>
                <w:iCs w:val="1"/>
                <w:color w:val="auto"/>
              </w:rPr>
              <w:t>Inventory</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20" w:type="dxa"/>
            <w:vAlign w:val="bottom"/>
            <w:gridSpan w:val="5"/>
          </w:tcPr>
          <w:p>
            <w:pPr>
              <w:ind w:left="260"/>
              <w:spacing w:after="0"/>
              <w:rPr>
                <w:sz w:val="20"/>
                <w:szCs w:val="20"/>
                <w:color w:val="auto"/>
              </w:rPr>
            </w:pPr>
            <w:r>
              <w:rPr>
                <w:rFonts w:ascii="Arial" w:cs="Arial" w:eastAsia="Arial" w:hAnsi="Arial"/>
                <w:sz w:val="18"/>
                <w:szCs w:val="18"/>
                <w:color w:val="auto"/>
                <w:w w:val="89"/>
              </w:rPr>
              <w:t>Inventory as of June 30, 2020 and December 31, 2019:</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8"/>
              </w:rPr>
              <w:t>June 30, 2020</w:t>
            </w: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5"/>
              </w:rPr>
              <w:t>December 31,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7,853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6,085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Inventory</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3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8,417</w:t>
            </w:r>
          </w:p>
        </w:tc>
        <w:tc>
          <w:tcPr>
            <w:tcW w:w="120" w:type="dxa"/>
            <w:vAlign w:val="bottom"/>
          </w:tcPr>
          <w:p>
            <w:pPr>
              <w:spacing w:after="0"/>
              <w:rPr>
                <w:sz w:val="20"/>
                <w:szCs w:val="20"/>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6,816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20" w:type="dxa"/>
            <w:vAlign w:val="bottom"/>
            <w:gridSpan w:val="2"/>
            <w:vMerge w:val="restart"/>
          </w:tcPr>
          <w:p>
            <w:pPr>
              <w:ind w:left="260"/>
              <w:spacing w:after="0"/>
              <w:rPr>
                <w:sz w:val="20"/>
                <w:szCs w:val="20"/>
                <w:color w:val="auto"/>
              </w:rPr>
            </w:pPr>
            <w:r>
              <w:rPr>
                <w:rFonts w:ascii="Arial" w:cs="Arial" w:eastAsia="Arial" w:hAnsi="Arial"/>
                <w:sz w:val="18"/>
                <w:szCs w:val="18"/>
                <w:i w:val="1"/>
                <w:iCs w:val="1"/>
                <w:color w:val="auto"/>
              </w:rPr>
              <w:t>Property and Equipment</w:t>
            </w: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120" w:type="dxa"/>
            <w:vAlign w:val="bottom"/>
            <w:gridSpan w:val="2"/>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12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640" w:type="dxa"/>
            <w:vAlign w:val="bottom"/>
            <w:gridSpan w:val="8"/>
          </w:tcPr>
          <w:p>
            <w:pPr>
              <w:ind w:left="260"/>
              <w:spacing w:after="0"/>
              <w:rPr>
                <w:sz w:val="20"/>
                <w:szCs w:val="20"/>
                <w:color w:val="auto"/>
              </w:rPr>
            </w:pPr>
            <w:r>
              <w:rPr>
                <w:rFonts w:ascii="Arial" w:cs="Arial" w:eastAsia="Arial" w:hAnsi="Arial"/>
                <w:sz w:val="18"/>
                <w:szCs w:val="18"/>
                <w:color w:val="auto"/>
                <w:w w:val="90"/>
              </w:rPr>
              <w:t>Property and Equipment, net as of June 30, 2020 and December 31, 2019:</w:t>
            </w: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8"/>
              </w:rPr>
              <w:t>June 30, 2020</w:t>
            </w: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5"/>
              </w:rPr>
              <w:t>December 31,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3,279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3,152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w w:val="98"/>
              </w:rPr>
              <w:t>Furniture, fixtures and office equipment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775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6,393</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6,174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5,256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5,256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Construction in process</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Financing right-of-use lease</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and equipment, gross</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17,178</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16,364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(10,138)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(9,220)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7,040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7,144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Depreciation expense for the three and six months ended June 30, 2020 was $0.5 million and $1.1 million, respectively, and $0.4 million and $0.7 million for the same periods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June 30, 2020 and December 31, 2019 are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December 31, 2019</w:t>
            </w:r>
          </w:p>
        </w:tc>
      </w:tr>
      <w:tr>
        <w:trPr>
          <w:trHeight w:val="249"/>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Bonus related compensation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5,116</w:t>
            </w:r>
          </w:p>
        </w:tc>
      </w:tr>
      <w:tr>
        <w:trPr>
          <w:trHeight w:val="243"/>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Employee related accruals</w:t>
            </w:r>
          </w:p>
        </w:tc>
        <w:tc>
          <w:tcPr>
            <w:tcW w:w="24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1,785</w:t>
            </w: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1,047</w:t>
            </w:r>
          </w:p>
        </w:tc>
      </w:tr>
      <w:tr>
        <w:trPr>
          <w:trHeight w:val="264"/>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7,975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7,948</w:t>
            </w:r>
          </w:p>
        </w:tc>
      </w:tr>
      <w:tr>
        <w:trPr>
          <w:trHeight w:val="20"/>
        </w:trPr>
        <w:tc>
          <w:tcPr>
            <w:tcW w:w="7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445"/>
        </w:trPr>
        <w:tc>
          <w:tcPr>
            <w:tcW w:w="7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8" w:right="339" w:bottom="100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Leases</w:t>
      </w:r>
    </w:p>
    <w:p>
      <w:pPr>
        <w:spacing w:after="0" w:line="256"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The Company leases facilities in Ann Arbor, Michigan and Cambridge, Massachusetts. The Ann Arbor facility includes office space, and the Cambridge facility includes clean rooms, laboratories for MACI and Epicel manufacturing and office space. The Company also leases offsite warehouse space, vehicles and computer equipment. Certain of the Company’s lease agreements include lease payments that are adjusted periodically for an index or rate. The leases are initially measured using the projected payments adjusted for the index or rate in effect at the commencement date. The Company’s lease agreements do not contain any material residual value guarantees or material restrictive covenants. All operating lease commitments with a lease term greater than 12 months are recognized as right to use assets and liabilities, on a discounted basis on the balance sheet. Leases with an initial term of 12 months or less are not recorded on the balance sheet and for both the three and six months ended June 30, 2020 and 2019, lease expense of less than </w:t>
      </w:r>
      <w:r>
        <w:rPr>
          <w:rFonts w:ascii="Arial" w:cs="Arial" w:eastAsia="Arial" w:hAnsi="Arial"/>
          <w:sz w:val="17"/>
          <w:szCs w:val="17"/>
          <w:color w:val="222222"/>
        </w:rPr>
        <w:t>$0.1</w:t>
      </w:r>
      <w:r>
        <w:rPr>
          <w:rFonts w:ascii="Arial" w:cs="Arial" w:eastAsia="Arial" w:hAnsi="Arial"/>
          <w:sz w:val="17"/>
          <w:szCs w:val="17"/>
          <w:color w:val="auto"/>
        </w:rPr>
        <w:t xml:space="preserve"> </w:t>
      </w:r>
      <w:r>
        <w:rPr>
          <w:rFonts w:ascii="Arial" w:cs="Arial" w:eastAsia="Arial" w:hAnsi="Arial"/>
          <w:sz w:val="17"/>
          <w:szCs w:val="17"/>
          <w:color w:val="222222"/>
        </w:rPr>
        <w:t xml:space="preserve">million </w:t>
      </w:r>
      <w:r>
        <w:rPr>
          <w:rFonts w:ascii="Arial" w:cs="Arial" w:eastAsia="Arial" w:hAnsi="Arial"/>
          <w:sz w:val="17"/>
          <w:szCs w:val="17"/>
          <w:color w:val="000000"/>
        </w:rPr>
        <w:t>was recorded related to short-term leases.</w:t>
      </w:r>
    </w:p>
    <w:p>
      <w:pPr>
        <w:spacing w:after="0" w:line="20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22222"/>
        </w:rPr>
        <w:t>contribution toward the cost of tenant improvements is recorded as a reduction of the operating lease assets. For the</w:t>
      </w:r>
      <w:r>
        <w:rPr>
          <w:rFonts w:ascii="Arial" w:cs="Arial" w:eastAsia="Arial" w:hAnsi="Arial"/>
          <w:sz w:val="18"/>
          <w:szCs w:val="18"/>
          <w:color w:val="auto"/>
        </w:rPr>
        <w:t xml:space="preserve"> three and six months ended June 30, 2020</w:t>
      </w:r>
      <w:r>
        <w:rPr>
          <w:rFonts w:ascii="Arial" w:cs="Arial" w:eastAsia="Arial" w:hAnsi="Arial"/>
          <w:sz w:val="18"/>
          <w:szCs w:val="18"/>
          <w:color w:val="222222"/>
        </w:rPr>
        <w:t>, the Company recognized $1.4 million and $2.9 million of operating lease expense and $1.3 million and $2.6 million for the same periods in</w:t>
      </w:r>
      <w:r>
        <w:rPr>
          <w:rFonts w:ascii="Arial" w:cs="Arial" w:eastAsia="Arial" w:hAnsi="Arial"/>
          <w:sz w:val="18"/>
          <w:szCs w:val="18"/>
          <w:color w:val="auto"/>
        </w:rPr>
        <w:t xml:space="preserve"> </w:t>
      </w:r>
      <w:r>
        <w:rPr>
          <w:rFonts w:ascii="Arial" w:cs="Arial" w:eastAsia="Arial" w:hAnsi="Arial"/>
          <w:sz w:val="18"/>
          <w:szCs w:val="18"/>
          <w:color w:val="222222"/>
        </w:rPr>
        <w:t>2019.</w:t>
      </w:r>
    </w:p>
    <w:p>
      <w:pPr>
        <w:spacing w:after="0" w:line="21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222222"/>
        </w:rPr>
        <w:t xml:space="preserve">For both the </w:t>
      </w:r>
      <w:r>
        <w:rPr>
          <w:rFonts w:ascii="Arial" w:cs="Arial" w:eastAsia="Arial" w:hAnsi="Arial"/>
          <w:sz w:val="17"/>
          <w:szCs w:val="17"/>
          <w:color w:val="000000"/>
        </w:rPr>
        <w:t>three and six months ended June 30, 2020 and 2019, the Company recognized</w:t>
      </w:r>
      <w:r>
        <w:rPr>
          <w:rFonts w:ascii="Arial" w:cs="Arial" w:eastAsia="Arial" w:hAnsi="Arial"/>
          <w:sz w:val="17"/>
          <w:szCs w:val="17"/>
          <w:color w:val="222222"/>
        </w:rPr>
        <w:t xml:space="preserve"> less than $0.1 million of financing lease expense. The </w:t>
      </w:r>
      <w:r>
        <w:rPr>
          <w:rFonts w:ascii="Arial" w:cs="Arial" w:eastAsia="Arial" w:hAnsi="Arial"/>
          <w:sz w:val="17"/>
          <w:szCs w:val="17"/>
          <w:color w:val="000000"/>
        </w:rPr>
        <w:t>Company’s leases contain non-lease components and activities that do not transfer a good or service to the Company. The Company elected not to combine lease and non-lease components and therefore non-lease costs were not included in the net lease assets or lease liabilities.</w:t>
      </w:r>
    </w:p>
    <w:p>
      <w:pPr>
        <w:spacing w:after="0" w:line="192"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Total leased assets and liabilities as reassessed under the updated guidance and classified on the balance sheet, as of June 30, 2020 and December 31, 2019 are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December 31, 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6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Operating</w:t>
            </w: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0" w:type="dxa"/>
            <w:vAlign w:val="bottom"/>
            <w:gridSpan w:val="2"/>
          </w:tcPr>
          <w:p>
            <w:pPr>
              <w:ind w:left="120"/>
              <w:spacing w:after="0"/>
              <w:rPr>
                <w:sz w:val="20"/>
                <w:szCs w:val="20"/>
                <w:color w:val="auto"/>
              </w:rPr>
            </w:pPr>
            <w:r>
              <w:rPr>
                <w:rFonts w:ascii="Arial" w:cs="Arial" w:eastAsia="Arial" w:hAnsi="Arial"/>
                <w:sz w:val="18"/>
                <w:szCs w:val="18"/>
                <w:color w:val="auto"/>
              </w:rPr>
              <w:t>Finance</w:t>
            </w:r>
          </w:p>
        </w:tc>
        <w:tc>
          <w:tcPr>
            <w:tcW w:w="626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23,929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25,251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6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600" w:type="dxa"/>
            <w:vAlign w:val="bottom"/>
            <w:gridSpan w:val="2"/>
            <w:vMerge w:val="continue"/>
          </w:tcPr>
          <w:p>
            <w:pPr>
              <w:spacing w:after="0"/>
              <w:rPr>
                <w:sz w:val="16"/>
                <w:szCs w:val="16"/>
                <w:color w:val="auto"/>
              </w:rPr>
            </w:pPr>
          </w:p>
        </w:tc>
        <w:tc>
          <w:tcPr>
            <w:tcW w:w="6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Current</w:t>
            </w:r>
          </w:p>
        </w:tc>
        <w:tc>
          <w:tcPr>
            <w:tcW w:w="6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0" w:type="dxa"/>
            <w:vAlign w:val="bottom"/>
            <w:gridSpan w:val="2"/>
          </w:tcPr>
          <w:p>
            <w:pPr>
              <w:ind w:left="120"/>
              <w:spacing w:after="0"/>
              <w:rPr>
                <w:sz w:val="20"/>
                <w:szCs w:val="20"/>
                <w:color w:val="auto"/>
              </w:rPr>
            </w:pPr>
            <w:r>
              <w:rPr>
                <w:rFonts w:ascii="Arial" w:cs="Arial" w:eastAsia="Arial" w:hAnsi="Arial"/>
                <w:sz w:val="18"/>
                <w:szCs w:val="18"/>
                <w:color w:val="auto"/>
              </w:rPr>
              <w:t>Operating</w:t>
            </w:r>
          </w:p>
        </w:tc>
        <w:tc>
          <w:tcPr>
            <w:tcW w:w="626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5,570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5,461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Finance</w:t>
            </w: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5,611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5,502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Non-current</w:t>
            </w:r>
          </w:p>
        </w:tc>
        <w:tc>
          <w:tcPr>
            <w:tcW w:w="6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0" w:type="dxa"/>
            <w:vAlign w:val="bottom"/>
            <w:gridSpan w:val="2"/>
          </w:tcPr>
          <w:p>
            <w:pPr>
              <w:ind w:left="120"/>
              <w:spacing w:after="0"/>
              <w:rPr>
                <w:sz w:val="20"/>
                <w:szCs w:val="20"/>
                <w:color w:val="auto"/>
              </w:rPr>
            </w:pPr>
            <w:r>
              <w:rPr>
                <w:rFonts w:ascii="Arial" w:cs="Arial" w:eastAsia="Arial" w:hAnsi="Arial"/>
                <w:sz w:val="18"/>
                <w:szCs w:val="18"/>
                <w:color w:val="auto"/>
              </w:rPr>
              <w:t>Operating</w:t>
            </w:r>
          </w:p>
        </w:tc>
        <w:tc>
          <w:tcPr>
            <w:tcW w:w="62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20,881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22,242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Finance</w:t>
            </w: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20,974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22,352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4"/>
        </w:trPr>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Restricted Stock Units and Equity Incentive Plans</w:t>
      </w:r>
    </w:p>
    <w:p>
      <w:pPr>
        <w:spacing w:after="0" w:line="22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Company has historically had various stock incentive plans and agreements that provide for the issuance of nonqualified and incentive stock options and restricted stock units as well as other equity awards. Such awards may be granted by the Company’s Board of Directors to certain of the Company’s employees, directors and consultants.</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Options and restricted stock units granted to employees and non-employees under these plans expire no later than ten years from the date of grant and generally become exercisable over a four year period, under a graded-vesting methodology for stock options and annually on the anniversary grant date for restricted stock units, following the date of grant. The Company generally issues new shares upon the exercise of stock options or vesting of restricted stock units.</w:t>
      </w:r>
    </w:p>
    <w:p>
      <w:pPr>
        <w:spacing w:after="0" w:line="21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2019 Omnibus Incentive Plan (2019 Plan) was approved on May 1, 2019 and provides incentives through the grant of stock options, stock appreciation rights, restricted stock awards and restricted stock units. The exercise price of stock options granted under the 2019 Plan shall not be less than the fair market value of the Company’s common stock on the date of grant. The 2019 Plan replaced the 1992 Stock Option Plan, the 2001 Stock Option Plan, the Amended and Restated 2004 Equity Incentive Plan, the 2009 Second Amended and Restated Omnibus Incentive Plan and the 2017 Omnibus Incentive Plan (Prior Plans), and no new grants have been granted under the Prior Plans after approval. However, the expiration or forfeiture of options previously granted under the Prior Plans will increase the number of shares available for issuance under the 2019 Plan.</w:t>
      </w:r>
    </w:p>
    <w:p>
      <w:pPr>
        <w:spacing w:after="0" w:line="20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Amended and Restated 2019 Omnibus Incentive Plan (Amended and Restated 2019 Plan) was approved on April 29, 2020. Amendments to the Amended and Restated 2019 Omnibus Plan included increasing the total number of shares of the Company's common stock reserved for issuance under the 2019 Plan by 2,400,000 shares, a revised ratio at which "full- value" awards are counted against the share reserve from 1.25 to 1.4, and extending the term of the plan to April 29, 2030.</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2020, there were 4,267,255 shares available for future grant under the Amended and Restated 2019 Plan.</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Employees are able to purchase stock under the Vericel Corporation Employee Stock Purchase Plan (ESPP). The ESPP allows for the issuance of an aggregate of 1,000,000 shares of common stock of which 672,907 have been issued since the inception of the benefit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 In July 2020, employees purchased 44,137 shares resulting in proceeds from the sale of common stock of $0.3 million under the ESPP for the second quarter of 2020.</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Service-Based Stock Options</w:t>
      </w:r>
    </w:p>
    <w:p>
      <w:pPr>
        <w:spacing w:after="0" w:line="225" w:lineRule="exact"/>
        <w:rPr>
          <w:sz w:val="20"/>
          <w:szCs w:val="20"/>
          <w:color w:val="auto"/>
        </w:rPr>
      </w:pPr>
    </w:p>
    <w:p>
      <w:pPr>
        <w:jc w:val="both"/>
        <w:ind w:firstLine="243"/>
        <w:spacing w:after="0" w:line="296" w:lineRule="auto"/>
        <w:rPr>
          <w:sz w:val="20"/>
          <w:szCs w:val="20"/>
          <w:color w:val="auto"/>
        </w:rPr>
      </w:pPr>
      <w:r>
        <w:rPr>
          <w:rFonts w:ascii="Arial" w:cs="Arial" w:eastAsia="Arial" w:hAnsi="Arial"/>
          <w:sz w:val="16"/>
          <w:szCs w:val="16"/>
          <w:color w:val="auto"/>
        </w:rPr>
        <w:t>During the three and six months ended June 30, 2020, the Company granted service-based options to purchase common stock of 110,750 and 1,296,890, respectively, and 152,500 and 1,638,510, respectively, for the same periods in 2019. The exercise price of the options is the fair market value per share of common stock on the grant date, generally vest over four years (other than non-employee director options which vest over one year) and have a term of ten years. The Company issues new shares upon the exercise of stock options. The weighted average grant-date fair value of service-based options granted during the three and six months ended June 30, 2020 was $8.82 and $8.66, respectively and $11.94 and $12.74, respectively, for the same periods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ind w:left="8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During the three and six months ended June 30, 2020 and 2019, the Company granted 10,700 and 196,836, service-based restricted stock units, respectively and 10,500 and 186,922, respectively, for the same periods in 2019. The restricted stock units vest annually over four years in equal installments commencing on the first anniversary of the grant date (other than non-employee director options which vest over one year from the grant date). The Company issues new shares upon the vesting of restricted stock units. Restricted stock awards are recorded at fair value at the date of grant, which is based on the closing share price on the grant date. Compensation expense is recorded for restricted stock units that are expected to vest based on their fair value at grant date and is amortized over the expected vesting period. The weighted average grant-date fair value of restricted stock units granted during the three and six months ended June 30, 2020 was $14.49 and $11.41, respectively and $16.62 and $17.71, respectively, for the same periods in 2019. The aggregate fair value of restricted stock units granted in the three and six months ended June 30, 2020 was $0.2 million and $2.2 million, respectively and $0.2 million and $3.3 million, respectively, for the same periods in 2019.</w:t>
      </w:r>
    </w:p>
    <w:p>
      <w:pPr>
        <w:spacing w:after="0" w:line="20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As a result of 36,212 units vesting during the three months ended March 31, 2020, 13,872 shares were withheld for payment of taxes on the employee's behalf and retired from the 2019 Plan. During the three months ended June 30, 2020, 10,500 units vested and no shares were withheld for payment of taxes, as no shares are withheld at vesting for shares awarded to the Company's Board of Directors.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 Compensation Expense</w:t>
      </w:r>
    </w:p>
    <w:p>
      <w:pPr>
        <w:spacing w:after="0" w:line="22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Non-cash stock-based compensation expense (employee stock purchase plan, service-based stock options and restricted stock units) included in cost of goods sold, research and development expenses and selling, general and administrative expenses is summarized in the following table: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0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976</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1,410</w:t>
            </w: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3,325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6,087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4,424</w:t>
            </w:r>
          </w:p>
        </w:tc>
      </w:tr>
      <w:tr>
        <w:trPr>
          <w:trHeight w:val="237"/>
        </w:trPr>
        <w:tc>
          <w:tcPr>
            <w:tcW w:w="5260" w:type="dxa"/>
            <w:vAlign w:val="bottom"/>
            <w:gridSpan w:val="2"/>
          </w:tcPr>
          <w:p>
            <w:pPr>
              <w:ind w:left="120"/>
              <w:spacing w:after="0"/>
              <w:rPr>
                <w:sz w:val="20"/>
                <w:szCs w:val="20"/>
                <w:color w:val="auto"/>
              </w:rPr>
            </w:pPr>
            <w:r>
              <w:rPr>
                <w:rFonts w:ascii="Arial" w:cs="Arial" w:eastAsia="Arial" w:hAnsi="Arial"/>
                <w:sz w:val="18"/>
                <w:szCs w:val="18"/>
                <w:color w:val="auto"/>
              </w:rPr>
              <w:t>Total non-cash stock-based compensation expense</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8,144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6,810</w:t>
            </w: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445"/>
        </w:trPr>
        <w:tc>
          <w:tcPr>
            <w:tcW w:w="5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Cash Equivalents and Investments</w:t>
      </w:r>
    </w:p>
    <w:p>
      <w:pPr>
        <w:spacing w:after="0" w:line="243" w:lineRule="exact"/>
        <w:rPr>
          <w:sz w:val="20"/>
          <w:szCs w:val="20"/>
          <w:color w:val="auto"/>
        </w:rPr>
      </w:pPr>
    </w:p>
    <w:p>
      <w:pPr>
        <w:jc w:val="both"/>
        <w:ind w:right="40" w:firstLine="243"/>
        <w:spacing w:after="0" w:line="235" w:lineRule="auto"/>
        <w:rPr>
          <w:sz w:val="20"/>
          <w:szCs w:val="20"/>
          <w:color w:val="auto"/>
        </w:rPr>
      </w:pPr>
      <w:r>
        <w:rPr>
          <w:rFonts w:ascii="Arial" w:cs="Arial" w:eastAsia="Arial" w:hAnsi="Arial"/>
          <w:sz w:val="18"/>
          <w:szCs w:val="18"/>
          <w:color w:val="auto"/>
        </w:rPr>
        <w:t xml:space="preserve">Marketable debt securities held by the Company are classified as available-for-sale pursuant to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and carried at fair value in the accompanying consolidated balance sheets on a settlement date basis. The following tables summarize the gross unrealized gains and losses of the Company’s marketable securities as of June 30, 2020 and December 31, 2019:</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June 30, 2020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4"/>
          </w:tcPr>
          <w:p>
            <w:pPr>
              <w:ind w:left="380"/>
              <w:spacing w:after="0"/>
              <w:rPr>
                <w:sz w:val="20"/>
                <w:szCs w:val="20"/>
                <w:color w:val="auto"/>
              </w:rPr>
            </w:pPr>
            <w:r>
              <w:rPr>
                <w:rFonts w:ascii="Arial" w:cs="Arial" w:eastAsia="Arial" w:hAnsi="Arial"/>
                <w:sz w:val="14"/>
                <w:szCs w:val="14"/>
                <w:b w:val="1"/>
                <w:bCs w:val="1"/>
                <w:color w:val="auto"/>
              </w:rPr>
              <w:t>Gross Unrealized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680" w:type="dxa"/>
            <w:vAlign w:val="bottom"/>
            <w:tcBorders>
              <w:bottom w:val="single" w:sz="8" w:color="BFE4FF"/>
            </w:tcBorders>
          </w:tcPr>
          <w:p>
            <w:pPr>
              <w:spacing w:after="0"/>
              <w:rPr>
                <w:sz w:val="18"/>
                <w:szCs w:val="18"/>
                <w:color w:val="auto"/>
              </w:rPr>
            </w:pPr>
          </w:p>
        </w:tc>
        <w:tc>
          <w:tcPr>
            <w:tcW w:w="166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BFE4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Borders>
              <w:bottom w:val="single" w:sz="8" w:color="BFE4FF"/>
            </w:tcBorders>
          </w:tcPr>
          <w:p>
            <w:pPr>
              <w:spacing w:after="0"/>
              <w:rPr>
                <w:sz w:val="18"/>
                <w:szCs w:val="18"/>
                <w:color w:val="auto"/>
              </w:rPr>
            </w:pPr>
          </w:p>
        </w:tc>
        <w:tc>
          <w:tcPr>
            <w:tcW w:w="880" w:type="dxa"/>
            <w:vAlign w:val="bottom"/>
            <w:tcBorders>
              <w:bottom w:val="single" w:sz="8" w:color="auto"/>
            </w:tcBorders>
            <w:gridSpan w:val="2"/>
          </w:tcPr>
          <w:p>
            <w:pPr>
              <w:jc w:val="center"/>
              <w:ind w:left="356"/>
              <w:spacing w:after="0"/>
              <w:rPr>
                <w:sz w:val="20"/>
                <w:szCs w:val="20"/>
                <w:color w:val="auto"/>
              </w:rPr>
            </w:pPr>
            <w:r>
              <w:rPr>
                <w:rFonts w:ascii="Arial" w:cs="Arial" w:eastAsia="Arial" w:hAnsi="Arial"/>
                <w:sz w:val="14"/>
                <w:szCs w:val="14"/>
                <w:b w:val="1"/>
                <w:bCs w:val="1"/>
                <w:color w:val="auto"/>
                <w:w w:val="82"/>
              </w:rPr>
              <w:t>Losses</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Credit Losses</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BFE4FF"/>
            </w:tcBorders>
          </w:tcPr>
          <w:p>
            <w:pPr>
              <w:spacing w:after="0"/>
              <w:rPr>
                <w:sz w:val="18"/>
                <w:szCs w:val="18"/>
                <w:color w:val="auto"/>
              </w:rPr>
            </w:pPr>
          </w:p>
        </w:tc>
        <w:tc>
          <w:tcPr>
            <w:tcW w:w="60" w:type="dxa"/>
            <w:vAlign w:val="bottom"/>
            <w:tcBorders>
              <w:bottom w:val="single" w:sz="8" w:color="BFE4FF"/>
            </w:tcBorders>
          </w:tcPr>
          <w:p>
            <w:pPr>
              <w:spacing w:after="0"/>
              <w:rPr>
                <w:sz w:val="18"/>
                <w:szCs w:val="18"/>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Estimated Fair Value</w:t>
            </w:r>
          </w:p>
        </w:tc>
        <w:tc>
          <w:tcPr>
            <w:tcW w:w="0" w:type="dxa"/>
            <w:vAlign w:val="bottom"/>
          </w:tcPr>
          <w:p>
            <w:pPr>
              <w:spacing w:after="0"/>
              <w:rPr>
                <w:sz w:val="1"/>
                <w:szCs w:val="1"/>
                <w:color w:val="auto"/>
              </w:rPr>
            </w:pPr>
          </w:p>
        </w:tc>
      </w:tr>
      <w:tr>
        <w:trPr>
          <w:trHeight w:val="249"/>
        </w:trPr>
        <w:tc>
          <w:tcPr>
            <w:tcW w:w="36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Money market funds</w:t>
            </w:r>
          </w:p>
        </w:tc>
        <w:tc>
          <w:tcPr>
            <w:tcW w:w="480" w:type="dxa"/>
            <w:vAlign w:val="bottom"/>
            <w:tcBorders>
              <w:bottom w:val="single" w:sz="8" w:color="BFE4FF"/>
            </w:tcBorders>
            <w:shd w:val="clear" w:color="auto" w:fill="BFE4FF"/>
          </w:tcPr>
          <w:p>
            <w:pPr>
              <w:jc w:val="right"/>
              <w:ind w:right="295"/>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44,985</w:t>
            </w:r>
          </w:p>
        </w:tc>
        <w:tc>
          <w:tcPr>
            <w:tcW w:w="600" w:type="dxa"/>
            <w:vAlign w:val="bottom"/>
            <w:tcBorders>
              <w:bottom w:val="single" w:sz="8" w:color="BFE4FF"/>
            </w:tcBorders>
            <w:gridSpan w:val="3"/>
            <w:shd w:val="clear" w:color="auto" w:fill="BFE4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gridSpan w:val="2"/>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BFE4FF"/>
            </w:tcBorders>
            <w:shd w:val="clear" w:color="auto" w:fill="BFE4FF"/>
          </w:tcPr>
          <w:p>
            <w:pPr>
              <w:jc w:val="right"/>
              <w:ind w:right="576"/>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BFE4FF"/>
            </w:tcBorders>
            <w:shd w:val="clear" w:color="auto" w:fill="BFE4FF"/>
          </w:tcPr>
          <w:p>
            <w:pPr>
              <w:spacing w:after="0"/>
              <w:rPr>
                <w:sz w:val="21"/>
                <w:szCs w:val="21"/>
                <w:color w:val="auto"/>
              </w:rPr>
            </w:pPr>
          </w:p>
        </w:tc>
        <w:tc>
          <w:tcPr>
            <w:tcW w:w="580" w:type="dxa"/>
            <w:vAlign w:val="bottom"/>
            <w:tcBorders>
              <w:bottom w:val="single" w:sz="8" w:color="BFE4FF"/>
            </w:tcBorders>
            <w:gridSpan w:val="2"/>
            <w:shd w:val="clear" w:color="auto" w:fill="BFE4FF"/>
          </w:tcPr>
          <w:p>
            <w:pPr>
              <w:ind w:lef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gridSpan w:val="2"/>
            <w:shd w:val="clear" w:color="auto" w:fill="BFE4FF"/>
          </w:tcPr>
          <w:p>
            <w:pPr>
              <w:ind w:left="8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gridSpan w:val="2"/>
            <w:shd w:val="clear" w:color="auto" w:fill="BFE4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44,985</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Corporate notes</w:t>
            </w:r>
          </w:p>
        </w:tc>
        <w:tc>
          <w:tcPr>
            <w:tcW w:w="48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8,840</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55"/>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580" w:type="dxa"/>
            <w:vAlign w:val="bottom"/>
            <w:tcBorders>
              <w:bottom w:val="single" w:sz="8" w:color="BFE4FF"/>
            </w:tcBorders>
            <w:gridSpan w:val="2"/>
            <w:shd w:val="clear" w:color="auto" w:fill="BFE4FF"/>
          </w:tcPr>
          <w:p>
            <w:pPr>
              <w:ind w:lef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gridSpan w:val="2"/>
            <w:shd w:val="clear" w:color="auto" w:fill="BFE4FF"/>
          </w:tcPr>
          <w:p>
            <w:pPr>
              <w:ind w:left="8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8,895</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U.S. asset-backed securities</w:t>
            </w:r>
          </w:p>
        </w:tc>
        <w:tc>
          <w:tcPr>
            <w:tcW w:w="480" w:type="dxa"/>
            <w:vAlign w:val="bottom"/>
            <w:tcBorders>
              <w:bottom w:val="single" w:sz="8" w:color="BFE4FF"/>
            </w:tcBorders>
            <w:shd w:val="clear" w:color="auto" w:fill="BFE4FF"/>
          </w:tcPr>
          <w:p>
            <w:pPr>
              <w:spacing w:after="0"/>
              <w:rPr>
                <w:sz w:val="23"/>
                <w:szCs w:val="23"/>
                <w:color w:val="auto"/>
              </w:rPr>
            </w:pPr>
          </w:p>
        </w:tc>
        <w:tc>
          <w:tcPr>
            <w:tcW w:w="24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55"/>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BFE4FF"/>
            </w:tcBorders>
            <w:shd w:val="clear" w:color="auto" w:fill="BFE4FF"/>
          </w:tcPr>
          <w:p>
            <w:pPr>
              <w:spacing w:after="0"/>
              <w:rPr>
                <w:sz w:val="23"/>
                <w:szCs w:val="23"/>
                <w:color w:val="auto"/>
              </w:rPr>
            </w:pPr>
          </w:p>
        </w:tc>
        <w:tc>
          <w:tcPr>
            <w:tcW w:w="76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580" w:type="dxa"/>
            <w:vAlign w:val="bottom"/>
            <w:tcBorders>
              <w:bottom w:val="single" w:sz="8" w:color="BFE4FF"/>
            </w:tcBorders>
            <w:gridSpan w:val="2"/>
            <w:shd w:val="clear" w:color="auto" w:fill="BFE4FF"/>
          </w:tcPr>
          <w:p>
            <w:pPr>
              <w:ind w:lef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3"/>
                <w:szCs w:val="23"/>
                <w:color w:val="auto"/>
              </w:rPr>
            </w:pPr>
          </w:p>
        </w:tc>
        <w:tc>
          <w:tcPr>
            <w:tcW w:w="1080" w:type="dxa"/>
            <w:vAlign w:val="bottom"/>
            <w:tcBorders>
              <w:bottom w:val="single" w:sz="8" w:color="BFE4FF"/>
            </w:tcBorders>
            <w:gridSpan w:val="2"/>
            <w:shd w:val="clear" w:color="auto" w:fill="BFE4FF"/>
          </w:tcPr>
          <w:p>
            <w:pPr>
              <w:ind w:left="8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BFE4FF"/>
            </w:tcBorders>
            <w:shd w:val="clear" w:color="auto" w:fill="BFE4FF"/>
          </w:tcPr>
          <w:p>
            <w:pPr>
              <w:spacing w:after="0"/>
              <w:rPr>
                <w:sz w:val="23"/>
                <w:szCs w:val="23"/>
                <w:color w:val="auto"/>
              </w:rPr>
            </w:pPr>
          </w:p>
        </w:tc>
        <w:tc>
          <w:tcPr>
            <w:tcW w:w="60" w:type="dxa"/>
            <w:vAlign w:val="bottom"/>
            <w:tcBorders>
              <w:bottom w:val="single" w:sz="8" w:color="BFE4FF"/>
            </w:tcBorders>
            <w:shd w:val="clear" w:color="auto" w:fill="BFE4FF"/>
          </w:tcPr>
          <w:p>
            <w:pPr>
              <w:spacing w:after="0"/>
              <w:rPr>
                <w:sz w:val="23"/>
                <w:szCs w:val="23"/>
                <w:color w:val="auto"/>
              </w:rPr>
            </w:pPr>
          </w:p>
        </w:tc>
        <w:tc>
          <w:tcPr>
            <w:tcW w:w="60" w:type="dxa"/>
            <w:vAlign w:val="bottom"/>
            <w:tcBorders>
              <w:bottom w:val="single" w:sz="8" w:color="BFE4FF"/>
            </w:tcBorders>
            <w:shd w:val="clear" w:color="auto" w:fill="BFE4FF"/>
          </w:tcPr>
          <w:p>
            <w:pPr>
              <w:spacing w:after="0"/>
              <w:rPr>
                <w:sz w:val="23"/>
                <w:szCs w:val="23"/>
                <w:color w:val="auto"/>
              </w:rPr>
            </w:pPr>
          </w:p>
        </w:tc>
        <w:tc>
          <w:tcPr>
            <w:tcW w:w="40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480" w:type="dxa"/>
            <w:vAlign w:val="bottom"/>
            <w:tcBorders>
              <w:top w:val="single" w:sz="8" w:color="auto"/>
            </w:tcBorders>
          </w:tcPr>
          <w:p>
            <w:pPr>
              <w:jc w:val="right"/>
              <w:ind w:right="295"/>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69,926</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tcPr>
          <w:p>
            <w:pPr>
              <w:ind w:left="8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70,071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BFE4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BFE4FF"/>
            </w:tcBorders>
          </w:tcPr>
          <w:p>
            <w:pPr>
              <w:spacing w:after="0" w:line="20" w:lineRule="exact"/>
              <w:rPr>
                <w:sz w:val="1"/>
                <w:szCs w:val="1"/>
                <w:color w:val="auto"/>
              </w:rPr>
            </w:pPr>
          </w:p>
        </w:tc>
        <w:tc>
          <w:tcPr>
            <w:tcW w:w="60" w:type="dxa"/>
            <w:vAlign w:val="bottom"/>
            <w:tcBorders>
              <w:bottom w:val="single" w:sz="8" w:color="BFE4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Classified as:</w:t>
            </w:r>
          </w:p>
        </w:tc>
        <w:tc>
          <w:tcPr>
            <w:tcW w:w="480" w:type="dxa"/>
            <w:vAlign w:val="bottom"/>
            <w:tcBorders>
              <w:bottom w:val="single" w:sz="8" w:color="BFE4FF"/>
            </w:tcBorders>
            <w:shd w:val="clear" w:color="auto" w:fill="BFE4FF"/>
          </w:tcPr>
          <w:p>
            <w:pPr>
              <w:spacing w:after="0"/>
              <w:rPr>
                <w:sz w:val="18"/>
                <w:szCs w:val="18"/>
                <w:color w:val="auto"/>
              </w:rPr>
            </w:pPr>
          </w:p>
        </w:tc>
        <w:tc>
          <w:tcPr>
            <w:tcW w:w="240" w:type="dxa"/>
            <w:vAlign w:val="bottom"/>
            <w:tcBorders>
              <w:bottom w:val="single" w:sz="8" w:color="BFE4FF"/>
            </w:tcBorders>
            <w:shd w:val="clear" w:color="auto" w:fill="BFE4FF"/>
          </w:tcPr>
          <w:p>
            <w:pPr>
              <w:spacing w:after="0"/>
              <w:rPr>
                <w:sz w:val="18"/>
                <w:szCs w:val="18"/>
                <w:color w:val="auto"/>
              </w:rPr>
            </w:pPr>
          </w:p>
        </w:tc>
        <w:tc>
          <w:tcPr>
            <w:tcW w:w="94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38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86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76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46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160" w:type="dxa"/>
            <w:vAlign w:val="bottom"/>
            <w:tcBorders>
              <w:bottom w:val="single" w:sz="8" w:color="BFE4FF"/>
            </w:tcBorders>
            <w:shd w:val="clear" w:color="auto" w:fill="BFE4FF"/>
          </w:tcPr>
          <w:p>
            <w:pPr>
              <w:spacing w:after="0"/>
              <w:rPr>
                <w:sz w:val="18"/>
                <w:szCs w:val="18"/>
                <w:color w:val="auto"/>
              </w:rPr>
            </w:pPr>
          </w:p>
        </w:tc>
        <w:tc>
          <w:tcPr>
            <w:tcW w:w="96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40" w:type="dxa"/>
            <w:vAlign w:val="bottom"/>
            <w:tcBorders>
              <w:bottom w:val="single" w:sz="8" w:color="BFE4FF"/>
            </w:tcBorders>
            <w:shd w:val="clear" w:color="auto" w:fill="BFE4FF"/>
          </w:tcPr>
          <w:p>
            <w:pPr>
              <w:spacing w:after="0"/>
              <w:rPr>
                <w:sz w:val="18"/>
                <w:szCs w:val="18"/>
                <w:color w:val="auto"/>
              </w:rPr>
            </w:pPr>
          </w:p>
        </w:tc>
        <w:tc>
          <w:tcPr>
            <w:tcW w:w="60" w:type="dxa"/>
            <w:vAlign w:val="bottom"/>
            <w:tcBorders>
              <w:bottom w:val="single" w:sz="8" w:color="BFE4FF"/>
            </w:tcBorders>
            <w:shd w:val="clear" w:color="auto" w:fill="BFE4FF"/>
          </w:tcPr>
          <w:p>
            <w:pPr>
              <w:spacing w:after="0"/>
              <w:rPr>
                <w:sz w:val="18"/>
                <w:szCs w:val="18"/>
                <w:color w:val="auto"/>
              </w:rPr>
            </w:pPr>
          </w:p>
        </w:tc>
        <w:tc>
          <w:tcPr>
            <w:tcW w:w="60" w:type="dxa"/>
            <w:vAlign w:val="bottom"/>
            <w:tcBorders>
              <w:bottom w:val="single" w:sz="8" w:color="BFE4FF"/>
            </w:tcBorders>
            <w:shd w:val="clear" w:color="auto" w:fill="BFE4FF"/>
          </w:tcPr>
          <w:p>
            <w:pPr>
              <w:spacing w:after="0"/>
              <w:rPr>
                <w:sz w:val="18"/>
                <w:szCs w:val="18"/>
                <w:color w:val="auto"/>
              </w:rPr>
            </w:pPr>
          </w:p>
        </w:tc>
        <w:tc>
          <w:tcPr>
            <w:tcW w:w="400" w:type="dxa"/>
            <w:vAlign w:val="bottom"/>
            <w:tcBorders>
              <w:bottom w:val="single" w:sz="8" w:color="BFE4FF"/>
            </w:tcBorders>
            <w:shd w:val="clear" w:color="auto" w:fill="BFE4FF"/>
          </w:tcPr>
          <w:p>
            <w:pPr>
              <w:spacing w:after="0"/>
              <w:rPr>
                <w:sz w:val="18"/>
                <w:szCs w:val="18"/>
                <w:color w:val="auto"/>
              </w:rPr>
            </w:pPr>
          </w:p>
        </w:tc>
        <w:tc>
          <w:tcPr>
            <w:tcW w:w="960" w:type="dxa"/>
            <w:vAlign w:val="bottom"/>
            <w:tcBorders>
              <w:bottom w:val="single" w:sz="8" w:color="BFE4FF"/>
            </w:tcBorders>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44,985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Short term investments</w:t>
            </w:r>
          </w:p>
        </w:tc>
        <w:tc>
          <w:tcPr>
            <w:tcW w:w="480" w:type="dxa"/>
            <w:vAlign w:val="bottom"/>
            <w:tcBorders>
              <w:bottom w:val="single" w:sz="8" w:color="BFE4FF"/>
            </w:tcBorders>
            <w:shd w:val="clear" w:color="auto" w:fill="BFE4FF"/>
          </w:tcPr>
          <w:p>
            <w:pPr>
              <w:spacing w:after="0"/>
              <w:rPr>
                <w:sz w:val="23"/>
                <w:szCs w:val="23"/>
                <w:color w:val="auto"/>
              </w:rPr>
            </w:pPr>
          </w:p>
        </w:tc>
        <w:tc>
          <w:tcPr>
            <w:tcW w:w="24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76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46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40" w:type="dxa"/>
            <w:vAlign w:val="bottom"/>
            <w:tcBorders>
              <w:bottom w:val="single" w:sz="8" w:color="BFE4FF"/>
            </w:tcBorders>
            <w:shd w:val="clear" w:color="auto" w:fill="BFE4FF"/>
          </w:tcPr>
          <w:p>
            <w:pPr>
              <w:spacing w:after="0"/>
              <w:rPr>
                <w:sz w:val="23"/>
                <w:szCs w:val="23"/>
                <w:color w:val="auto"/>
              </w:rPr>
            </w:pPr>
          </w:p>
        </w:tc>
        <w:tc>
          <w:tcPr>
            <w:tcW w:w="60" w:type="dxa"/>
            <w:vAlign w:val="bottom"/>
            <w:tcBorders>
              <w:bottom w:val="single" w:sz="8" w:color="BFE4FF"/>
            </w:tcBorders>
            <w:shd w:val="clear" w:color="auto" w:fill="BFE4FF"/>
          </w:tcPr>
          <w:p>
            <w:pPr>
              <w:spacing w:after="0"/>
              <w:rPr>
                <w:sz w:val="23"/>
                <w:szCs w:val="23"/>
                <w:color w:val="auto"/>
              </w:rPr>
            </w:pPr>
          </w:p>
        </w:tc>
        <w:tc>
          <w:tcPr>
            <w:tcW w:w="60" w:type="dxa"/>
            <w:vAlign w:val="bottom"/>
            <w:tcBorders>
              <w:bottom w:val="single" w:sz="8" w:color="BFE4FF"/>
            </w:tcBorders>
            <w:shd w:val="clear" w:color="auto" w:fill="BFE4FF"/>
          </w:tcPr>
          <w:p>
            <w:pPr>
              <w:spacing w:after="0"/>
              <w:rPr>
                <w:sz w:val="23"/>
                <w:szCs w:val="23"/>
                <w:color w:val="auto"/>
              </w:rPr>
            </w:pPr>
          </w:p>
        </w:tc>
        <w:tc>
          <w:tcPr>
            <w:tcW w:w="40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25,086</w:t>
            </w: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70,071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6"/>
        </w:trPr>
        <w:tc>
          <w:tcPr>
            <w:tcW w:w="3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4"/>
          </w:tcPr>
          <w:p>
            <w:pPr>
              <w:ind w:left="280"/>
              <w:spacing w:after="0"/>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680" w:type="dxa"/>
            <w:vAlign w:val="bottom"/>
            <w:tcBorders>
              <w:bottom w:val="single" w:sz="8" w:color="BFE4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BFE4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BFE4FF"/>
            </w:tcBorders>
          </w:tcPr>
          <w:p>
            <w:pPr>
              <w:spacing w:after="0"/>
              <w:rPr>
                <w:sz w:val="18"/>
                <w:szCs w:val="18"/>
                <w:color w:val="auto"/>
              </w:rPr>
            </w:pPr>
          </w:p>
        </w:tc>
        <w:tc>
          <w:tcPr>
            <w:tcW w:w="174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BFE4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BFE4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Money market funds</w:t>
            </w:r>
          </w:p>
        </w:tc>
        <w:tc>
          <w:tcPr>
            <w:tcW w:w="720" w:type="dxa"/>
            <w:vAlign w:val="bottom"/>
            <w:tcBorders>
              <w:bottom w:val="single" w:sz="8" w:color="BFE4FF"/>
            </w:tcBorders>
            <w:gridSpan w:val="2"/>
            <w:shd w:val="clear" w:color="auto" w:fill="BFE4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gridSpan w:val="3"/>
            <w:shd w:val="clear" w:color="auto" w:fill="BFE4FF"/>
          </w:tcPr>
          <w:p>
            <w:pPr>
              <w:jc w:val="right"/>
              <w:ind w:right="70"/>
              <w:spacing w:after="0"/>
              <w:rPr>
                <w:sz w:val="20"/>
                <w:szCs w:val="20"/>
                <w:color w:val="auto"/>
              </w:rPr>
            </w:pPr>
            <w:r>
              <w:rPr>
                <w:rFonts w:ascii="Arial" w:cs="Arial" w:eastAsia="Arial" w:hAnsi="Arial"/>
                <w:sz w:val="18"/>
                <w:szCs w:val="18"/>
                <w:color w:val="auto"/>
                <w:w w:val="93"/>
              </w:rPr>
              <w:t>5,381</w:t>
            </w:r>
          </w:p>
        </w:tc>
        <w:tc>
          <w:tcPr>
            <w:tcW w:w="1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655"/>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gridSpan w:val="2"/>
            <w:shd w:val="clear" w:color="auto" w:fill="BFE4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gridSpan w:val="2"/>
            <w:shd w:val="clear" w:color="auto" w:fill="BFE4FF"/>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4"/>
          </w:tcPr>
          <w:p>
            <w:pPr>
              <w:jc w:val="right"/>
              <w:ind w:right="70"/>
              <w:spacing w:after="0"/>
              <w:rPr>
                <w:sz w:val="20"/>
                <w:szCs w:val="20"/>
                <w:color w:val="auto"/>
              </w:rPr>
            </w:pPr>
            <w:r>
              <w:rPr>
                <w:rFonts w:ascii="Arial" w:cs="Arial" w:eastAsia="Arial" w:hAnsi="Arial"/>
                <w:sz w:val="18"/>
                <w:szCs w:val="18"/>
                <w:color w:val="auto"/>
              </w:rPr>
              <w:t>11,892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11,892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Corporate notes</w:t>
            </w:r>
          </w:p>
        </w:tc>
        <w:tc>
          <w:tcPr>
            <w:tcW w:w="48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gridSpan w:val="4"/>
            <w:shd w:val="clear" w:color="auto" w:fill="BFE4FF"/>
          </w:tcPr>
          <w:p>
            <w:pPr>
              <w:jc w:val="right"/>
              <w:ind w:right="70"/>
              <w:spacing w:after="0"/>
              <w:rPr>
                <w:sz w:val="20"/>
                <w:szCs w:val="20"/>
                <w:color w:val="auto"/>
              </w:rPr>
            </w:pPr>
            <w:r>
              <w:rPr>
                <w:rFonts w:ascii="Arial" w:cs="Arial" w:eastAsia="Arial" w:hAnsi="Arial"/>
                <w:sz w:val="18"/>
                <w:szCs w:val="18"/>
                <w:color w:val="auto"/>
              </w:rPr>
              <w:t>18,369</w:t>
            </w:r>
          </w:p>
        </w:tc>
        <w:tc>
          <w:tcPr>
            <w:tcW w:w="1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ind w:right="56"/>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gridSpan w:val="2"/>
            <w:shd w:val="clear" w:color="auto" w:fill="BFE4FF"/>
          </w:tcPr>
          <w:p>
            <w:pPr>
              <w:ind w:left="6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18,380</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U.S. government securities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4"/>
          </w:tcPr>
          <w:p>
            <w:pPr>
              <w:jc w:val="right"/>
              <w:ind w:right="70"/>
              <w:spacing w:after="0"/>
              <w:rPr>
                <w:sz w:val="20"/>
                <w:szCs w:val="20"/>
                <w:color w:val="auto"/>
              </w:rPr>
            </w:pPr>
            <w:r>
              <w:rPr>
                <w:rFonts w:ascii="Arial" w:cs="Arial" w:eastAsia="Arial" w:hAnsi="Arial"/>
                <w:sz w:val="18"/>
                <w:szCs w:val="18"/>
                <w:color w:val="auto"/>
              </w:rPr>
              <w:t>11,291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11,295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U.S. asset-backed securities</w:t>
            </w:r>
          </w:p>
        </w:tc>
        <w:tc>
          <w:tcPr>
            <w:tcW w:w="480" w:type="dxa"/>
            <w:vAlign w:val="bottom"/>
            <w:tcBorders>
              <w:bottom w:val="single" w:sz="8" w:color="BFE4FF"/>
            </w:tcBorders>
            <w:shd w:val="clear" w:color="auto" w:fill="BFE4FF"/>
          </w:tcPr>
          <w:p>
            <w:pPr>
              <w:spacing w:after="0"/>
              <w:rPr>
                <w:sz w:val="23"/>
                <w:szCs w:val="23"/>
                <w:color w:val="auto"/>
              </w:rPr>
            </w:pPr>
          </w:p>
        </w:tc>
        <w:tc>
          <w:tcPr>
            <w:tcW w:w="240" w:type="dxa"/>
            <w:vAlign w:val="bottom"/>
            <w:tcBorders>
              <w:bottom w:val="single" w:sz="8" w:color="BFE4FF"/>
            </w:tcBorders>
            <w:shd w:val="clear" w:color="auto" w:fill="BFE4FF"/>
          </w:tcPr>
          <w:p>
            <w:pPr>
              <w:spacing w:after="0"/>
              <w:rPr>
                <w:sz w:val="23"/>
                <w:szCs w:val="23"/>
                <w:color w:val="auto"/>
              </w:rPr>
            </w:pPr>
          </w:p>
        </w:tc>
        <w:tc>
          <w:tcPr>
            <w:tcW w:w="1540" w:type="dxa"/>
            <w:vAlign w:val="bottom"/>
            <w:tcBorders>
              <w:bottom w:val="single" w:sz="8" w:color="BFE4FF"/>
            </w:tcBorders>
            <w:gridSpan w:val="4"/>
            <w:shd w:val="clear" w:color="auto" w:fill="BFE4FF"/>
          </w:tcPr>
          <w:p>
            <w:pPr>
              <w:jc w:val="right"/>
              <w:ind w:right="70"/>
              <w:spacing w:after="0"/>
              <w:rPr>
                <w:sz w:val="20"/>
                <w:szCs w:val="20"/>
                <w:color w:val="auto"/>
              </w:rPr>
            </w:pPr>
            <w:r>
              <w:rPr>
                <w:rFonts w:ascii="Arial" w:cs="Arial" w:eastAsia="Arial" w:hAnsi="Arial"/>
                <w:sz w:val="18"/>
                <w:szCs w:val="18"/>
                <w:color w:val="auto"/>
              </w:rPr>
              <w:t>10,503</w:t>
            </w:r>
          </w:p>
        </w:tc>
        <w:tc>
          <w:tcPr>
            <w:tcW w:w="10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760" w:type="dxa"/>
            <w:vAlign w:val="bottom"/>
            <w:tcBorders>
              <w:bottom w:val="single" w:sz="8" w:color="BFE4FF"/>
            </w:tcBorders>
            <w:shd w:val="clear" w:color="auto" w:fill="BFE4FF"/>
          </w:tcPr>
          <w:p>
            <w:pPr>
              <w:jc w:val="right"/>
              <w:ind w:right="56"/>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BFE4FF"/>
            </w:tcBorders>
            <w:shd w:val="clear" w:color="auto" w:fill="BFE4FF"/>
          </w:tcPr>
          <w:p>
            <w:pPr>
              <w:spacing w:after="0"/>
              <w:rPr>
                <w:sz w:val="23"/>
                <w:szCs w:val="23"/>
                <w:color w:val="auto"/>
              </w:rPr>
            </w:pPr>
          </w:p>
        </w:tc>
        <w:tc>
          <w:tcPr>
            <w:tcW w:w="46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080" w:type="dxa"/>
            <w:vAlign w:val="bottom"/>
            <w:tcBorders>
              <w:bottom w:val="single" w:sz="8" w:color="BFE4FF"/>
            </w:tcBorders>
            <w:gridSpan w:val="2"/>
            <w:shd w:val="clear" w:color="auto" w:fill="BFE4FF"/>
          </w:tcPr>
          <w:p>
            <w:pPr>
              <w:ind w:left="6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BFE4FF"/>
            </w:tcBorders>
            <w:shd w:val="clear" w:color="auto" w:fill="BFE4FF"/>
          </w:tcPr>
          <w:p>
            <w:pPr>
              <w:spacing w:after="0"/>
              <w:rPr>
                <w:sz w:val="23"/>
                <w:szCs w:val="23"/>
                <w:color w:val="auto"/>
              </w:rPr>
            </w:pPr>
          </w:p>
        </w:tc>
        <w:tc>
          <w:tcPr>
            <w:tcW w:w="60" w:type="dxa"/>
            <w:vAlign w:val="bottom"/>
            <w:tcBorders>
              <w:bottom w:val="single" w:sz="8" w:color="BFE4FF"/>
            </w:tcBorders>
            <w:shd w:val="clear" w:color="auto" w:fill="BFE4FF"/>
          </w:tcPr>
          <w:p>
            <w:pPr>
              <w:spacing w:after="0"/>
              <w:rPr>
                <w:sz w:val="23"/>
                <w:szCs w:val="23"/>
                <w:color w:val="auto"/>
              </w:rPr>
            </w:pPr>
          </w:p>
        </w:tc>
        <w:tc>
          <w:tcPr>
            <w:tcW w:w="60" w:type="dxa"/>
            <w:vAlign w:val="bottom"/>
            <w:tcBorders>
              <w:bottom w:val="single" w:sz="8" w:color="BFE4FF"/>
            </w:tcBorders>
            <w:shd w:val="clear" w:color="auto" w:fill="BFE4FF"/>
          </w:tcPr>
          <w:p>
            <w:pPr>
              <w:spacing w:after="0"/>
              <w:rPr>
                <w:sz w:val="23"/>
                <w:szCs w:val="23"/>
                <w:color w:val="auto"/>
              </w:rPr>
            </w:pPr>
          </w:p>
        </w:tc>
        <w:tc>
          <w:tcPr>
            <w:tcW w:w="400" w:type="dxa"/>
            <w:vAlign w:val="bottom"/>
            <w:tcBorders>
              <w:bottom w:val="single" w:sz="8" w:color="BFE4FF"/>
            </w:tcBorders>
            <w:shd w:val="clear" w:color="auto" w:fill="BFE4FF"/>
          </w:tcPr>
          <w:p>
            <w:pPr>
              <w:spacing w:after="0"/>
              <w:rPr>
                <w:sz w:val="23"/>
                <w:szCs w:val="23"/>
                <w:color w:val="auto"/>
              </w:rPr>
            </w:pPr>
          </w:p>
        </w:tc>
        <w:tc>
          <w:tcPr>
            <w:tcW w:w="96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10,509</w:t>
            </w: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57,436</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655"/>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57,457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Borders>
              <w:bottom w:val="single" w:sz="8" w:color="BFE4FF"/>
            </w:tcBorders>
          </w:tcPr>
          <w:p>
            <w:pPr>
              <w:spacing w:after="0" w:line="20" w:lineRule="exact"/>
              <w:rPr>
                <w:sz w:val="1"/>
                <w:szCs w:val="1"/>
                <w:color w:val="auto"/>
              </w:rPr>
            </w:pPr>
          </w:p>
        </w:tc>
        <w:tc>
          <w:tcPr>
            <w:tcW w:w="480" w:type="dxa"/>
            <w:vAlign w:val="bottom"/>
            <w:tcBorders>
              <w:bottom w:val="single" w:sz="8" w:color="BFE4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Classified as:</w:t>
            </w:r>
          </w:p>
        </w:tc>
        <w:tc>
          <w:tcPr>
            <w:tcW w:w="480" w:type="dxa"/>
            <w:vAlign w:val="bottom"/>
            <w:tcBorders>
              <w:bottom w:val="single" w:sz="8" w:color="BFE4FF"/>
            </w:tcBorders>
            <w:shd w:val="clear" w:color="auto" w:fill="BFE4FF"/>
          </w:tcPr>
          <w:p>
            <w:pPr>
              <w:spacing w:after="0"/>
              <w:rPr>
                <w:sz w:val="18"/>
                <w:szCs w:val="18"/>
                <w:color w:val="auto"/>
              </w:rPr>
            </w:pPr>
          </w:p>
        </w:tc>
        <w:tc>
          <w:tcPr>
            <w:tcW w:w="240" w:type="dxa"/>
            <w:vAlign w:val="bottom"/>
            <w:tcBorders>
              <w:bottom w:val="single" w:sz="8" w:color="BFE4FF"/>
            </w:tcBorders>
            <w:shd w:val="clear" w:color="auto" w:fill="BFE4FF"/>
          </w:tcPr>
          <w:p>
            <w:pPr>
              <w:spacing w:after="0"/>
              <w:rPr>
                <w:sz w:val="18"/>
                <w:szCs w:val="18"/>
                <w:color w:val="auto"/>
              </w:rPr>
            </w:pPr>
          </w:p>
        </w:tc>
        <w:tc>
          <w:tcPr>
            <w:tcW w:w="94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380" w:type="dxa"/>
            <w:vAlign w:val="bottom"/>
            <w:tcBorders>
              <w:bottom w:val="single" w:sz="8" w:color="BFE4FF"/>
            </w:tcBorders>
            <w:shd w:val="clear" w:color="auto" w:fill="BFE4FF"/>
          </w:tcPr>
          <w:p>
            <w:pPr>
              <w:spacing w:after="0"/>
              <w:rPr>
                <w:sz w:val="18"/>
                <w:szCs w:val="18"/>
                <w:color w:val="auto"/>
              </w:rPr>
            </w:pPr>
          </w:p>
        </w:tc>
        <w:tc>
          <w:tcPr>
            <w:tcW w:w="100" w:type="dxa"/>
            <w:vAlign w:val="bottom"/>
            <w:tcBorders>
              <w:bottom w:val="single" w:sz="8" w:color="BFE4FF"/>
            </w:tcBorders>
            <w:shd w:val="clear" w:color="auto" w:fill="BFE4FF"/>
          </w:tcPr>
          <w:p>
            <w:pPr>
              <w:spacing w:after="0"/>
              <w:rPr>
                <w:sz w:val="18"/>
                <w:szCs w:val="18"/>
                <w:color w:val="auto"/>
              </w:rPr>
            </w:pPr>
          </w:p>
        </w:tc>
        <w:tc>
          <w:tcPr>
            <w:tcW w:w="86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76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46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160" w:type="dxa"/>
            <w:vAlign w:val="bottom"/>
            <w:tcBorders>
              <w:bottom w:val="single" w:sz="8" w:color="BFE4FF"/>
            </w:tcBorders>
            <w:shd w:val="clear" w:color="auto" w:fill="BFE4FF"/>
          </w:tcPr>
          <w:p>
            <w:pPr>
              <w:spacing w:after="0"/>
              <w:rPr>
                <w:sz w:val="18"/>
                <w:szCs w:val="18"/>
                <w:color w:val="auto"/>
              </w:rPr>
            </w:pPr>
          </w:p>
        </w:tc>
        <w:tc>
          <w:tcPr>
            <w:tcW w:w="960" w:type="dxa"/>
            <w:vAlign w:val="bottom"/>
            <w:tcBorders>
              <w:bottom w:val="single" w:sz="8" w:color="BFE4FF"/>
            </w:tcBorders>
            <w:shd w:val="clear" w:color="auto" w:fill="BFE4FF"/>
          </w:tcPr>
          <w:p>
            <w:pPr>
              <w:spacing w:after="0"/>
              <w:rPr>
                <w:sz w:val="18"/>
                <w:szCs w:val="18"/>
                <w:color w:val="auto"/>
              </w:rPr>
            </w:pPr>
          </w:p>
        </w:tc>
        <w:tc>
          <w:tcPr>
            <w:tcW w:w="120" w:type="dxa"/>
            <w:vAlign w:val="bottom"/>
            <w:tcBorders>
              <w:bottom w:val="single" w:sz="8" w:color="BFE4FF"/>
            </w:tcBorders>
            <w:shd w:val="clear" w:color="auto" w:fill="BFE4FF"/>
          </w:tcPr>
          <w:p>
            <w:pPr>
              <w:spacing w:after="0"/>
              <w:rPr>
                <w:sz w:val="18"/>
                <w:szCs w:val="18"/>
                <w:color w:val="auto"/>
              </w:rPr>
            </w:pPr>
          </w:p>
        </w:tc>
        <w:tc>
          <w:tcPr>
            <w:tcW w:w="40" w:type="dxa"/>
            <w:vAlign w:val="bottom"/>
            <w:tcBorders>
              <w:bottom w:val="single" w:sz="8" w:color="BFE4FF"/>
            </w:tcBorders>
            <w:shd w:val="clear" w:color="auto" w:fill="BFE4FF"/>
          </w:tcPr>
          <w:p>
            <w:pPr>
              <w:spacing w:after="0"/>
              <w:rPr>
                <w:sz w:val="18"/>
                <w:szCs w:val="18"/>
                <w:color w:val="auto"/>
              </w:rPr>
            </w:pPr>
          </w:p>
        </w:tc>
        <w:tc>
          <w:tcPr>
            <w:tcW w:w="60" w:type="dxa"/>
            <w:vAlign w:val="bottom"/>
            <w:tcBorders>
              <w:bottom w:val="single" w:sz="8" w:color="BFE4FF"/>
            </w:tcBorders>
            <w:shd w:val="clear" w:color="auto" w:fill="BFE4FF"/>
          </w:tcPr>
          <w:p>
            <w:pPr>
              <w:spacing w:after="0"/>
              <w:rPr>
                <w:sz w:val="18"/>
                <w:szCs w:val="18"/>
                <w:color w:val="auto"/>
              </w:rPr>
            </w:pPr>
          </w:p>
        </w:tc>
        <w:tc>
          <w:tcPr>
            <w:tcW w:w="60" w:type="dxa"/>
            <w:vAlign w:val="bottom"/>
            <w:tcBorders>
              <w:bottom w:val="single" w:sz="8" w:color="BFE4FF"/>
            </w:tcBorders>
            <w:shd w:val="clear" w:color="auto" w:fill="BFE4FF"/>
          </w:tcPr>
          <w:p>
            <w:pPr>
              <w:spacing w:after="0"/>
              <w:rPr>
                <w:sz w:val="18"/>
                <w:szCs w:val="18"/>
                <w:color w:val="auto"/>
              </w:rPr>
            </w:pPr>
          </w:p>
        </w:tc>
        <w:tc>
          <w:tcPr>
            <w:tcW w:w="400" w:type="dxa"/>
            <w:vAlign w:val="bottom"/>
            <w:tcBorders>
              <w:bottom w:val="single" w:sz="8" w:color="BFE4FF"/>
            </w:tcBorders>
            <w:shd w:val="clear" w:color="auto" w:fill="BFE4FF"/>
          </w:tcPr>
          <w:p>
            <w:pPr>
              <w:spacing w:after="0"/>
              <w:rPr>
                <w:sz w:val="18"/>
                <w:szCs w:val="18"/>
                <w:color w:val="auto"/>
              </w:rPr>
            </w:pPr>
          </w:p>
        </w:tc>
        <w:tc>
          <w:tcPr>
            <w:tcW w:w="960" w:type="dxa"/>
            <w:vAlign w:val="bottom"/>
            <w:tcBorders>
              <w:bottom w:val="single" w:sz="8" w:color="BFE4FF"/>
            </w:tcBorders>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Short-term investments</w:t>
            </w:r>
          </w:p>
        </w:tc>
        <w:tc>
          <w:tcPr>
            <w:tcW w:w="480" w:type="dxa"/>
            <w:vAlign w:val="bottom"/>
            <w:tcBorders>
              <w:bottom w:val="single" w:sz="8" w:color="BFE4FF"/>
            </w:tcBorders>
            <w:shd w:val="clear" w:color="auto" w:fill="BFE4FF"/>
          </w:tcPr>
          <w:p>
            <w:pPr>
              <w:spacing w:after="0"/>
              <w:rPr>
                <w:sz w:val="21"/>
                <w:szCs w:val="21"/>
                <w:color w:val="auto"/>
              </w:rPr>
            </w:pPr>
          </w:p>
        </w:tc>
        <w:tc>
          <w:tcPr>
            <w:tcW w:w="2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60" w:type="dxa"/>
            <w:vAlign w:val="bottom"/>
            <w:tcBorders>
              <w:bottom w:val="single" w:sz="8" w:color="BFE4FF"/>
            </w:tcBorders>
            <w:shd w:val="clear" w:color="auto" w:fill="BFE4FF"/>
          </w:tcPr>
          <w:p>
            <w:pPr>
              <w:spacing w:after="0"/>
              <w:rPr>
                <w:sz w:val="21"/>
                <w:szCs w:val="21"/>
                <w:color w:val="auto"/>
              </w:rPr>
            </w:pPr>
          </w:p>
        </w:tc>
        <w:tc>
          <w:tcPr>
            <w:tcW w:w="400" w:type="dxa"/>
            <w:vAlign w:val="bottom"/>
            <w:tcBorders>
              <w:bottom w:val="single" w:sz="8" w:color="BFE4FF"/>
            </w:tcBorders>
            <w:shd w:val="clear" w:color="auto" w:fill="BFE4FF"/>
          </w:tcPr>
          <w:p>
            <w:pPr>
              <w:spacing w:after="0"/>
              <w:rPr>
                <w:sz w:val="21"/>
                <w:szCs w:val="21"/>
                <w:color w:val="auto"/>
              </w:rPr>
            </w:pPr>
          </w:p>
        </w:tc>
        <w:tc>
          <w:tcPr>
            <w:tcW w:w="96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42,829</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Long term investments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7"/>
        </w:trPr>
        <w:tc>
          <w:tcPr>
            <w:tcW w:w="3680" w:type="dxa"/>
            <w:vAlign w:val="bottom"/>
            <w:tcBorders>
              <w:bottom w:val="single" w:sz="8" w:color="BFE4FF"/>
            </w:tcBorders>
          </w:tcPr>
          <w:p>
            <w:pPr>
              <w:spacing w:after="0"/>
              <w:rPr>
                <w:sz w:val="2"/>
                <w:szCs w:val="2"/>
                <w:color w:val="auto"/>
              </w:rPr>
            </w:pPr>
          </w:p>
        </w:tc>
        <w:tc>
          <w:tcPr>
            <w:tcW w:w="480" w:type="dxa"/>
            <w:vAlign w:val="bottom"/>
            <w:tcBorders>
              <w:bottom w:val="single" w:sz="8" w:color="BFE4FF"/>
            </w:tcBorders>
          </w:tcPr>
          <w:p>
            <w:pPr>
              <w:spacing w:after="0"/>
              <w:rPr>
                <w:sz w:val="2"/>
                <w:szCs w:val="2"/>
                <w:color w:val="auto"/>
              </w:rPr>
            </w:pPr>
          </w:p>
        </w:tc>
        <w:tc>
          <w:tcPr>
            <w:tcW w:w="240" w:type="dxa"/>
            <w:vAlign w:val="bottom"/>
            <w:tcBorders>
              <w:bottom w:val="single" w:sz="8" w:color="BFE4FF"/>
            </w:tcBorders>
          </w:tcPr>
          <w:p>
            <w:pPr>
              <w:spacing w:after="0"/>
              <w:rPr>
                <w:sz w:val="2"/>
                <w:szCs w:val="2"/>
                <w:color w:val="auto"/>
              </w:rPr>
            </w:pPr>
          </w:p>
        </w:tc>
        <w:tc>
          <w:tcPr>
            <w:tcW w:w="94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8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86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76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6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60" w:type="dxa"/>
            <w:vAlign w:val="bottom"/>
            <w:tcBorders>
              <w:bottom w:val="single" w:sz="8" w:color="BFE4FF"/>
            </w:tcBorders>
          </w:tcPr>
          <w:p>
            <w:pPr>
              <w:spacing w:after="0"/>
              <w:rPr>
                <w:sz w:val="2"/>
                <w:szCs w:val="2"/>
                <w:color w:val="auto"/>
              </w:rPr>
            </w:pPr>
          </w:p>
        </w:tc>
        <w:tc>
          <w:tcPr>
            <w:tcW w:w="96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680" w:type="dxa"/>
            <w:vAlign w:val="bottom"/>
            <w:tcBorders>
              <w:bottom w:val="single" w:sz="8" w:color="BFE4FF"/>
            </w:tcBorders>
            <w:shd w:val="clear" w:color="auto" w:fill="BFE4FF"/>
          </w:tcPr>
          <w:p>
            <w:pPr>
              <w:spacing w:after="0"/>
              <w:rPr>
                <w:sz w:val="24"/>
                <w:szCs w:val="24"/>
                <w:color w:val="auto"/>
              </w:rPr>
            </w:pPr>
          </w:p>
        </w:tc>
        <w:tc>
          <w:tcPr>
            <w:tcW w:w="480" w:type="dxa"/>
            <w:vAlign w:val="bottom"/>
            <w:tcBorders>
              <w:bottom w:val="single" w:sz="8" w:color="BFE4FF"/>
            </w:tcBorders>
            <w:shd w:val="clear" w:color="auto" w:fill="BFE4FF"/>
          </w:tcPr>
          <w:p>
            <w:pPr>
              <w:spacing w:after="0"/>
              <w:rPr>
                <w:sz w:val="24"/>
                <w:szCs w:val="24"/>
                <w:color w:val="auto"/>
              </w:rPr>
            </w:pPr>
          </w:p>
        </w:tc>
        <w:tc>
          <w:tcPr>
            <w:tcW w:w="240" w:type="dxa"/>
            <w:vAlign w:val="bottom"/>
            <w:tcBorders>
              <w:bottom w:val="single" w:sz="8" w:color="BFE4FF"/>
            </w:tcBorders>
            <w:shd w:val="clear" w:color="auto" w:fill="BFE4FF"/>
          </w:tcPr>
          <w:p>
            <w:pPr>
              <w:spacing w:after="0"/>
              <w:rPr>
                <w:sz w:val="24"/>
                <w:szCs w:val="24"/>
                <w:color w:val="auto"/>
              </w:rPr>
            </w:pPr>
          </w:p>
        </w:tc>
        <w:tc>
          <w:tcPr>
            <w:tcW w:w="940" w:type="dxa"/>
            <w:vAlign w:val="bottom"/>
            <w:tcBorders>
              <w:bottom w:val="single" w:sz="8" w:color="BFE4FF"/>
            </w:tcBorders>
            <w:shd w:val="clear" w:color="auto" w:fill="BFE4FF"/>
          </w:tcPr>
          <w:p>
            <w:pPr>
              <w:spacing w:after="0"/>
              <w:rPr>
                <w:sz w:val="24"/>
                <w:szCs w:val="24"/>
                <w:color w:val="auto"/>
              </w:rPr>
            </w:pPr>
          </w:p>
        </w:tc>
        <w:tc>
          <w:tcPr>
            <w:tcW w:w="100" w:type="dxa"/>
            <w:vAlign w:val="bottom"/>
            <w:tcBorders>
              <w:bottom w:val="single" w:sz="8" w:color="BFE4FF"/>
            </w:tcBorders>
            <w:shd w:val="clear" w:color="auto" w:fill="BFE4FF"/>
          </w:tcPr>
          <w:p>
            <w:pPr>
              <w:spacing w:after="0"/>
              <w:rPr>
                <w:sz w:val="24"/>
                <w:szCs w:val="24"/>
                <w:color w:val="auto"/>
              </w:rPr>
            </w:pPr>
          </w:p>
        </w:tc>
        <w:tc>
          <w:tcPr>
            <w:tcW w:w="120" w:type="dxa"/>
            <w:vAlign w:val="bottom"/>
            <w:tcBorders>
              <w:bottom w:val="single" w:sz="8" w:color="BFE4FF"/>
            </w:tcBorders>
            <w:shd w:val="clear" w:color="auto" w:fill="BFE4FF"/>
          </w:tcPr>
          <w:p>
            <w:pPr>
              <w:spacing w:after="0"/>
              <w:rPr>
                <w:sz w:val="24"/>
                <w:szCs w:val="24"/>
                <w:color w:val="auto"/>
              </w:rPr>
            </w:pPr>
          </w:p>
        </w:tc>
        <w:tc>
          <w:tcPr>
            <w:tcW w:w="380" w:type="dxa"/>
            <w:vAlign w:val="bottom"/>
            <w:tcBorders>
              <w:bottom w:val="single" w:sz="8" w:color="BFE4FF"/>
            </w:tcBorders>
            <w:shd w:val="clear" w:color="auto" w:fill="BFE4FF"/>
          </w:tcPr>
          <w:p>
            <w:pPr>
              <w:spacing w:after="0"/>
              <w:rPr>
                <w:sz w:val="24"/>
                <w:szCs w:val="24"/>
                <w:color w:val="auto"/>
              </w:rPr>
            </w:pPr>
          </w:p>
        </w:tc>
        <w:tc>
          <w:tcPr>
            <w:tcW w:w="100" w:type="dxa"/>
            <w:vAlign w:val="bottom"/>
            <w:tcBorders>
              <w:bottom w:val="single" w:sz="8" w:color="BFE4FF"/>
            </w:tcBorders>
            <w:shd w:val="clear" w:color="auto" w:fill="BFE4FF"/>
          </w:tcPr>
          <w:p>
            <w:pPr>
              <w:spacing w:after="0"/>
              <w:rPr>
                <w:sz w:val="24"/>
                <w:szCs w:val="24"/>
                <w:color w:val="auto"/>
              </w:rPr>
            </w:pPr>
          </w:p>
        </w:tc>
        <w:tc>
          <w:tcPr>
            <w:tcW w:w="860" w:type="dxa"/>
            <w:vAlign w:val="bottom"/>
            <w:tcBorders>
              <w:bottom w:val="single" w:sz="8" w:color="BFE4FF"/>
            </w:tcBorders>
            <w:shd w:val="clear" w:color="auto" w:fill="BFE4FF"/>
          </w:tcPr>
          <w:p>
            <w:pPr>
              <w:spacing w:after="0"/>
              <w:rPr>
                <w:sz w:val="24"/>
                <w:szCs w:val="24"/>
                <w:color w:val="auto"/>
              </w:rPr>
            </w:pPr>
          </w:p>
        </w:tc>
        <w:tc>
          <w:tcPr>
            <w:tcW w:w="120" w:type="dxa"/>
            <w:vAlign w:val="bottom"/>
            <w:tcBorders>
              <w:bottom w:val="single" w:sz="8" w:color="BFE4FF"/>
            </w:tcBorders>
            <w:shd w:val="clear" w:color="auto" w:fill="BFE4FF"/>
          </w:tcPr>
          <w:p>
            <w:pPr>
              <w:spacing w:after="0"/>
              <w:rPr>
                <w:sz w:val="24"/>
                <w:szCs w:val="24"/>
                <w:color w:val="auto"/>
              </w:rPr>
            </w:pPr>
          </w:p>
        </w:tc>
        <w:tc>
          <w:tcPr>
            <w:tcW w:w="760" w:type="dxa"/>
            <w:vAlign w:val="bottom"/>
            <w:tcBorders>
              <w:bottom w:val="single" w:sz="8" w:color="BFE4FF"/>
            </w:tcBorders>
            <w:shd w:val="clear" w:color="auto" w:fill="BFE4FF"/>
          </w:tcPr>
          <w:p>
            <w:pPr>
              <w:spacing w:after="0"/>
              <w:rPr>
                <w:sz w:val="24"/>
                <w:szCs w:val="24"/>
                <w:color w:val="auto"/>
              </w:rPr>
            </w:pPr>
          </w:p>
        </w:tc>
        <w:tc>
          <w:tcPr>
            <w:tcW w:w="120" w:type="dxa"/>
            <w:vAlign w:val="bottom"/>
            <w:tcBorders>
              <w:bottom w:val="single" w:sz="8" w:color="BFE4FF"/>
            </w:tcBorders>
            <w:shd w:val="clear" w:color="auto" w:fill="BFE4FF"/>
          </w:tcPr>
          <w:p>
            <w:pPr>
              <w:spacing w:after="0"/>
              <w:rPr>
                <w:sz w:val="24"/>
                <w:szCs w:val="24"/>
                <w:color w:val="auto"/>
              </w:rPr>
            </w:pPr>
          </w:p>
        </w:tc>
        <w:tc>
          <w:tcPr>
            <w:tcW w:w="460" w:type="dxa"/>
            <w:vAlign w:val="bottom"/>
            <w:tcBorders>
              <w:bottom w:val="single" w:sz="8" w:color="BFE4FF"/>
            </w:tcBorders>
            <w:shd w:val="clear" w:color="auto" w:fill="BFE4FF"/>
          </w:tcPr>
          <w:p>
            <w:pPr>
              <w:spacing w:after="0"/>
              <w:rPr>
                <w:sz w:val="24"/>
                <w:szCs w:val="24"/>
                <w:color w:val="auto"/>
              </w:rPr>
            </w:pPr>
          </w:p>
        </w:tc>
        <w:tc>
          <w:tcPr>
            <w:tcW w:w="120" w:type="dxa"/>
            <w:vAlign w:val="bottom"/>
            <w:tcBorders>
              <w:bottom w:val="single" w:sz="8" w:color="BFE4FF"/>
            </w:tcBorders>
            <w:shd w:val="clear" w:color="auto" w:fill="BFE4FF"/>
          </w:tcPr>
          <w:p>
            <w:pPr>
              <w:spacing w:after="0"/>
              <w:rPr>
                <w:sz w:val="24"/>
                <w:szCs w:val="24"/>
                <w:color w:val="auto"/>
              </w:rPr>
            </w:pPr>
          </w:p>
        </w:tc>
        <w:tc>
          <w:tcPr>
            <w:tcW w:w="160" w:type="dxa"/>
            <w:vAlign w:val="bottom"/>
            <w:tcBorders>
              <w:bottom w:val="single" w:sz="8" w:color="BFE4FF"/>
            </w:tcBorders>
            <w:shd w:val="clear" w:color="auto" w:fill="BFE4FF"/>
          </w:tcPr>
          <w:p>
            <w:pPr>
              <w:spacing w:after="0"/>
              <w:rPr>
                <w:sz w:val="24"/>
                <w:szCs w:val="24"/>
                <w:color w:val="auto"/>
              </w:rPr>
            </w:pPr>
          </w:p>
        </w:tc>
        <w:tc>
          <w:tcPr>
            <w:tcW w:w="960" w:type="dxa"/>
            <w:vAlign w:val="bottom"/>
            <w:tcBorders>
              <w:bottom w:val="single" w:sz="8" w:color="BFE4FF"/>
            </w:tcBorders>
            <w:shd w:val="clear" w:color="auto" w:fill="BFE4FF"/>
          </w:tcPr>
          <w:p>
            <w:pPr>
              <w:spacing w:after="0"/>
              <w:rPr>
                <w:sz w:val="24"/>
                <w:szCs w:val="24"/>
                <w:color w:val="auto"/>
              </w:rPr>
            </w:pPr>
          </w:p>
        </w:tc>
        <w:tc>
          <w:tcPr>
            <w:tcW w:w="120" w:type="dxa"/>
            <w:vAlign w:val="bottom"/>
            <w:tcBorders>
              <w:bottom w:val="single" w:sz="8" w:color="BFE4FF"/>
            </w:tcBorders>
            <w:shd w:val="clear" w:color="auto" w:fill="BFE4FF"/>
          </w:tcPr>
          <w:p>
            <w:pPr>
              <w:spacing w:after="0"/>
              <w:rPr>
                <w:sz w:val="24"/>
                <w:szCs w:val="24"/>
                <w:color w:val="auto"/>
              </w:rPr>
            </w:pPr>
          </w:p>
        </w:tc>
        <w:tc>
          <w:tcPr>
            <w:tcW w:w="100" w:type="dxa"/>
            <w:vAlign w:val="bottom"/>
            <w:tcBorders>
              <w:bottom w:val="single" w:sz="8" w:color="BFE4FF"/>
            </w:tcBorders>
            <w:gridSpan w:val="2"/>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BFE4FF"/>
            </w:tcBorders>
            <w:shd w:val="clear" w:color="auto" w:fill="BFE4FF"/>
          </w:tcPr>
          <w:p>
            <w:pPr>
              <w:spacing w:after="0"/>
              <w:rPr>
                <w:sz w:val="24"/>
                <w:szCs w:val="24"/>
                <w:color w:val="auto"/>
              </w:rPr>
            </w:pPr>
          </w:p>
        </w:tc>
        <w:tc>
          <w:tcPr>
            <w:tcW w:w="400" w:type="dxa"/>
            <w:vAlign w:val="bottom"/>
            <w:tcBorders>
              <w:bottom w:val="single" w:sz="8" w:color="BFE4FF"/>
            </w:tcBorders>
            <w:shd w:val="clear" w:color="auto" w:fill="BFE4FF"/>
          </w:tcPr>
          <w:p>
            <w:pPr>
              <w:spacing w:after="0"/>
              <w:rPr>
                <w:sz w:val="24"/>
                <w:szCs w:val="24"/>
                <w:color w:val="auto"/>
              </w:rPr>
            </w:pPr>
          </w:p>
        </w:tc>
        <w:tc>
          <w:tcPr>
            <w:tcW w:w="96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rPr>
              <w:t>57,457</w:t>
            </w:r>
          </w:p>
        </w:tc>
        <w:tc>
          <w:tcPr>
            <w:tcW w:w="0" w:type="dxa"/>
            <w:vAlign w:val="bottom"/>
          </w:tcPr>
          <w:p>
            <w:pPr>
              <w:spacing w:after="0"/>
              <w:rPr>
                <w:sz w:val="1"/>
                <w:szCs w:val="1"/>
                <w:color w:val="auto"/>
              </w:rPr>
            </w:pPr>
          </w:p>
        </w:tc>
      </w:tr>
      <w:tr>
        <w:trPr>
          <w:trHeight w:val="20"/>
        </w:trPr>
        <w:tc>
          <w:tcPr>
            <w:tcW w:w="3680" w:type="dxa"/>
            <w:vAlign w:val="bottom"/>
            <w:tcBorders>
              <w:top w:val="single" w:sz="8" w:color="BFE4FF"/>
            </w:tcBorders>
          </w:tcPr>
          <w:p>
            <w:pPr>
              <w:spacing w:after="0" w:line="20" w:lineRule="exact"/>
              <w:rPr>
                <w:sz w:val="1"/>
                <w:szCs w:val="1"/>
                <w:color w:val="auto"/>
              </w:rPr>
            </w:pPr>
          </w:p>
        </w:tc>
        <w:tc>
          <w:tcPr>
            <w:tcW w:w="480" w:type="dxa"/>
            <w:vAlign w:val="bottom"/>
            <w:tcBorders>
              <w:top w:val="single" w:sz="8" w:color="BFE4FF"/>
            </w:tcBorders>
          </w:tcPr>
          <w:p>
            <w:pPr>
              <w:spacing w:after="0" w:line="20" w:lineRule="exact"/>
              <w:rPr>
                <w:sz w:val="1"/>
                <w:szCs w:val="1"/>
                <w:color w:val="auto"/>
              </w:rPr>
            </w:pPr>
          </w:p>
        </w:tc>
        <w:tc>
          <w:tcPr>
            <w:tcW w:w="240" w:type="dxa"/>
            <w:vAlign w:val="bottom"/>
            <w:tcBorders>
              <w:top w:val="single" w:sz="8" w:color="BFE4FF"/>
            </w:tcBorders>
          </w:tcPr>
          <w:p>
            <w:pPr>
              <w:spacing w:after="0" w:line="20" w:lineRule="exact"/>
              <w:rPr>
                <w:sz w:val="1"/>
                <w:szCs w:val="1"/>
                <w:color w:val="auto"/>
              </w:rPr>
            </w:pPr>
          </w:p>
        </w:tc>
        <w:tc>
          <w:tcPr>
            <w:tcW w:w="94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86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76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6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tcBorders>
          </w:tcPr>
          <w:p>
            <w:pPr>
              <w:spacing w:after="0" w:line="20" w:lineRule="exact"/>
              <w:rPr>
                <w:sz w:val="1"/>
                <w:szCs w:val="1"/>
                <w:color w:val="auto"/>
              </w:rPr>
            </w:pPr>
          </w:p>
        </w:tc>
        <w:tc>
          <w:tcPr>
            <w:tcW w:w="96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firstLine="243"/>
        <w:spacing w:after="0" w:line="241" w:lineRule="auto"/>
        <w:rPr>
          <w:sz w:val="20"/>
          <w:szCs w:val="20"/>
          <w:color w:val="auto"/>
        </w:rPr>
      </w:pPr>
      <w:r>
        <w:rPr>
          <w:rFonts w:ascii="Arial" w:cs="Arial" w:eastAsia="Arial" w:hAnsi="Arial"/>
          <w:sz w:val="18"/>
          <w:szCs w:val="18"/>
          <w:color w:val="auto"/>
        </w:rPr>
        <w:t>As of June 30, 2020 and December 31, 2019, we held both short-term and long-term investments. Investments classified as short-term have maturities of less than one year. Investments classified as long-term are those that: (i) have a maturity of greater than one year, and (ii) we do not intend to liquidate within the next twelve months, although these funds are available for use and, therefore, are classified as available-for-sale. The Company's investment strategy is to buy short-duration marketable securities with a high credit rating. As of June 30, 2020, all marketable securities held by the Company had remaining contractual maturities of three years or less.</w:t>
      </w:r>
    </w:p>
    <w:p>
      <w:pPr>
        <w:spacing w:after="0" w:line="203" w:lineRule="exact"/>
        <w:rPr>
          <w:sz w:val="20"/>
          <w:szCs w:val="20"/>
          <w:color w:val="auto"/>
        </w:rPr>
      </w:pPr>
    </w:p>
    <w:p>
      <w:pPr>
        <w:jc w:val="both"/>
        <w:ind w:firstLine="243"/>
        <w:spacing w:after="0" w:line="227" w:lineRule="auto"/>
        <w:rPr>
          <w:sz w:val="20"/>
          <w:szCs w:val="20"/>
          <w:color w:val="auto"/>
        </w:rPr>
      </w:pPr>
      <w:r>
        <w:rPr>
          <w:rFonts w:ascii="Arial" w:cs="Arial" w:eastAsia="Arial" w:hAnsi="Arial"/>
          <w:sz w:val="18"/>
          <w:szCs w:val="18"/>
          <w:color w:val="auto"/>
        </w:rPr>
        <w:t xml:space="preserve">Unrealized gains are included as a component of accumulated other comprehensive income in the condensed consolidated balance sheets and statements of stockholders’ equity and a component of total comprehensive loss in the condensed consolidated statements of comprehensive loss, until realized. Unrealized losses are evaluated for impairment under ASC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to determine if the impairment is credit-related or non credit-related. Credit-related impairment is recognized as an allowance on the balance sheet with a corresponding adjustment to earnings, and non credit-related impairment is recognized in other comprehensive income, net of taxes. There were no material realized losses on marketable securities for the three and six months ended June 30, 2020 and 2019.</w:t>
      </w:r>
    </w:p>
    <w:p>
      <w:pPr>
        <w:spacing w:after="0" w:line="202" w:lineRule="exact"/>
        <w:rPr>
          <w:sz w:val="20"/>
          <w:szCs w:val="20"/>
          <w:color w:val="auto"/>
        </w:rPr>
      </w:pPr>
    </w:p>
    <w:p>
      <w:pPr>
        <w:jc w:val="both"/>
        <w:ind w:firstLine="243"/>
        <w:spacing w:after="0" w:line="246" w:lineRule="auto"/>
        <w:rPr>
          <w:sz w:val="20"/>
          <w:szCs w:val="20"/>
          <w:color w:val="auto"/>
        </w:rPr>
      </w:pPr>
      <w:r>
        <w:rPr>
          <w:rFonts w:ascii="Arial" w:cs="Arial" w:eastAsia="Arial" w:hAnsi="Arial"/>
          <w:sz w:val="17"/>
          <w:szCs w:val="17"/>
          <w:color w:val="auto"/>
        </w:rPr>
        <w:t>The Company evaluated its investments for impairment under ASC 326. Any allowance for credit losses are recorded at the lower of either the fair market value less book value or the difference between the present value of future cash flows and the book value. As of June 30, 2020, the analysis under ASU 2016-13 and the current macroeconomic impact of the COVID-19 pandemic did not result in material allowances for credit losses. There have been no impairments of the Company’s assets measured and carried at fair value as of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854710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9. Fair Value Measurements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ind w:left="660" w:right="2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There was no movement between Level 1 and Level 2 or between Level 2 and Level 3 from December 31, 2019 to June 30, 2020. Assets and liabilities measured at fair value are classified in their entirety based on the lowest level of input that is significant to the fair value measurement. The commercial paper, corporate notes, U.S. government securities and asset-backed securities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following table summarizes the valuation of the Company’s financial instruments that are measured at fair value on a recurring basis:</w:t>
      </w:r>
    </w:p>
    <w:p>
      <w:pPr>
        <w:sectPr>
          <w:pgSz w:w="11900" w:h="16838" w:orient="portrait"/>
          <w:cols w:equalWidth="0" w:num="1">
            <w:col w:w="11240"/>
          </w:cols>
          <w:pgMar w:left="320" w:top="891" w:right="339" w:bottom="1440" w:gutter="0" w:footer="0" w:header="0"/>
        </w:sectPr>
      </w:pPr>
    </w:p>
    <w:p>
      <w:pPr>
        <w:spacing w:after="0" w:line="88" w:lineRule="exact"/>
        <w:rPr>
          <w:sz w:val="20"/>
          <w:szCs w:val="20"/>
          <w:color w:val="auto"/>
        </w:rPr>
      </w:pPr>
    </w:p>
    <w:p>
      <w:pPr>
        <w:ind w:left="4460"/>
        <w:spacing w:after="0"/>
        <w:rPr>
          <w:sz w:val="20"/>
          <w:szCs w:val="20"/>
          <w:color w:val="auto"/>
        </w:rPr>
      </w:pPr>
      <w:r>
        <w:rPr>
          <w:rFonts w:ascii="Arial" w:cs="Arial" w:eastAsia="Arial" w:hAnsi="Arial"/>
          <w:sz w:val="14"/>
          <w:szCs w:val="14"/>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23495</wp:posOffset>
            </wp:positionV>
            <wp:extent cx="25374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5" w:lineRule="exact"/>
        <w:rPr>
          <w:sz w:val="20"/>
          <w:szCs w:val="20"/>
          <w:color w:val="auto"/>
        </w:rPr>
      </w:pPr>
    </w:p>
    <w:p>
      <w:pPr>
        <w:ind w:left="436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38100</wp:posOffset>
            </wp:positionV>
            <wp:extent cx="18770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23495</wp:posOffset>
            </wp:positionV>
            <wp:extent cx="25546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5"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38100</wp:posOffset>
            </wp:positionV>
            <wp:extent cx="18942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7680" w:space="720"/>
            <w:col w:w="2840"/>
          </w:cols>
          <w:pgMar w:left="320" w:top="891" w:right="339" w:bottom="1440" w:gutter="0" w:footer="0" w:header="0"/>
          <w:type w:val="continuous"/>
        </w:sectPr>
      </w:pPr>
    </w:p>
    <w:tbl>
      <w:tblPr>
        <w:tblLayout w:type="fixed"/>
        <w:tblInd w:w="260" w:type="dxa"/>
        <w:tblCellMar>
          <w:top w:w="0" w:type="dxa"/>
          <w:left w:w="0" w:type="dxa"/>
          <w:bottom w:w="0" w:type="dxa"/>
          <w:right w:w="0" w:type="dxa"/>
        </w:tblCellMar>
      </w:tblPr>
      <w:tr>
        <w:trPr>
          <w:trHeight w:val="192"/>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2600" w:type="dxa"/>
            <w:vAlign w:val="bottom"/>
            <w:gridSpan w:val="2"/>
          </w:tcPr>
          <w:p>
            <w:pPr>
              <w:ind w:left="12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44,985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44,985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5,381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11,892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11,892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43"/>
        </w:trPr>
        <w:tc>
          <w:tcPr>
            <w:tcW w:w="2600" w:type="dxa"/>
            <w:vAlign w:val="bottom"/>
            <w:gridSpan w:val="2"/>
          </w:tcPr>
          <w:p>
            <w:pPr>
              <w:ind w:left="120"/>
              <w:spacing w:after="0"/>
              <w:rPr>
                <w:sz w:val="20"/>
                <w:szCs w:val="20"/>
                <w:color w:val="auto"/>
              </w:rPr>
            </w:pPr>
            <w:r>
              <w:rPr>
                <w:rFonts w:ascii="Arial" w:cs="Arial" w:eastAsia="Arial" w:hAnsi="Arial"/>
                <w:sz w:val="18"/>
                <w:szCs w:val="18"/>
                <w:color w:val="auto"/>
              </w:rPr>
              <w:t>Corporate notes</w:t>
            </w:r>
          </w:p>
        </w:tc>
        <w:tc>
          <w:tcPr>
            <w:tcW w:w="22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8,895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8,895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18,380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18,380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U.S. government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7,843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7,843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11,295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43"/>
        </w:trPr>
        <w:tc>
          <w:tcPr>
            <w:tcW w:w="2600" w:type="dxa"/>
            <w:vAlign w:val="bottom"/>
            <w:gridSpan w:val="2"/>
          </w:tcPr>
          <w:p>
            <w:pPr>
              <w:ind w:left="120"/>
              <w:spacing w:after="0"/>
              <w:rPr>
                <w:sz w:val="20"/>
                <w:szCs w:val="20"/>
                <w:color w:val="auto"/>
              </w:rPr>
            </w:pPr>
            <w:r>
              <w:rPr>
                <w:rFonts w:ascii="Arial" w:cs="Arial" w:eastAsia="Arial" w:hAnsi="Arial"/>
                <w:sz w:val="18"/>
                <w:szCs w:val="18"/>
                <w:color w:val="auto"/>
              </w:rPr>
              <w:t>U.S. asset-backed securities</w:t>
            </w:r>
          </w:p>
        </w:tc>
        <w:tc>
          <w:tcPr>
            <w:tcW w:w="22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10,509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10,509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7"/>
        </w:trPr>
        <w:tc>
          <w:tcPr>
            <w:tcW w:w="2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8"/>
        </w:trPr>
        <w:tc>
          <w:tcPr>
            <w:tcW w:w="2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70,071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44,985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25,086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57,457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52,076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fair values of the cash equivalents and marketable securities are based on observable market prices. See note 8 for impact of ASU 2016-13 on the investment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10. Net Loss Per Common Share</w:t>
      </w:r>
    </w:p>
    <w:p>
      <w:pPr>
        <w:spacing w:after="0" w:line="256" w:lineRule="exact"/>
        <w:rPr>
          <w:sz w:val="20"/>
          <w:szCs w:val="20"/>
          <w:color w:val="auto"/>
        </w:rPr>
      </w:pPr>
    </w:p>
    <w:p>
      <w:pPr>
        <w:ind w:right="32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2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50"/>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(8,269)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(19,792)</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(12,974)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(22,636)</w:t>
            </w: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Basic and diluted EPS: weighted-average common shares outstanding</w:t>
            </w:r>
          </w:p>
        </w:tc>
        <w:tc>
          <w:tcPr>
            <w:tcW w:w="240" w:type="dxa"/>
            <w:vAlign w:val="bottom"/>
          </w:tcPr>
          <w:p>
            <w:pPr>
              <w:spacing w:after="0"/>
              <w:rPr>
                <w:sz w:val="21"/>
                <w:szCs w:val="21"/>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45,137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43,956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45,031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43,841</w:t>
            </w:r>
          </w:p>
        </w:tc>
      </w:tr>
      <w:tr>
        <w:trPr>
          <w:trHeight w:val="27"/>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5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7"/>
              </w:rPr>
              <w:t>Net loss per share attributable to common shareholders (basic and diluted)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(0.52)</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6"/>
        </w:trPr>
        <w:tc>
          <w:tcPr>
            <w:tcW w:w="59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Anti-dilutive shares excluded from the calculation of diluted earnings per</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9"/>
        </w:trPr>
        <w:tc>
          <w:tcPr>
            <w:tcW w:w="59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share</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(amounts in millions):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3"/>
        </w:trPr>
        <w:tc>
          <w:tcPr>
            <w:tcW w:w="5960" w:type="dxa"/>
            <w:vAlign w:val="bottom"/>
            <w:gridSpan w:val="2"/>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1"/>
                <w:szCs w:val="21"/>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5.6</w:t>
            </w:r>
          </w:p>
        </w:tc>
      </w:tr>
      <w:tr>
        <w:trPr>
          <w:trHeight w:val="27"/>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Restricted stock unit awards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r>
      <w:tr>
        <w:trPr>
          <w:trHeight w:val="243"/>
        </w:trPr>
        <w:tc>
          <w:tcPr>
            <w:tcW w:w="5960" w:type="dxa"/>
            <w:vAlign w:val="bottom"/>
            <w:gridSpan w:val="2"/>
          </w:tcPr>
          <w:p>
            <w:pPr>
              <w:ind w:left="120"/>
              <w:spacing w:after="0"/>
              <w:rPr>
                <w:sz w:val="20"/>
                <w:szCs w:val="20"/>
                <w:color w:val="auto"/>
              </w:rPr>
            </w:pPr>
            <w:r>
              <w:rPr>
                <w:rFonts w:ascii="Arial" w:cs="Arial" w:eastAsia="Arial" w:hAnsi="Arial"/>
                <w:sz w:val="18"/>
                <w:szCs w:val="18"/>
                <w:color w:val="auto"/>
              </w:rPr>
              <w:t>Warrants</w:t>
            </w:r>
          </w:p>
        </w:tc>
        <w:tc>
          <w:tcPr>
            <w:tcW w:w="24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0"/>
          <w:szCs w:val="20"/>
          <w:color w:val="auto"/>
        </w:rPr>
      </w:pPr>
    </w:p>
    <w:p>
      <w:pPr>
        <w:ind w:left="280" w:hanging="254"/>
        <w:spacing w:after="0"/>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Common equivalent shares are not included in the diluted per share calculation where the effect of their inclusion would be anti-dilutive.</w:t>
      </w:r>
    </w:p>
    <w:p>
      <w:pPr>
        <w:spacing w:after="0" w:line="356"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NexoBrid License and Supply Agreements</w:t>
      </w:r>
    </w:p>
    <w:p>
      <w:pPr>
        <w:spacing w:after="0" w:line="256" w:lineRule="exact"/>
        <w:rPr>
          <w:sz w:val="20"/>
          <w:szCs w:val="20"/>
          <w:color w:val="auto"/>
        </w:rPr>
      </w:pPr>
    </w:p>
    <w:p>
      <w:pPr>
        <w:jc w:val="both"/>
        <w:ind w:firstLine="243"/>
        <w:spacing w:after="0" w:line="234" w:lineRule="auto"/>
        <w:rPr>
          <w:sz w:val="20"/>
          <w:szCs w:val="20"/>
          <w:color w:val="auto"/>
        </w:rPr>
      </w:pPr>
      <w:r>
        <w:rPr>
          <w:rFonts w:ascii="Arial" w:cs="Arial" w:eastAsia="Arial" w:hAnsi="Arial"/>
          <w:sz w:val="18"/>
          <w:szCs w:val="18"/>
          <w:color w:val="auto"/>
        </w:rPr>
        <w:t>On May 6, 2019, the Company entered into exclusive license and supply agreements with MediWound Ltd. (MediWound) to commercialize NexoBrid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any improvements to NexoBrid in all countries of North America. NexoBrid is a topically-administered biological product that enzymatically removes nonviable burn tissue, or eschar, in patients with deep partial and full-thickness thermal burns.</w:t>
      </w:r>
    </w:p>
    <w:p>
      <w:pPr>
        <w:spacing w:after="0" w:line="230"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7"/>
          <w:szCs w:val="17"/>
          <w:color w:val="auto"/>
        </w:rPr>
        <w:t>NexoBrid is currently in clinical development in North America, and pursuant to the terms of the license agreement, MediWound will continue to conduct all clinical activities described in the development plan to support the BLA filing with the United States Food and Drug Administration (FDA) under the supervision of a Central Steering Committee comprised of members of each party. On June 30, 2020, the Company announced the submission of the BLA to the FDA seeking the approval of NexoBrid. NexoBrid is approved in the European Union and other international markets and has been designated as an orphan biologic in the United States, European Union and other international markets.</w:t>
      </w:r>
    </w:p>
    <w:p>
      <w:pPr>
        <w:spacing w:after="0" w:line="203"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In May 2019, the Company paid MediWound $17.5 million in consideration of the license. The $17.5 million upfront payment was recorded to research and development expense during 2019, as the license was considered in process research and development. The Company is also obligated to pay MediWound $7.5 million upon U.S. regulatory approval of the BLA for NexoBrid and up to $125 million contingent upon meeting certain sales milestones. The first sales milestone of $7.5 million would be triggered when annual net sales of NexoBrid or improvements to it in North America exceed $75 million. The Company also will pay MediWound tiered royalties on net sales ranging from mid-high single-digit to mid-teen percentages, subject to customary reductions. The U.S. Biomedical Advanced Research and Development Authority (BARDA) has committed to procure NexoBrid, and the Company will pay a percentage of gross profits to MediWound on initial committed amounts and a royalty on any additional BARDA purchases of NexoBrid beyond the initial committed amount. The Company also entered into a supply agreement with MediWound under which MediWound will manufacture NexoBrid for the Company on a unit price basis which may be increased based on a published index. MediWound is obligated to supply the Company with NexoBrid for sale in North America on an exclusive basis for the first five years of the term of the supply agreement. After the exclusivity period or upon supply failure, the Company will be permitted to establish an alternate source of supply. As of June 30, 2020, the milestone payments are not yet probable and therefore, not considered a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851535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Company's purchase commitments consist of minimum purchase amounts of materials used in the Company's cell manufacturing process to manufacture its marketed cell therapy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6"/>
          <w:szCs w:val="16"/>
          <w:color w:val="auto"/>
        </w:rPr>
        <w:t>Vericel Corporation is a leader in advanced cell therapies and specialty biologics for the sports medicine and severe burn care markets, and a developer of cell therapies for use in the treatment of patients with severe diseases and conditions. We currently market two FDA approved autologous cell therapy products in the United States. MACI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We also market Epicel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(cultured epidermal autografts), a permanent skin replacement Humanitarian Use Device (HUD) for the treatment of adult and pediatric patients with deep-dermal or full-thickness burns comprising greater than or equal to 30 percent of total body surface area (TBSA). We hold an exclusive license for North America commercial rights to NexoBrid, a registration-stage biological orphan product for debridement of severe thermal burns.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novel coronavirus (COVID-19) outbreak was first reported by China in late December 2019 and rapidly spread globally. The World Health Organization (WHO) declared the outbreak a pandemic on March 11, 2020 and the President of the United States declared a national health emergency. Subsequently most states' governments, including those in Massachusetts and Michigan where the Company's operations are located, issued orders requiring businesses that do not conduct essential services to temporarily close their physical workplaces to employees and customers. The status of such orders varies on a state-by-state basis and is likely to continue to vary. Because Vericel is deemed an essential business the Company is exempt from these state orders in their current form.</w:t>
      </w:r>
    </w:p>
    <w:p>
      <w:pPr>
        <w:spacing w:after="0" w:line="219" w:lineRule="exact"/>
        <w:rPr>
          <w:sz w:val="20"/>
          <w:szCs w:val="20"/>
          <w:color w:val="auto"/>
        </w:rPr>
      </w:pPr>
    </w:p>
    <w:p>
      <w:pPr>
        <w:jc w:val="both"/>
        <w:ind w:firstLine="243"/>
        <w:spacing w:after="0" w:line="301" w:lineRule="auto"/>
        <w:rPr>
          <w:sz w:val="20"/>
          <w:szCs w:val="20"/>
          <w:color w:val="auto"/>
        </w:rPr>
      </w:pPr>
      <w:r>
        <w:rPr>
          <w:rFonts w:ascii="Arial" w:cs="Arial" w:eastAsia="Arial" w:hAnsi="Arial"/>
          <w:sz w:val="16"/>
          <w:szCs w:val="16"/>
          <w:color w:val="auto"/>
        </w:rPr>
        <w:t>Notwithstanding being an essential business, the Company’s business and operations have been, and are expected to continue to be, adversely impacted by the effects of COVID-19 as a result of various factors including, without limitation, patients’ potential reluctance to undergo elective surgical procedures, healthcare facility restrictions regarding elective surgical procedures, the recent economic downturn due to the pandemic, the imposition of related public health measures and travel and business restrictions and disruptions to the ability of the our employees to perform their jobs.</w:t>
      </w:r>
    </w:p>
    <w:p>
      <w:pPr>
        <w:spacing w:after="0" w:line="18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The implantation of MACI is an elective surgical procedure. On March 13, 2020 and March 14, 2020, the American College of Surgeons and the United States Surgeon General, respectively, recommended that each hospital, health system, and surgeon minimize, postpone, or cancel electively scheduled surgeries, which has resulted in a significant reduction in MACI sales. The stated purpose for these recommendations was that every elective surgery could spread COVID-19 within a facility, use up personal protective equipment (PPE) which may be needed by healthcare workers treating COVID-19 patients, and burden hospital workforce who may be needed to respond to COVID-19. These recommendations were followed by numerous state level executive orders either banning or partially banning elective surgeries. By early April 2020, 45 states, representing over 95% of total U.S. surgical capacity had issued either mandates or recommendations and guidelines suspending elective procedures. These restrictions began to ease in May and, by the end of June 2020, states representing an estimated 90% total U.S. surgical capacity had lifted restrictions suspending elective procedures. As a result of these restrictions, beginning in mid-March 2020, the Company started to experience a significant increase in cancellations of scheduled MACI procedures as well as a slowdown in new MACI orders. The impact has varied over time and has been heavily correlated with the amount of surgical capacity under restrictions.</w:t>
      </w:r>
    </w:p>
    <w:p>
      <w:pPr>
        <w:spacing w:after="0" w:line="209" w:lineRule="exact"/>
        <w:rPr>
          <w:sz w:val="20"/>
          <w:szCs w:val="20"/>
          <w:color w:val="auto"/>
        </w:rPr>
      </w:pPr>
    </w:p>
    <w:p>
      <w:pPr>
        <w:jc w:val="both"/>
        <w:ind w:firstLine="243"/>
        <w:spacing w:after="0" w:line="238" w:lineRule="auto"/>
        <w:rPr>
          <w:sz w:val="20"/>
          <w:szCs w:val="20"/>
          <w:color w:val="auto"/>
        </w:rPr>
      </w:pPr>
      <w:r>
        <w:rPr>
          <w:rFonts w:ascii="Arial" w:cs="Arial" w:eastAsia="Arial" w:hAnsi="Arial"/>
          <w:sz w:val="18"/>
          <w:szCs w:val="18"/>
          <w:color w:val="auto"/>
        </w:rPr>
        <w:t>Although many states have eased restrictions, as the COVID-19 virus has spread across the country other states have implemented or re-imposed restrictions on elective surgical procedures, and certain facilities, independent of state restrictions, have imposed restrictions on elective surgeries. The restrictions that currently are in force vary significantly. Some states and facilities have put in place restrictions which apply only to surgeries which require an overnight stay in a hospital and thus have little impact on MACI as over 95% of MACI surgeries do not result in an overnight stay. However, other state and facility restrictions do cover all elective surgeries. Similarly, some restrictions do not cover ambulatory surgery centers where approximately 50% of MACI procedures are performed, while others cover all elective surgeries regardless of site. It is likely that restrictions will continue to be both lifted and re-imposed as regional COVID-19 rates fall and rise. The Company’s MACI business will continue to be negatively impacted so long as multiple state orders and/or facilities restrict elective surgical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0" w:name="page21"/>
    <w:bookmarkEnd w:id="20"/>
    <w:p>
      <w:pPr>
        <w:jc w:val="both"/>
        <w:spacing w:after="0" w:line="284" w:lineRule="auto"/>
        <w:rPr>
          <w:sz w:val="20"/>
          <w:szCs w:val="20"/>
          <w:color w:val="auto"/>
        </w:rPr>
      </w:pPr>
      <w:r>
        <w:rPr>
          <w:rFonts w:ascii="Arial" w:cs="Arial" w:eastAsia="Arial" w:hAnsi="Arial"/>
          <w:sz w:val="16"/>
          <w:szCs w:val="16"/>
          <w:color w:val="auto"/>
        </w:rPr>
        <w:t>procedures. Although we believe Epicel may be less directly impacted by COVID-19 given the critical nature of severe burn injuries, trauma injury admissions have reportedly been reduced as a result of the various COVID-19 related restrictions and potential reluctance on the part of patients to seek care in light of COVID-19. In addition, any prolonged material disruption of the Company’s employees, distributors, suppliers or customers will impact its sales and operating results that could lead to potential inventory write-offs, credit losses in accounts receivable, or impairment of long-lived assets.</w:t>
      </w:r>
    </w:p>
    <w:p>
      <w:pPr>
        <w:spacing w:after="0" w:line="18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have implemented a number of initiatives to maintain our near-term and future growth opportunities while supporting patients and reducing non-essential discretionary spending, including the imposition of a temporary moratorium on new employee hiring. In March 2020, we initiated protective measures in response to the COVID-19 outbreak including the canceling of all business-related international travel, requesting employees limit non-essential personal travel, enhancing our facilities’ janitorial and sanitary procedures and the provision of certain personal protective equipment to employees working in our offices, encouraging employees to work from home to the extent their job function enables them to do so, limiting third-party access to our facilities, encouraging the use of virtual meetings, and modifying the manner and schedule of on-site production activities. We have also instituted daily health screening for all of our employees. We are reviewing all of these measures on a daily basis as the situation evolves, and we will take additional actions to the extent they are needed in the future.</w:t>
      </w:r>
    </w:p>
    <w:p>
      <w:pPr>
        <w:spacing w:after="0" w:line="21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continue to manufacture MACI and Epicel and are maintaining a significant safety stock of all key raw materials. We do not expect current supply chain interruptions will impact the Company’s ongoing manufacturing operations. With respect to customer delivery, MACI final product has an established shelf life of 6 days and established shipping shelf life of 3 days. Currently, MACI is picked up by courier and shipped by commercial air or ground transportation to our customer’s location. Epicel final product has an established shelf life of 24 hours and is hand carried to customer hospital sites by courier. Transportation is primarily commercial or charter airline. Although we have not experienced material shipping delays or increased costs to date, significant disruption of air travel could result in the inability to deliver MACI or Epicel final products to customer sites within appropriate timeframes, which could further adversely impact our business. There is no expected impact of COVID-19 on the Company's distributors or third-party service providers' ability to manage patient cases.</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a discussion of additional risks associated with COVID-19, please see Item 1A.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have a cell-manufacturing facility in Cambridge, Massachusetts which is used for U.S. manufacturing and distribution of MACI and Epicel.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marketed products include two FDA-approved autologous cell therapies: MACI, a third-generation autologous implant for the repair of symptomatic, full-thickness cartilage defects of the knee in adult patients and Epicel, a permanent skin replacement for adult and pediatric patients with deep dermal or full thickness burns greater than or equal to 30% of TBSA. Both products are currently marketed in the U.S. In addition, we have entered into exclusive license and supply agreements with MediWound to commercialize NexoBrid in all countries of North America. NexoBrid is currently in clinical development in North America. Until 2017, our active product candidate portfolio included ixmyelocel-T, a patient-specific multicellular therapy for the treatment of advanced heart failure due to dilated cardiomyopathy, or DCM. We have no current plans to continue the development of ixmyelocel-T.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MACI</w:t>
      </w:r>
    </w:p>
    <w:p>
      <w:pPr>
        <w:spacing w:after="0" w:line="22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MACI is a third-generation product for autologous chondrocyte implantation (ACI), a class of methods for the repair of symptomatic, single or multiple full-thickness cartilage defects of the knee with or without bone involvement in adults.</w:t>
      </w:r>
    </w:p>
    <w:p>
      <w:pPr>
        <w:spacing w:after="0" w:line="19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the U.S., the physician target audience which repairs cartilage defects is concentrated and is partly comprised of a group of orthopedic surgeons who self-identify and/or have a formal specialty as sports medicine physicians. We believe this target audience is approximately 3,000 physicians. In addition to sports medicine physicians there is a population of approximately 8,000 general orthopedic surgeons who treat cartilage injuries, although typically at a much lower average volume relative to the sports medicine segment. As of June 30, 2020, we have expanded the number of MACI sales representatives to 76 to enable the sales force to call on 2,000 of the general orthopedic surgeons. Amid the COVID-19 outbreak, the sales representatives and clinical support specialists are adapting their practices to support physician education initiatives using virtual tools in regions where executive orders or hospital restrictions preclude their physical presence. MACI sales and clinical representatives are continuing to provide on-site assistance for MACI surgical procedures, so long at the representative’s presence is in accordance with governmental orders and the policies and procedures of the relevant hospital or surgical center. Most private payers have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544195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medical policy that covers treatment with MACI with the top 30 largest commercial payers having a formal medical policy for MACI or ACI in general. Even for private payers which have not yet approved a medical policy for MACI, for medically appropriate cases, we often obtain approval on a case-by-case basis. For the three and six months ended, June 30, 2020, net revenues for MACI were $15.1 million and $35.4 million, respectively, and $20.8 million and $37.4 million, respectively, for the same periods in 2019.</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Epicel is a permanent skin replacement for deep dermal or full thickness burns greater than or equal to 30% of total body surface area (TBSA). Epicel is regulated by the Center for Biologics Evaluation and Research, or CBER of the U.S. Food and Drug Administration, or FDA under medical device authorities, and is the only FDA-approved cultured epidermal autograft product available for large total surface area burns. Epicel was designated as a Humanitarian Use Device (HUD) in 1998 and a Humanitarian Device Exception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w:t>
      </w:r>
    </w:p>
    <w:p>
      <w:pPr>
        <w:spacing w:after="0" w:line="16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so long as the number of devices distributed in any calendar year does not exceed the Annual Distribution Number (ADN). The ADN is defined as the number of devices reasonably needed to treat a population of 8,000 individuals per year in the U.S.</w:t>
      </w:r>
    </w:p>
    <w:p>
      <w:pPr>
        <w:spacing w:after="0" w:line="21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7"/>
          <w:szCs w:val="17"/>
          <w:color w:val="auto"/>
        </w:rPr>
        <w:t>On February 18, 2016, the FDA approved our HDE supplement to revise the labeled indications of use to specifically include pediatric patients.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Because of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is 360,400 which is approximately 45 times larger than the volume of grafts sold in 2018. We currently have a ten-person field force comprised of 7 sales representatives and 3 clinical support specialists which is adapting its practices to support physician education initiatives using virtual tools in regions where executive orders or hospital restrictions preclude their physical presence. Epicel sales and clinical representatives are continuing to provide on-site assistance for Epicel surgical procedures, so long at the representative’s presence is in accordance with governmental orders and the policies and procedures of the relevant hospital or surgical center. For the three and six months ended June 30, 2020, net revenues for Epicel were $4.9 million and $11.3 million, respectively and $5.3 million and $10.6 million, respectively, for the same periods in 2019.</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NexoBrid</w:t>
      </w:r>
    </w:p>
    <w:p>
      <w:pPr>
        <w:spacing w:after="0" w:line="25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preapproval stage portfolio includes NexoBrid, a topically-administered biological product that enzymatically removes nonviable burn tissue, or eschar, in patients with deep partial and full-thickness thermal burns. NexoBrid is currently in clinical development in North America, and on June 30, 2020, we announced the submission of a BLA to the FDA seeking the approval of NexoBrid. NexoBrid is approved in the European Union and other international markets and has been designated as an orphan biologic in the United States, European Union and other international markets. Pursuant to the terms of our existing license agreement, MediWound will continue to conduct all clinical activities described in the development plan to support the BLA with the FDA under the supervision of a Central Steering Committee comprised of members of each party.</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Ixmyelocel-T</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preapproval stage portfolio also includes ixmyelocel-T, a unique multicellular therapy derived from an adult patient’s own bone marrow which utilizes our proprietary, highly automated and scalable manufacturing system. This multicellular therapy was developed for the treatment of advanced heart failure due to DCM.</w:t>
      </w:r>
    </w:p>
    <w:p>
      <w:pPr>
        <w:spacing w:after="0" w:line="211"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On September 29, 2017, the FDA indicated we would be required to conduct at least one additional Phase 3 clinical study to support a BLA for ixmyelocel-T. Given the expense required to conduct further development and our focus on growing our existing commercial products, at this time we have no current plans to initiate or fund a Phase 3 trial on our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854075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net loss for the three and six months ended June 30, 2020 totaled $8.3 million and $13.0 million, respectively, and $19.8 million and $22.6 million, respectively, for the same periods in 2019.</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26,151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46,692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47,961</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Cost of product sales</w:t>
            </w:r>
          </w:p>
        </w:tc>
        <w:tc>
          <w:tcPr>
            <w:tcW w:w="24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8,660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9,022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18,582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17,662</w:t>
            </w:r>
          </w:p>
        </w:tc>
      </w:tr>
      <w:tr>
        <w:trPr>
          <w:trHeight w:val="27"/>
        </w:trPr>
        <w:tc>
          <w:tcPr>
            <w:tcW w:w="5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11,354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17,129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28,110</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30,299</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19,712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37,329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41,544</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53,857</w:t>
            </w:r>
          </w:p>
        </w:tc>
      </w:tr>
      <w:tr>
        <w:trPr>
          <w:trHeight w:val="27"/>
        </w:trPr>
        <w:tc>
          <w:tcPr>
            <w:tcW w:w="5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(23,558)</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922</w:t>
            </w:r>
          </w:p>
        </w:tc>
      </w:tr>
      <w:tr>
        <w:trPr>
          <w:trHeight w:val="27"/>
        </w:trPr>
        <w:tc>
          <w:tcPr>
            <w:tcW w:w="5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(8,269)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(19,792)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(12,974)</w:t>
            </w:r>
          </w:p>
        </w:tc>
        <w:tc>
          <w:tcPr>
            <w:tcW w:w="14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(22,636)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52"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Net revenues decreased for the three and six months ended June 30, 2020 compared to the same periods in 2019 primarily due to the effects of the COVID-19 pandemic. Beginning in mid-March 2020, the Company experienced a significant increase in cancellations of scheduled MACI procedures as well as a slowdown in new MACI orders. Due to state and local restrictions on elective surgery the majority of US surgical capacity was unavailable during April 2020 with some recovery occurring in May in certain geographies. The decrease in MACI volume largely tracked with the available surgical capacity across the country in April and May. By June, the restrictions on elective surgeries had been eased across most states but capacity still lagged pre-COVID levels due to new procedures in place at hospitals such as testing patients before treatment and increased cleaning time between patient treatments.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revenues for the three and six months ended June 30, 2020 and 2019 are shown below.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 by product (In thousands)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5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MACI</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15,104</w:t>
            </w:r>
          </w:p>
        </w:tc>
        <w:tc>
          <w:tcPr>
            <w:tcW w:w="10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20,823</w:t>
            </w:r>
          </w:p>
        </w:tc>
        <w:tc>
          <w:tcPr>
            <w:tcW w:w="14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35,391</w:t>
            </w:r>
          </w:p>
        </w:tc>
        <w:tc>
          <w:tcPr>
            <w:tcW w:w="12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37,406</w:t>
            </w:r>
          </w:p>
        </w:tc>
      </w:tr>
      <w:tr>
        <w:trPr>
          <w:trHeight w:val="243"/>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Epicel</w:t>
            </w:r>
          </w:p>
        </w:tc>
        <w:tc>
          <w:tcPr>
            <w:tcW w:w="300" w:type="dxa"/>
            <w:vAlign w:val="bottom"/>
          </w:tcPr>
          <w:p>
            <w:pPr>
              <w:spacing w:after="0"/>
              <w:rPr>
                <w:sz w:val="21"/>
                <w:szCs w:val="21"/>
                <w:color w:val="auto"/>
              </w:rPr>
            </w:pP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4,910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5,328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7"/>
              <w:spacing w:after="0"/>
              <w:rPr>
                <w:sz w:val="20"/>
                <w:szCs w:val="20"/>
                <w:color w:val="auto"/>
              </w:rPr>
            </w:pPr>
            <w:r>
              <w:rPr>
                <w:rFonts w:ascii="Arial" w:cs="Arial" w:eastAsia="Arial" w:hAnsi="Arial"/>
                <w:sz w:val="18"/>
                <w:szCs w:val="18"/>
                <w:color w:val="auto"/>
              </w:rPr>
              <w:t>11,301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10,555</w:t>
            </w: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r>
      <w:tr>
        <w:trPr>
          <w:trHeight w:val="288"/>
        </w:trPr>
        <w:tc>
          <w:tcPr>
            <w:tcW w:w="538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20,014</w:t>
            </w:r>
          </w:p>
        </w:tc>
        <w:tc>
          <w:tcPr>
            <w:tcW w:w="100" w:type="dxa"/>
            <w:vAlign w:val="bottom"/>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26,151</w:t>
            </w:r>
          </w:p>
        </w:tc>
        <w:tc>
          <w:tcPr>
            <w:tcW w:w="140" w:type="dxa"/>
            <w:vAlign w:val="bottom"/>
          </w:tcPr>
          <w:p>
            <w:pPr>
              <w:spacing w:after="0"/>
              <w:rPr>
                <w:sz w:val="24"/>
                <w:szCs w:val="24"/>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46,692</w:t>
            </w:r>
          </w:p>
        </w:tc>
        <w:tc>
          <w:tcPr>
            <w:tcW w:w="120" w:type="dxa"/>
            <w:vAlign w:val="bottom"/>
          </w:tcPr>
          <w:p>
            <w:pPr>
              <w:spacing w:after="0"/>
              <w:rPr>
                <w:sz w:val="24"/>
                <w:szCs w:val="24"/>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47,961</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6"/>
          <w:szCs w:val="16"/>
          <w:i w:val="1"/>
          <w:iCs w:val="1"/>
          <w:color w:val="auto"/>
        </w:rPr>
        <w:t xml:space="preserve">Seasonality. </w:t>
      </w:r>
      <w:r>
        <w:rPr>
          <w:rFonts w:ascii="Arial" w:cs="Arial" w:eastAsia="Arial" w:hAnsi="Arial"/>
          <w:sz w:val="16"/>
          <w:szCs w:val="16"/>
          <w:color w:val="auto"/>
        </w:rPr>
        <w:t>Over the last four years ACI sales volumes from the first through the fourth quarter have on average represented 19% (16%-24% range),</w:t>
      </w:r>
      <w:r>
        <w:rPr>
          <w:rFonts w:ascii="Arial" w:cs="Arial" w:eastAsia="Arial" w:hAnsi="Arial"/>
          <w:sz w:val="16"/>
          <w:szCs w:val="16"/>
          <w:i w:val="1"/>
          <w:iCs w:val="1"/>
          <w:color w:val="auto"/>
        </w:rPr>
        <w:t xml:space="preserve"> </w:t>
      </w:r>
      <w:r>
        <w:rPr>
          <w:rFonts w:ascii="Arial" w:cs="Arial" w:eastAsia="Arial" w:hAnsi="Arial"/>
          <w:sz w:val="16"/>
          <w:szCs w:val="16"/>
          <w:color w:val="auto"/>
        </w:rPr>
        <w:t>23% (21%-25% range), 22% (20%-23% range) and 36% (32%-38% range) respectively, of total annual volumes. MACI orders are consistently stronger in the fourth quarter due to several factors including insurance deductible limits and the time of year patients prefer to start rehabilitation. However, given the disruption due to COVID-19 related elective surgery restrictions seasonality patterns in 2020 are not expected to follow historical trends. Due to the low incidence and sporadic nature of severe burns, Epicel revenue has inherent variability from quarter to quarter and does not exhibit significant seasonality. Over the past four years, Epicel revenue in a single quarter has ranged from as high as 34% to as low as 17% of annual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96"/>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9"/>
              <w:spacing w:after="0"/>
              <w:rPr>
                <w:sz w:val="20"/>
                <w:szCs w:val="20"/>
                <w:color w:val="auto"/>
              </w:rPr>
            </w:pPr>
            <w:r>
              <w:rPr>
                <w:rFonts w:ascii="Arial" w:cs="Arial" w:eastAsia="Arial" w:hAnsi="Arial"/>
                <w:sz w:val="18"/>
                <w:szCs w:val="18"/>
                <w:color w:val="auto"/>
              </w:rPr>
              <w:t>11,354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17,129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9"/>
              <w:spacing w:after="0"/>
              <w:rPr>
                <w:sz w:val="20"/>
                <w:szCs w:val="20"/>
                <w:color w:val="auto"/>
              </w:rPr>
            </w:pPr>
            <w:r>
              <w:rPr>
                <w:rFonts w:ascii="Arial" w:cs="Arial" w:eastAsia="Arial" w:hAnsi="Arial"/>
                <w:sz w:val="18"/>
                <w:szCs w:val="18"/>
                <w:color w:val="auto"/>
              </w:rPr>
              <w:t>28,110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30,299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 %</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7"/>
        </w:trPr>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right="140" w:firstLine="243"/>
        <w:spacing w:after="0" w:line="261" w:lineRule="auto"/>
        <w:rPr>
          <w:sz w:val="20"/>
          <w:szCs w:val="20"/>
          <w:color w:val="auto"/>
        </w:rPr>
      </w:pPr>
      <w:r>
        <w:rPr>
          <w:rFonts w:ascii="Arial" w:cs="Arial" w:eastAsia="Arial" w:hAnsi="Arial"/>
          <w:sz w:val="18"/>
          <w:szCs w:val="18"/>
          <w:color w:val="auto"/>
        </w:rPr>
        <w:t>Gross profit decreased for the three and six months ended June 30, 2020 compared to the same period in 2019 primarily due to the decrease in revenue caused by the COVID-19 pandemic.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2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r>
      <w:tr>
        <w:trPr>
          <w:trHeight w:val="243"/>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costs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3,226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21,070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6,989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24,078</w:t>
            </w:r>
          </w:p>
        </w:tc>
      </w:tr>
      <w:tr>
        <w:trPr>
          <w:trHeight w:val="27"/>
        </w:trPr>
        <w:tc>
          <w:tcPr>
            <w:tcW w:w="5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approximate allocation of cost for our research and development projects: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49"/>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ACI</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3,753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4,390</w:t>
            </w:r>
          </w:p>
        </w:tc>
      </w:tr>
      <w:tr>
        <w:trPr>
          <w:trHeight w:val="243"/>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Epicel</w:t>
            </w:r>
          </w:p>
        </w:tc>
        <w:tc>
          <w:tcPr>
            <w:tcW w:w="28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1,937</w:t>
            </w: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Nexobrid</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17,748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17,748</w:t>
            </w:r>
          </w:p>
        </w:tc>
      </w:tr>
      <w:tr>
        <w:trPr>
          <w:trHeight w:val="243"/>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3</w:t>
            </w:r>
          </w:p>
        </w:tc>
      </w:tr>
      <w:tr>
        <w:trPr>
          <w:trHeight w:val="27"/>
        </w:trPr>
        <w:tc>
          <w:tcPr>
            <w:tcW w:w="5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5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research and development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3,226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21,070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6,989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24,078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243"/>
        <w:spacing w:after="0" w:line="235" w:lineRule="auto"/>
        <w:rPr>
          <w:sz w:val="20"/>
          <w:szCs w:val="20"/>
          <w:color w:val="auto"/>
        </w:rPr>
      </w:pPr>
      <w:r>
        <w:rPr>
          <w:rFonts w:ascii="Arial" w:cs="Arial" w:eastAsia="Arial" w:hAnsi="Arial"/>
          <w:sz w:val="18"/>
          <w:szCs w:val="18"/>
          <w:color w:val="auto"/>
        </w:rPr>
        <w:t>Research and development expenses for the three months ended June 30, 2020 were $3.2 million compared to $21.1 million for the same period in 2019. The prior period included $17.5 million for the upfront payment to MediWound for the North American rights to NexoBrid.</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Research and development expenses for the six months ended June 30, 2020 were $7.0 million compared to $24.1 million for the same period in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prior period included $17.5 million for the upfront payment to MediWound for the North American rights to NexoBrid.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2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r>
      <w:tr>
        <w:trPr>
          <w:trHeight w:val="243"/>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costs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16,486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16,259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34,555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29,779</w:t>
            </w:r>
          </w:p>
        </w:tc>
      </w:tr>
      <w:tr>
        <w:trPr>
          <w:trHeight w:val="27"/>
        </w:trPr>
        <w:tc>
          <w:tcPr>
            <w:tcW w:w="5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Selling, general and administrative expenses for the three months ended June 30, 2020 were $16.5 million compared to $16.3 million for the same period in 2019. The increase in selling, general and administrative expenses during the three months ended June 30, 2020 is due primarily to an incremental $0.9 million in MACI sales force expenses due to the sales force expansion in the second quarter of 2020 and $0.7 million of additional stock compensation expenses, which were largely offset by a reduction in variable and discretionary spend as a result of the COVID-19 pandemic.</w:t>
      </w:r>
    </w:p>
    <w:p>
      <w:pPr>
        <w:spacing w:after="0" w:line="185"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Selling, general and administrative expenses for the six months ended June 30, 2020 increased to $34.6 million from $29.8 million for the same period in 2019. The increase in selling, general and administrative expenses during the six months ended June 30, 2020 is due primarily to an incremental $1.6 million in MACI sales force expenses driven by the sales force expansion in the second quarter of 2020 and the full quarter impact of hires made in the second quarter of 2019, $1.6 million of additional stock compensation expense and $0.6 million of incremental reimbursement support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681990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4" w:name="page25"/>
    <w:bookmarkEnd w:id="24"/>
    <w:p>
      <w:pPr>
        <w:ind w:left="260"/>
        <w:spacing w:after="0"/>
        <w:rPr>
          <w:sz w:val="20"/>
          <w:szCs w:val="20"/>
          <w:color w:val="auto"/>
        </w:rPr>
      </w:pPr>
      <w:r>
        <w:rPr>
          <w:rFonts w:ascii="Arial" w:cs="Arial" w:eastAsia="Arial" w:hAnsi="Arial"/>
          <w:sz w:val="18"/>
          <w:szCs w:val="18"/>
          <w:i w:val="1"/>
          <w:iCs w:val="1"/>
          <w:color w:val="auto"/>
        </w:rPr>
        <w:t>Other Income (Expense)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interest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904</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ind w:left="6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18</w:t>
            </w: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88"/>
        </w:trPr>
        <w:tc>
          <w:tcPr>
            <w:tcW w:w="57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4"/>
                <w:szCs w:val="24"/>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4"/>
                <w:szCs w:val="24"/>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460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922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decrease in interest income for the three and six months ended June 30, 2020 compared to the same period in 2019 is due primarily to a decrease in interest income as a result of lowering our investment balance and decreasing rates of returns on our investments in various marketable debt securities compared to the prior period.</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general, selling and administrative expenses is summarized in the following table: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0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49"/>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716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976</w:t>
            </w:r>
          </w:p>
        </w:tc>
      </w:tr>
      <w:tr>
        <w:trPr>
          <w:trHeight w:val="243"/>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040" w:type="dxa"/>
            <w:vAlign w:val="bottom"/>
          </w:tcPr>
          <w:p>
            <w:pPr>
              <w:jc w:val="right"/>
              <w:ind w:right="76"/>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886</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1,410</w:t>
            </w: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2,581</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6,087</w:t>
            </w:r>
          </w:p>
        </w:tc>
        <w:tc>
          <w:tcPr>
            <w:tcW w:w="100" w:type="dxa"/>
            <w:vAlign w:val="bottom"/>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4,424</w:t>
            </w:r>
          </w:p>
        </w:tc>
      </w:tr>
      <w:tr>
        <w:trPr>
          <w:trHeight w:val="237"/>
        </w:trPr>
        <w:tc>
          <w:tcPr>
            <w:tcW w:w="5480" w:type="dxa"/>
            <w:vAlign w:val="bottom"/>
            <w:gridSpan w:val="2"/>
          </w:tcPr>
          <w:p>
            <w:pPr>
              <w:ind w:left="120"/>
              <w:spacing w:after="0"/>
              <w:rPr>
                <w:sz w:val="20"/>
                <w:szCs w:val="20"/>
                <w:color w:val="auto"/>
              </w:rPr>
            </w:pPr>
            <w:r>
              <w:rPr>
                <w:rFonts w:ascii="Arial" w:cs="Arial" w:eastAsia="Arial" w:hAnsi="Arial"/>
                <w:sz w:val="18"/>
                <w:szCs w:val="18"/>
                <w:color w:val="auto"/>
              </w:rPr>
              <w:t>Total non-cash stock-based compensation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4,377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4,183</w:t>
            </w:r>
          </w:p>
        </w:tc>
        <w:tc>
          <w:tcPr>
            <w:tcW w:w="14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8,144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6,810</w:t>
            </w: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increase in stock-based compensation expense for the three and six months ended June 30, 2020 is due primarily to fluctuations in stock prices which impacts the fair value of the options and restricted stock units awarded and the expense recognized in the period.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Our primary focus has been to invest in our existing commercial business with the goal of growing revenue. We have raised significant funds in order to complete our product development programs and to market and commercialize our products. To date, we have financed our operations primarily through cash received through Epicel and MACI sales and public and private sales of our equity securities.</w:t>
      </w:r>
    </w:p>
    <w:p>
      <w:pPr>
        <w:spacing w:after="0" w:line="21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cash and cash equivalents totaled $55.7 million and short-term investments totaled $25.1 million as of June 30, 2020. The $1.7 million of cash provided by operations during the six months ended June 30, 2020 was the result of cash collections and a decrease in accounts receivable of $8.5 million from a decrease in sales volume from prior quarter and collections on prior period sales, including noncash charges of $8.1 million in stock compensation expense and $1.1 million in depreciation and amortization expense offset by a $13.0 million net loss.</w:t>
      </w:r>
    </w:p>
    <w:p>
      <w:pPr>
        <w:spacing w:after="0" w:line="19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cash and cash equivalents totaled $14.0 million and short term investments totaled $52.0 million at June 30, 2019. The $18.2 million of cash used by operations during the six months ended June 30, 2020 was largely the result of our net loss of $22.6 million which included a cash outflow of $17.5 million for the upfront payment for the NexoBrid License. The net loss was offset by noncash charges including $6.8 million in stock compensation expense, and $0.7 million in depreciation and amortization expense.</w:t>
      </w:r>
    </w:p>
    <w:p>
      <w:pPr>
        <w:spacing w:after="0" w:line="21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change in cash provided by investing activities during the six months ended June 30, 2020 is the result of $32.8 million of investment maturities offset by $5.7 million in short term investment purchases and property plant and equipment purchases of $1.2 million primarily for manufacturing upgrades through June 30, 2020. The cash provided by investing activities for the six months ended June 30, 2019 is the result of $32.4 million in short term investments purchases offset by $45.5 million of maturities and property plant and equipment purchases of $1.2 million primarily for manufacturing upgrades and 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25" w:name="page26"/>
    <w:bookmarkEnd w:id="25"/>
    <w:p>
      <w:pPr>
        <w:jc w:val="both"/>
        <w:ind w:firstLine="243"/>
        <w:spacing w:after="0" w:line="259" w:lineRule="auto"/>
        <w:rPr>
          <w:sz w:val="20"/>
          <w:szCs w:val="20"/>
          <w:color w:val="auto"/>
        </w:rPr>
      </w:pPr>
      <w:r>
        <w:rPr>
          <w:rFonts w:ascii="Arial" w:cs="Arial" w:eastAsia="Arial" w:hAnsi="Arial"/>
          <w:sz w:val="18"/>
          <w:szCs w:val="18"/>
          <w:color w:val="auto"/>
        </w:rPr>
        <w:t>The change in cash provided from financing activities is the result of net proceeds from the exercise of stock options of $1.4 million, slightly offset by the payment of employee withholding taxes related to the vesting of restricted stock units of $0.2 million during the six months ended June 30, 2020. The change in cash provided from financing activities is the result of proceeds from the exercise of stock options of $2.1 million during the six months ended June 30, 2019.</w:t>
      </w:r>
    </w:p>
    <w:p>
      <w:pPr>
        <w:spacing w:after="0" w:line="21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believe that, based on our current cash on hand, cash equivalents and investments will be sufficient to support our current operations through at least 12 months from the issuance of these financial statements. However, the continuing effects of the COVID-19 pandemic may require us to engage in layoffs, furloughs, and/or reductions in salary, all of which may result in irrecoverable losses of customers and significantly impact long-term liquidity. We have implemented a number of initiatives to maintain our near-term and future growth opportunities while supporting patients and reducing non-essential discretionary spending.</w:t>
      </w:r>
    </w:p>
    <w:p>
      <w:pPr>
        <w:spacing w:after="0" w:line="21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If elective surgery restrictions are reinstated, we may need to access additional capital; however, we may not be able to obtain financing on acceptable terms or at all. Market volatility resulting from the COVID-19 pandemic or other factors could also adversely impact our ability to access financing as and when needed. The terms of any financing may adversely affect the holdings or the rights of our shareholders. Actual cash requirements may differ from projections and will depend on many factors, including the ultimate duration of the effects of the COVID-19 pandemic, the level of future research and development, the scope and results of ongoing and potential clinical trials, the costs involved in filing, prosecuting and enforcing patents, the need for additional manufacturing capacity, competing technological and market developments, costs of possible acquisition or development of complementary business activities, and the cost to market our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2020, we were not party to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of America (U.S. GAAP).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Form 10-K, filed with the SEC on February 25, 2020 (Annual Report), for the fiscal year ended December 31, 2019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Annual Report during the six months ended June 30,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“current,” “intention,” “position,” “assume,” “potential,” “outlook,” “remain,” “continue,” “maintain,” “sustain,” “seek,” “target,”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our Annual Report, among others, could have a material adverse effect upon our business, results of operations and financial conditions.</w:t>
      </w:r>
    </w:p>
    <w:p>
      <w:pPr>
        <w:spacing w:after="0" w:line="18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reimbursement for our products;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of a BLA for NexoBrid to the FDA;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development and marketing plans;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features and successes of our therapies;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trial plans, including publication thereof;</w:t>
      </w:r>
    </w:p>
    <w:p>
      <w:pPr>
        <w:spacing w:after="0" w:line="9" w:lineRule="exact"/>
        <w:rPr>
          <w:rFonts w:ascii="Arial" w:cs="Arial" w:eastAsia="Arial" w:hAnsi="Arial"/>
          <w:sz w:val="18"/>
          <w:szCs w:val="18"/>
          <w:color w:val="auto"/>
        </w:rPr>
      </w:pPr>
    </w:p>
    <w:p>
      <w:pPr>
        <w:ind w:left="1300" w:right="140" w:hanging="320"/>
        <w:spacing w:after="0" w:line="250"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including economic slowdowns or recessions, impact to our operations or to the healthcare industry generally, which could reduce demand for our products;</w:t>
      </w: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of June 30, 2020, we held marketable debt securities, which are classified as available-for-sale and carried at fair value in the accompanying consolidated balance sheet included in this Form 10-Q. The fair value of our cash equivalents and marketable securities is subject to changes in market interest rates. Our earnings and cash flows are subject to fluctuations due to changes in interest rates, principally in connection with our investments in marketable debt securities. We do not believe we are materially exposed to changes in interest rates related to our investments, and we do not currently use interest rate derivative instruments or hedging transactions to manage exposure to interest rate changes of our investments. We estimate that a 100 basis point, or 1%, unfavorable change in interest rates would have resulted in approximately a $0.1 million and $0.3 million decrease in the fair value of our investment portfolio as of June 30, 2020 and December 31, 2019, respectively.</w:t>
      </w:r>
    </w:p>
    <w:p>
      <w:pPr>
        <w:spacing w:after="0" w:line="204" w:lineRule="exact"/>
        <w:rPr>
          <w:sz w:val="20"/>
          <w:szCs w:val="20"/>
          <w:color w:val="auto"/>
        </w:rPr>
      </w:pPr>
    </w:p>
    <w:p>
      <w:pPr>
        <w:ind w:right="320" w:firstLine="243"/>
        <w:spacing w:after="0" w:line="277" w:lineRule="auto"/>
        <w:rPr>
          <w:sz w:val="20"/>
          <w:szCs w:val="20"/>
          <w:color w:val="auto"/>
        </w:rPr>
      </w:pPr>
      <w:r>
        <w:rPr>
          <w:rFonts w:ascii="Arial" w:cs="Arial" w:eastAsia="Arial" w:hAnsi="Arial"/>
          <w:sz w:val="18"/>
          <w:szCs w:val="18"/>
          <w:color w:val="auto"/>
        </w:rPr>
        <w:t xml:space="preserve">We have evaluated the potential credit risk exposure for our accounts receivable and available-for sale investment securities in accordance with </w:t>
      </w:r>
      <w:r>
        <w:rPr>
          <w:rFonts w:ascii="Arial" w:cs="Arial" w:eastAsia="Arial" w:hAnsi="Arial"/>
          <w:sz w:val="18"/>
          <w:szCs w:val="18"/>
          <w:i w:val="1"/>
          <w:iCs w:val="1"/>
          <w:color w:val="auto"/>
        </w:rPr>
        <w:t>ASC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326, Financial Instruments - Credit Losses. </w:t>
      </w:r>
      <w:r>
        <w:rPr>
          <w:rFonts w:ascii="Arial" w:cs="Arial" w:eastAsia="Arial" w:hAnsi="Arial"/>
          <w:sz w:val="18"/>
          <w:szCs w:val="18"/>
          <w:color w:val="auto"/>
        </w:rPr>
        <w:t>See note 4 and note 8, for further discussion.</w:t>
      </w:r>
    </w:p>
    <w:p>
      <w:pPr>
        <w:spacing w:after="0" w:line="19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We operate in the United States only. We are primarily exposed to foreign exchange risk with respect to recognized assets and liabilities due to vendors in countries outside the United States which are typically paid in Euro. We do not enter into hedging transactions and do not purchase derivative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Management of the Company, with the participation of its certifying officers, evaluated the effectiveness of the Company's disclosure controls and procedures as defined in Rules 13a-15(e) and 15d-15(e) under the Exchange Act. Based on the evaluation as of June 30, 2020, the Company’s certifying officers concluded that the Company’s disclosure controls and procedures were effective.</w:t>
      </w:r>
    </w:p>
    <w:p>
      <w:pPr>
        <w:spacing w:after="0" w:line="21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the Commission’s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During the three months ended June 30, 2020, there were no material changes made in our internal control over financial reporting (as such term is defined in Rules 13a-15(f) and 15d-15(f) of the Exchange Act). The effects of the COVID-19 pandemic did not have a material impact on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699770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1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are currently not party to any material legal proceedings, although from time to time we may become involved in disputes in connection with the operation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Certain risks described below update the risk factors discussed in Item 1A, “Risk Factors,” of our Annual Report on Form 10-K for the fiscal year ended December 31, 2019, and expound upon and amend the specific risks resulting from the COVID-19 pandemic, which were first discussed by the Company in its Form 8-K filed on April 2, 2020, and which were updated in its Quarterly Report on Form 10-Q for the fiscal quarter ended March 31, 2020. Each of these risks, as well as those discussed in our previous filings could materially affect our business, financial condition, results of operations, or cash flows. The risks described below and in our previous filings are not the only risks we face. Additional risks and uncertainties not currently known or currently deemed to be immaterial also may materially and adversely affect our business, financial condition, results of operations or cash flows.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current pandemic of COVID-19 and the future outbreak of other highly infectious or contagious diseases, could seriously harm our research, development and commercialization efforts, increase our costs and expenses and have a material adverse effect on our business, financial condition and results of operations.</w:t>
      </w:r>
    </w:p>
    <w:p>
      <w:pPr>
        <w:spacing w:after="0" w:line="211"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Broad-based business or economic disruptions could adversely affect our ongoing or planned research, development and commercialization activities. For example, in December 2019, an outbreak of a novel strain of coronavirus originated in Wuhan, China, and has since spread globally. To date, the COVID-19 pandemic has caused significant disruptions to the U.S. and global economy and has contributed to significant volatility in financial markets. The global impact of the outbreak is continually evolving and, as the virus spreads and additional cases are identified, many countries, including the U.S., have reacted by instituting quarantines, restrictions on travel and mandatory closures of businesses. Since March 2020, certain states and cities, including where we or the third parties with whom we engage operate, have reacted by instituting quarantines, restrictions on travel, “shelter in place” rules, restrictions on types of business that may continue to operate, and/or restrictions on the types of construction projects that may continue. For example, on March 23, 2020, the Governor of Massachusetts ordered all individuals living in the Commonwealth of Massachusetts to stay at their place of residence for an indefinite period of time (subject to certain exceptions to facilitate authorized necessary activities) to mitigate the impact of the COVID-19 pandemic. The Governor of Michigan issued a substantially similar executive order applicable to Michigan residents on March 23, 2020. In both instances, the executive orders exempted certain individuals needed to maintain continuity of operations of critical infrastructure sectors as determined by the federal government, and the governors of both Massachusetts and Michigan have clarified that biopharmaceutical research and development is essential and exempt. Since March, the steps taken by many state and local officials have helped to slow the spread of the virus in certain regions of the United States. As a result, some states – including Massachusetts and Michigan – have instituted plans to ease the restrictions on workplaces and individuals in an effort to reopen the economies of those regions. On May 18, 2020, the governor of Massachusetts issued an order and report outlining the phased reopening of physical workplaces. Similarly, on May 18, 2020, the State of Michigan issued Executive Orders 2020-91 and 2020-92 allowing the re-opening of some businesses that had been formerly ordered to be closed. Both state orders require businesses to implement mandatory training and protection measures for their employees who continue to work in the office setting.</w:t>
      </w:r>
    </w:p>
    <w:p>
      <w:pPr>
        <w:spacing w:after="0" w:line="200" w:lineRule="exact"/>
        <w:rPr>
          <w:sz w:val="20"/>
          <w:szCs w:val="20"/>
          <w:color w:val="auto"/>
        </w:rPr>
      </w:pPr>
    </w:p>
    <w:p>
      <w:pPr>
        <w:spacing w:after="0" w:line="217"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March 2020, we put in place a comprehensive workplace protection plan, which institutes protective measures in response to the COVID-19 pandemic. These measures include mandatory employee training on social distancing and hygiene protocols, conducting daily health screenings of all employees, vendors and visitors entering our facilities, canceling of all commercial international travel, requesting that employees limit non-essential personal travel, enhancing our facilities’ janitorial and sanitary procedures, making certain physical modifications and enhancements to our facilities to enable effective social distancing among employees, providing certain personal protective equipment to employees working in our offices, encouraging employees to work from home to the extent their job function enables them to do so, limiting third-party access to our facilities, encouraging the use of virtual employee meetings, modifying the manner and schedule of on-site production activities, and providing guidance to our field-based commercial teams concerning their communications and contact with customers and healthcare professionals. We are reviewing these measures regularly as the situation evolves, and we are likely to take additional actions as we learn more and as instruction is provided by national, state and local governmental agencies. Both these existing measures and any future actions we take may result in continued disruption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jc w:val="both"/>
        <w:ind w:firstLine="243"/>
        <w:spacing w:after="0" w:line="293" w:lineRule="auto"/>
        <w:rPr>
          <w:sz w:val="20"/>
          <w:szCs w:val="20"/>
          <w:color w:val="auto"/>
        </w:rPr>
      </w:pPr>
      <w:r>
        <w:rPr>
          <w:rFonts w:ascii="Arial" w:cs="Arial" w:eastAsia="Arial" w:hAnsi="Arial"/>
          <w:sz w:val="16"/>
          <w:szCs w:val="16"/>
          <w:color w:val="auto"/>
        </w:rPr>
        <w:t>The extent to which the COVID-19 pandemic, or the future outbreak of any other highly infectious or contagious disease, impacts our preclinical studies, clinical trial operations and current or future commercialization efforts will depend on future developments, which are highly uncertain and cannot be predicted with confidence, including the scope, severity and duration of such pandemic, the actions taken to contain the pandemic or mitigate its impact, and the direct and indirect economic effects of the pandemic and containment measures, among others. The rapid development and fluidity of this situation precludes any prediction as to the full adverse impact of the COVID-19 pandemic. Nevertheless, the COVID-19 pandemic may adversely affect our business, financial condition and results of operations, and it may have the effect of heightening many of the risks described herein, including the below.</w:t>
      </w:r>
    </w:p>
    <w:p>
      <w:pPr>
        <w:spacing w:after="0" w:line="191" w:lineRule="exact"/>
        <w:rPr>
          <w:sz w:val="20"/>
          <w:szCs w:val="20"/>
          <w:color w:val="auto"/>
        </w:rPr>
      </w:pPr>
    </w:p>
    <w:p>
      <w:pPr>
        <w:jc w:val="both"/>
        <w:ind w:left="660" w:hanging="328"/>
        <w:spacing w:after="0" w:line="272"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implantation of MACI is an elective surgical procedure. On March 13, 2020 and March 14, 2020, the American College of Surgeons and United States Surgeon General, respectively, recommended that each hospital, health system, and surgeon minimize, postpone, or cancel electively scheduled surgeries, which resulted in a reduction in MACI sales. The stated purpose for these recommendations was that every elective surgery could spread COVID-19 within a facility, use up personal protective equipment (PPE) which may be needed by healthcare workers treating COVID-19 patients, and burden hospital workforce who may be needed to respond to COVID-19. These recommendations were followed by numerous state-level executive orders either banning or partially banning elective surgeries. By April 3, 2020, 31 U.S. states had issued executive mandates calling for the suspension of elective or non-essential surgeries.</w:t>
      </w:r>
    </w:p>
    <w:p>
      <w:pPr>
        <w:spacing w:after="0" w:line="204" w:lineRule="exact"/>
        <w:rPr>
          <w:rFonts w:ascii="Arial" w:cs="Arial" w:eastAsia="Arial" w:hAnsi="Arial"/>
          <w:sz w:val="17"/>
          <w:szCs w:val="17"/>
          <w:color w:val="auto"/>
        </w:rPr>
      </w:pPr>
    </w:p>
    <w:p>
      <w:pPr>
        <w:jc w:val="both"/>
        <w:ind w:left="660" w:hanging="328"/>
        <w:spacing w:after="0" w:line="269"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a result of these restrictions, beginning in mid-March 2020, the Company started to experience a significant increase in cancellations of scheduled MACI procedures as well as a slowdown in new MACI orders. Those cancellations negatively impacted the Company’s results of operations for the first and second quarters of 2020. Continued and prolonged material disruption of the Company’s employees, distributors, suppliers or customers will impact its sales and operating results that could lead to potential impairments to inventory and accounts receivable. As the number of COVID-19 cases began to decrease in certain parts of the United States, many states began easing their respective moratoriums on elective surgeries, however, the recent resurgence of the virus in certain parts of the country have led to the re-imposition of elective surgical procedure restrictions including Florida, California, Mississippi, Tennessee, Arizona and Texas. The Company’s MACI business will continue to be negatively impacted as long as multiple state orders remain in effect restricting elective surgical procedures. We believe Epicel may be less directly impacted by the pandemic given the critical nature of severe burn injuries, however trauma injury admissions have been reported to be reduced due to the various COVID-19 related restrictions. Given the rare nature of the severe burns Epicel treats, it is difficult to ascertain whether a similar decline is occurring with severe burns.</w:t>
      </w:r>
    </w:p>
    <w:p>
      <w:pPr>
        <w:spacing w:after="0" w:line="208" w:lineRule="exact"/>
        <w:rPr>
          <w:rFonts w:ascii="Arial" w:cs="Arial" w:eastAsia="Arial" w:hAnsi="Arial"/>
          <w:sz w:val="17"/>
          <w:szCs w:val="17"/>
          <w:color w:val="auto"/>
        </w:rPr>
      </w:pPr>
    </w:p>
    <w:p>
      <w:pPr>
        <w:jc w:val="both"/>
        <w:ind w:left="660" w:hanging="328"/>
        <w:spacing w:after="0" w:line="287"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currently conducting the PEAK (A Study of MACI in Patients Aged 10 to 17 Years with Symptomatic Chondral or Osteochondral Defects of the Knee) Study at ten (10) sites throughout the United States. Although it is premature to draw any conclusions at this time, given the reduction of elective surgical procedures as a result of COVID-19, the Company anticipates a decreased rate of patient enrollment to the PEAK Study. Additionally, the PEAK Study or another of our clinical trials may experience difficulties associated with patient visits and study monitoring, which may be paused or delayed due to changes in policies at various clinical sites, federal, state, local or foreign laws, rules and regulations, including closure of site access to outside medical monitors, quarantines or other travel restrictions, prioritization of healthcare resources toward pandemic efforts, including diminished attention of physicians serving as our clinical trial investigators and reduced availability of site staff supporting the conduct of our clinical trials, interruption or delays in the operations of the FDA, heightened exposure of patients, principal investigators and site staff to COVID-19 if an outbreak occurs in their geography, or other reasons related to the COVID-19 pandemic. Further, patients who are already recruited into our clinical trials may be unable or unwilling to attend follow-up visits within the timelines specified in our trial protocols, potentially impacting our ability to meet our clinical trial endpoints. An outbreak may also affect employees of third-party contract research organizations located in affected geographies that we rely upon to carry out our clinical trials.</w:t>
      </w:r>
    </w:p>
    <w:p>
      <w:pPr>
        <w:spacing w:after="0" w:line="194" w:lineRule="exact"/>
        <w:rPr>
          <w:rFonts w:ascii="Arial" w:cs="Arial" w:eastAsia="Arial" w:hAnsi="Arial"/>
          <w:sz w:val="16"/>
          <w:szCs w:val="16"/>
          <w:color w:val="auto"/>
        </w:rPr>
      </w:pPr>
    </w:p>
    <w:p>
      <w:pPr>
        <w:jc w:val="both"/>
        <w:ind w:left="660" w:hanging="328"/>
        <w:spacing w:after="0" w:line="25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continue to manufacture MACI and Epicel and we maintain a significant safety back-up of all key raw materials. We do not expect current supply chain interruptions will impact the Company’s ongoing manufacturing operations. However, we currently rely on third parties to, among other things, manufacture and supply raw materials, which are used to produce our products, and supply other goods and services to run our business. If any such third parties in our supply chain are adversely impacted by current or future restrictions resulting from the COVID-19 pandemic for an extended period of time, including staffing shortages, production slowdowns and disruptions in delivery systems, our supply chain may be disrupted, limiting our ability to manufacture our products and product candidates and conduct our research and development operations, or for potential commercial launch of any of our product candidates, if approved. With respect to customer delivery, MACI final product has an established shelf life of 6 days and established shipping shelf life of 3 days. Currently, MACI is picked-up by courier and shipped by commercial air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jc w:val="both"/>
        <w:ind w:left="328"/>
        <w:spacing w:after="0" w:line="301" w:lineRule="auto"/>
        <w:rPr>
          <w:sz w:val="20"/>
          <w:szCs w:val="20"/>
          <w:color w:val="auto"/>
        </w:rPr>
      </w:pPr>
      <w:r>
        <w:rPr>
          <w:rFonts w:ascii="Arial" w:cs="Arial" w:eastAsia="Arial" w:hAnsi="Arial"/>
          <w:sz w:val="16"/>
          <w:szCs w:val="16"/>
          <w:color w:val="auto"/>
        </w:rPr>
        <w:t>ground transportation to our customers’ locations. Epicel final product has an established shelf life of 24 hours and is hand carried to customer hospital sites by courier. Transportation is primarily commercial or charter airline. Although we have not experienced material shipping delays or increased costs to date, significant disruption of air travel could result in the inability to deliver MACI or Epicel final products to customer sites within appropriate timeframes, which would have a material adverse effect on our business and results of operations.</w:t>
      </w:r>
    </w:p>
    <w:p>
      <w:pPr>
        <w:spacing w:after="0" w:line="184" w:lineRule="exact"/>
        <w:rPr>
          <w:sz w:val="20"/>
          <w:szCs w:val="20"/>
          <w:color w:val="auto"/>
        </w:rPr>
      </w:pPr>
    </w:p>
    <w:p>
      <w:pPr>
        <w:jc w:val="both"/>
        <w:ind w:left="328" w:hanging="328"/>
        <w:spacing w:after="0" w:line="253"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closed much of our office space and requested that most of our personnel, including the majority of our administrative employees, work remotely. Our continued reliance on personnel working from home may negatively impact productivity, or disrupt, delay, or otherwise adversely impact our business. We continue to manufacture MACI and Epicel but have largely restricted on-site staff to only those personnel and contractors who must perform essential activities related to the manufacture, production and delivery of our products. However, the continued spread or resurgence of COVID-19 or similar infectious diseases in the U.S. may lead to further government-imposed quarantines and restrictions, which may result in the closure of our administrative offices, with our employees working outside of our offices for an extended period of time. These actions may also result in the disruption of our manufacturing operations, which are currently accomplished within our administrative offices. Additionally, such quarantines and restrictions may adversely affect our ability to conduct certain product enhancement and business development activities.</w:t>
      </w:r>
    </w:p>
    <w:p>
      <w:pPr>
        <w:spacing w:after="0" w:line="223" w:lineRule="exact"/>
        <w:rPr>
          <w:rFonts w:ascii="Arial" w:cs="Arial" w:eastAsia="Arial" w:hAnsi="Arial"/>
          <w:sz w:val="18"/>
          <w:szCs w:val="18"/>
          <w:color w:val="auto"/>
        </w:rPr>
      </w:pPr>
    </w:p>
    <w:p>
      <w:pPr>
        <w:jc w:val="both"/>
        <w:ind w:left="328" w:hanging="328"/>
        <w:spacing w:after="0" w:line="271" w:lineRule="auto"/>
        <w:tabs>
          <w:tab w:leader="none" w:pos="323"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continued reliance on personnel working from home may also increase our cyber security risk, create data accessibility concerns, and make us more susceptible to communication disruptions, any of which could adversely impact our business operations or delay necessary interactions with local and federal regulators, institutional review boards and ethics committees, third party contractors and suppliers, clinical trial sites and other important agencies and contractors. Our business operations may be further disrupted if any of our employees, officers or board of directors contract an illness related to COVID-19 and are unable to perform their duties. For example, COVID-19 illness could impact members of management or our board of directors resulting in absenteeism from management meetings or meetings of the directors or committees of directors, and making it more difficult for management to effectively oversee our daily operations, or to convene the quorums of the full board of directors or its committees needed to conduct meetings for the management of our affairs.</w:t>
      </w:r>
    </w:p>
    <w:p>
      <w:pPr>
        <w:spacing w:after="0" w:line="205" w:lineRule="exact"/>
        <w:rPr>
          <w:rFonts w:ascii="Arial" w:cs="Arial" w:eastAsia="Arial" w:hAnsi="Arial"/>
          <w:sz w:val="17"/>
          <w:szCs w:val="17"/>
          <w:color w:val="auto"/>
        </w:rPr>
      </w:pPr>
    </w:p>
    <w:p>
      <w:pPr>
        <w:jc w:val="both"/>
        <w:ind w:left="328" w:hanging="328"/>
        <w:spacing w:after="0" w:line="257"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spread or resurgence of the COVID-19 virus, may cause our employees, and employees of third-party contractors and licensees, including MediWound, responsible for conducting research and development activities to be unable to access laboratories and places of business for an extended period of time as a result of the temporary closure of such workspaces and the possibility that governmental authorities further modify current restrictions. As a result, this could delay timely completion of ongoing clinical trials or preclinical activities, and our ability to select future development candidates.</w:t>
      </w:r>
    </w:p>
    <w:p>
      <w:pPr>
        <w:spacing w:after="0" w:line="214" w:lineRule="exact"/>
        <w:rPr>
          <w:rFonts w:ascii="Arial" w:cs="Arial" w:eastAsia="Arial" w:hAnsi="Arial"/>
          <w:sz w:val="18"/>
          <w:szCs w:val="18"/>
          <w:color w:val="auto"/>
        </w:rPr>
      </w:pPr>
    </w:p>
    <w:p>
      <w:pPr>
        <w:jc w:val="both"/>
        <w:ind w:left="328" w:hanging="328"/>
        <w:spacing w:after="0" w:line="272" w:lineRule="auto"/>
        <w:tabs>
          <w:tab w:leader="none" w:pos="323" w:val="left"/>
        </w:tabs>
        <w:numPr>
          <w:ilvl w:val="0"/>
          <w:numId w:val="9"/>
        </w:numPr>
        <w:rPr>
          <w:rFonts w:ascii="Arial" w:cs="Arial" w:eastAsia="Arial" w:hAnsi="Arial"/>
          <w:sz w:val="17"/>
          <w:szCs w:val="17"/>
          <w:color w:val="auto"/>
        </w:rPr>
      </w:pPr>
      <w:r>
        <w:rPr>
          <w:rFonts w:ascii="Arial" w:cs="Arial" w:eastAsia="Arial" w:hAnsi="Arial"/>
          <w:sz w:val="17"/>
          <w:szCs w:val="17"/>
          <w:color w:val="auto"/>
        </w:rPr>
        <w:t>NexoBrid is currently a pre-commercial product in North America. On June 30, 2020, the Company announced that it submitted a BLA to the FDA seeking marketing approval for Nexobrid in the United States. However, health regulatory agencies globally, including the FDA, may experience disruptions in their operations as a result of the continued spread of the COVID-19 pandemic. The FDA and comparable foreign regulatory agencies may have slower response times or be under-resourced to continue to monitor our clinical trials or consider our regulatory submissions and, as a result, review, inspection, and other timelines may be materially delayed. It is unknown how long these disruptions could continue, were they to occur. Any elongation or de-prioritization of our clinical trials or delay in regulatory review resulting from such disruptions could materially affect the development, study and ultimate commercialization of our product candidates.</w:t>
      </w:r>
    </w:p>
    <w:p>
      <w:pPr>
        <w:spacing w:after="0" w:line="204" w:lineRule="exact"/>
        <w:rPr>
          <w:rFonts w:ascii="Arial" w:cs="Arial" w:eastAsia="Arial" w:hAnsi="Arial"/>
          <w:sz w:val="17"/>
          <w:szCs w:val="17"/>
          <w:color w:val="auto"/>
        </w:rPr>
      </w:pPr>
    </w:p>
    <w:p>
      <w:pPr>
        <w:jc w:val="both"/>
        <w:ind w:left="328" w:hanging="328"/>
        <w:spacing w:after="0" w:line="259"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trading prices for our common stock and other biopharmaceutical companies have been highly volatile as a result of the COVID-19 pandemic. As a result, we may face difficulties raising capital through sales of our common stock or such sales may be on unfavorable terms. In addition, a recession, depression or other sustained adverse market event resulting from the continued spread or resurgence of the COVID-19 pandemic could materially and adversely affect our business and the value of our common stock.</w:t>
      </w:r>
    </w:p>
    <w:p>
      <w:pPr>
        <w:spacing w:after="0" w:line="213" w:lineRule="exact"/>
        <w:rPr>
          <w:rFonts w:ascii="Arial" w:cs="Arial" w:eastAsia="Arial" w:hAnsi="Arial"/>
          <w:sz w:val="18"/>
          <w:szCs w:val="18"/>
          <w:color w:val="auto"/>
        </w:rPr>
      </w:pPr>
    </w:p>
    <w:p>
      <w:pPr>
        <w:jc w:val="both"/>
        <w:ind w:left="328" w:hanging="328"/>
        <w:spacing w:after="0" w:line="273" w:lineRule="auto"/>
        <w:tabs>
          <w:tab w:leader="none" w:pos="323" w:val="left"/>
        </w:tabs>
        <w:numPr>
          <w:ilvl w:val="0"/>
          <w:numId w:val="9"/>
        </w:numPr>
        <w:rPr>
          <w:rFonts w:ascii="Arial" w:cs="Arial" w:eastAsia="Arial" w:hAnsi="Arial"/>
          <w:sz w:val="17"/>
          <w:szCs w:val="17"/>
          <w:color w:val="auto"/>
        </w:rPr>
      </w:pPr>
      <w:r>
        <w:rPr>
          <w:rFonts w:ascii="Arial" w:cs="Arial" w:eastAsia="Arial" w:hAnsi="Arial"/>
          <w:sz w:val="17"/>
          <w:szCs w:val="17"/>
          <w:color w:val="auto"/>
        </w:rPr>
        <w:t>Given the economic downturn and increased unemployment in the U.S. related to COVID-19, millions of individuals have lost and may lose their employer-based insurance coverage, which may adversely affect our ability to commercialize our products. In addition, market disruption and rising unemployment caused by the COVID-19 pandemic may lead to delays in obtaining insurance coverage and reimbursement of newly approved products as well as an increase in the numbers of uninsured patients and patients who may no longer be able to afford their co-insurance or co-pay obligations. These factors may lead to decreased utilization of our products, which could reduce revenue. The outbreak of COVID-19 may also negatively impact our commercialization strategy for our products and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542290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95" w:right="339" w:bottom="1440" w:gutter="0" w:footer="0" w:header="0"/>
        </w:sectPr>
      </w:pPr>
    </w:p>
    <w:bookmarkStart w:id="30" w:name="page31"/>
    <w:bookmarkEnd w:id="30"/>
    <w:p>
      <w:pPr>
        <w:jc w:val="both"/>
        <w:ind w:left="660"/>
        <w:spacing w:after="0" w:line="272" w:lineRule="auto"/>
        <w:rPr>
          <w:sz w:val="20"/>
          <w:szCs w:val="20"/>
          <w:color w:val="auto"/>
        </w:rPr>
      </w:pPr>
      <w:r>
        <w:rPr>
          <w:rFonts w:ascii="Arial" w:cs="Arial" w:eastAsia="Arial" w:hAnsi="Arial"/>
          <w:sz w:val="17"/>
          <w:szCs w:val="17"/>
          <w:color w:val="auto"/>
        </w:rPr>
        <w:t>candidates, if approved. Hospitals and other medical institutions have reduced and diverted staffing, diverted resources to patients suffering COVID-19 and limited hospital access for non-patients, which may include our sales personnel. Hospitals may continue and increase these and similar measures in the future should the COVID-19 virus continue to spread or surge in certain areas. In addition, continued travel restrictions due to COVID-19 could impact the ability of our sales personnel to travel to customers. We have encouraged our sales personnel to conduct many of their interactions with physicians and patients through the use of webinars, telemedicine, direct-to-consumer advertising and social media. These circumstances may adversely affect the ability of our sales professionals to effectively market our products to physicians in the future, which may have a negative impact on our potential sales and our market penetration.</w:t>
      </w:r>
    </w:p>
    <w:p>
      <w:pPr>
        <w:spacing w:after="0" w:line="204" w:lineRule="exact"/>
        <w:rPr>
          <w:sz w:val="20"/>
          <w:szCs w:val="20"/>
          <w:color w:val="auto"/>
        </w:rPr>
      </w:pPr>
    </w:p>
    <w:p>
      <w:pPr>
        <w:jc w:val="both"/>
        <w:ind w:firstLine="234"/>
        <w:spacing w:after="0" w:line="255" w:lineRule="auto"/>
        <w:rPr>
          <w:sz w:val="20"/>
          <w:szCs w:val="20"/>
          <w:color w:val="auto"/>
        </w:rPr>
      </w:pPr>
      <w:r>
        <w:rPr>
          <w:rFonts w:ascii="Arial" w:cs="Arial" w:eastAsia="Arial" w:hAnsi="Arial"/>
          <w:sz w:val="18"/>
          <w:szCs w:val="18"/>
          <w:color w:val="auto"/>
        </w:rPr>
        <w:t>If any of these risks related to the impact of the COVID-19 pandemic were to occur, our preclinical activities, clinical development progress, data and timelines, commercialization efforts including any potential revenue from sales, supply chain continuity, and general business operations, could be delayed and/or materially harmed and our business, prospects, financial condition, and results of operations would suffer as a result. The extent to which the current pandemic, or a future pandemic, impacts our business and operations will depend on future developments, such as the ultimate geographic spread of the disease, the duration of the outbreak, travel restrictions and governmental actions to contain the outbreak or treat its impact, which are highly uncertain and cannot be predicted with confidence.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listed in the Exhibit Index are filed as a part of this Quarterly Report on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38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534"/>
        </w:trPr>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Exhibit No.</w:t>
            </w:r>
          </w:p>
        </w:tc>
        <w:tc>
          <w:tcPr>
            <w:tcW w:w="93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513"/>
        </w:trPr>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938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Certification of Chief Executive Officer pursuant to Section 302 of the Sarbanes-Oxley Act of 2002.</w:t>
              </w:r>
            </w:hyperlink>
          </w:p>
        </w:tc>
      </w:tr>
      <w:tr>
        <w:trPr>
          <w:trHeight w:val="540"/>
        </w:trPr>
        <w:tc>
          <w:tcPr>
            <w:tcW w:w="1340" w:type="dxa"/>
            <w:vAlign w:val="bottom"/>
          </w:tcPr>
          <w:p>
            <w:pPr>
              <w:jc w:val="center"/>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938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Certification of Chief Financial Officer pursuant to Section 302 of the Sarbanes-Oxley Act of 2002.</w:t>
              </w:r>
            </w:hyperlink>
          </w:p>
        </w:tc>
      </w:tr>
      <w:tr>
        <w:trPr>
          <w:trHeight w:val="540"/>
        </w:trPr>
        <w:tc>
          <w:tcPr>
            <w:tcW w:w="1340" w:type="dxa"/>
            <w:vAlign w:val="bottom"/>
          </w:tcPr>
          <w:p>
            <w:pPr>
              <w:jc w:val="center"/>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9380" w:type="dxa"/>
            <w:vAlign w:val="bottom"/>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Certification of Chief Executive Officer pursuant to Section 906 of the Sarbanes-Oxley Act of 2002.</w:t>
              </w:r>
            </w:hyperlink>
          </w:p>
        </w:tc>
      </w:tr>
      <w:tr>
        <w:trPr>
          <w:trHeight w:val="540"/>
        </w:trPr>
        <w:tc>
          <w:tcPr>
            <w:tcW w:w="1340" w:type="dxa"/>
            <w:vAlign w:val="bottom"/>
          </w:tcPr>
          <w:p>
            <w:pPr>
              <w:jc w:val="center"/>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4"/>
                <w:szCs w:val="24"/>
                <w:color w:val="auto"/>
              </w:rPr>
            </w:pPr>
          </w:p>
        </w:tc>
        <w:tc>
          <w:tcPr>
            <w:tcW w:w="9380" w:type="dxa"/>
            <w:vAlign w:val="bottom"/>
          </w:tcPr>
          <w:p>
            <w:pPr>
              <w:ind w:left="20"/>
              <w:spacing w:after="0"/>
              <w:rPr>
                <w:rFonts w:ascii="Arial" w:cs="Arial" w:eastAsia="Arial" w:hAnsi="Arial"/>
                <w:sz w:val="18"/>
                <w:szCs w:val="18"/>
                <w:color w:val="0000FF"/>
              </w:rPr>
            </w:pPr>
            <w:hyperlink w:anchor="page37">
              <w:r>
                <w:rPr>
                  <w:rFonts w:ascii="Arial" w:cs="Arial" w:eastAsia="Arial" w:hAnsi="Arial"/>
                  <w:sz w:val="18"/>
                  <w:szCs w:val="18"/>
                  <w:u w:val="single" w:color="auto"/>
                  <w:color w:val="0000FF"/>
                </w:rPr>
                <w:t>Certification of Chief Financial Officer pursuant to Section 906 of the Sarbanes-Oxley Act of 2002</w:t>
              </w:r>
            </w:hyperlink>
            <w:r>
              <w:rPr>
                <w:rFonts w:ascii="Arial" w:cs="Arial" w:eastAsia="Arial" w:hAnsi="Arial"/>
                <w:sz w:val="18"/>
                <w:szCs w:val="18"/>
                <w:color w:val="000000"/>
              </w:rPr>
              <w:t>.</w:t>
            </w:r>
          </w:p>
        </w:tc>
      </w:tr>
      <w:tr>
        <w:trPr>
          <w:trHeight w:val="540"/>
        </w:trPr>
        <w:tc>
          <w:tcPr>
            <w:tcW w:w="1740" w:type="dxa"/>
            <w:vAlign w:val="bottom"/>
            <w:gridSpan w:val="2"/>
          </w:tcPr>
          <w:p>
            <w:pPr>
              <w:jc w:val="center"/>
              <w:ind w:right="400"/>
              <w:spacing w:after="0"/>
              <w:rPr>
                <w:sz w:val="20"/>
                <w:szCs w:val="20"/>
                <w:color w:val="auto"/>
              </w:rPr>
            </w:pPr>
            <w:r>
              <w:rPr>
                <w:rFonts w:ascii="Arial" w:cs="Arial" w:eastAsia="Arial" w:hAnsi="Arial"/>
                <w:sz w:val="18"/>
                <w:szCs w:val="18"/>
                <w:color w:val="auto"/>
                <w:w w:val="98"/>
              </w:rPr>
              <w:t>101.INS**</w:t>
            </w:r>
          </w:p>
        </w:tc>
        <w:tc>
          <w:tcPr>
            <w:tcW w:w="9380" w:type="dxa"/>
            <w:vAlign w:val="bottom"/>
          </w:tcPr>
          <w:p>
            <w:pPr>
              <w:ind w:left="20"/>
              <w:spacing w:after="0"/>
              <w:rPr>
                <w:sz w:val="20"/>
                <w:szCs w:val="20"/>
                <w:color w:val="auto"/>
              </w:rPr>
            </w:pPr>
            <w:r>
              <w:rPr>
                <w:rFonts w:ascii="Arial" w:cs="Arial" w:eastAsia="Arial" w:hAnsi="Arial"/>
                <w:sz w:val="18"/>
                <w:szCs w:val="18"/>
                <w:color w:val="auto"/>
              </w:rPr>
              <w:t>Inline XBRL Instance Document</w:t>
            </w:r>
          </w:p>
        </w:tc>
      </w:tr>
      <w:tr>
        <w:trPr>
          <w:trHeight w:val="540"/>
        </w:trPr>
        <w:tc>
          <w:tcPr>
            <w:tcW w:w="174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101.SCH**</w:t>
            </w:r>
          </w:p>
        </w:tc>
        <w:tc>
          <w:tcPr>
            <w:tcW w:w="9380" w:type="dxa"/>
            <w:vAlign w:val="bottom"/>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540"/>
        </w:trPr>
        <w:tc>
          <w:tcPr>
            <w:tcW w:w="1740" w:type="dxa"/>
            <w:vAlign w:val="bottom"/>
            <w:gridSpan w:val="2"/>
          </w:tcPr>
          <w:p>
            <w:pPr>
              <w:jc w:val="center"/>
              <w:ind w:right="400"/>
              <w:spacing w:after="0"/>
              <w:rPr>
                <w:sz w:val="20"/>
                <w:szCs w:val="20"/>
                <w:color w:val="auto"/>
              </w:rPr>
            </w:pPr>
            <w:r>
              <w:rPr>
                <w:rFonts w:ascii="Arial" w:cs="Arial" w:eastAsia="Arial" w:hAnsi="Arial"/>
                <w:sz w:val="18"/>
                <w:szCs w:val="18"/>
                <w:color w:val="auto"/>
              </w:rPr>
              <w:t>101.CAL**</w:t>
            </w:r>
          </w:p>
        </w:tc>
        <w:tc>
          <w:tcPr>
            <w:tcW w:w="9380" w:type="dxa"/>
            <w:vAlign w:val="bottom"/>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540"/>
        </w:trPr>
        <w:tc>
          <w:tcPr>
            <w:tcW w:w="1740" w:type="dxa"/>
            <w:vAlign w:val="bottom"/>
            <w:gridSpan w:val="2"/>
          </w:tcPr>
          <w:p>
            <w:pPr>
              <w:jc w:val="center"/>
              <w:ind w:right="400"/>
              <w:spacing w:after="0"/>
              <w:rPr>
                <w:sz w:val="20"/>
                <w:szCs w:val="20"/>
                <w:color w:val="auto"/>
              </w:rPr>
            </w:pPr>
            <w:r>
              <w:rPr>
                <w:rFonts w:ascii="Arial" w:cs="Arial" w:eastAsia="Arial" w:hAnsi="Arial"/>
                <w:sz w:val="18"/>
                <w:szCs w:val="18"/>
                <w:color w:val="auto"/>
              </w:rPr>
              <w:t>101.LAB**</w:t>
            </w:r>
          </w:p>
        </w:tc>
        <w:tc>
          <w:tcPr>
            <w:tcW w:w="9380" w:type="dxa"/>
            <w:vAlign w:val="bottom"/>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540"/>
        </w:trPr>
        <w:tc>
          <w:tcPr>
            <w:tcW w:w="174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101.PRE**</w:t>
            </w:r>
          </w:p>
        </w:tc>
        <w:tc>
          <w:tcPr>
            <w:tcW w:w="9380" w:type="dxa"/>
            <w:vAlign w:val="bottom"/>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540"/>
        </w:trPr>
        <w:tc>
          <w:tcPr>
            <w:tcW w:w="1740" w:type="dxa"/>
            <w:vAlign w:val="bottom"/>
            <w:gridSpan w:val="2"/>
          </w:tcPr>
          <w:p>
            <w:pPr>
              <w:jc w:val="center"/>
              <w:ind w:right="380"/>
              <w:spacing w:after="0"/>
              <w:rPr>
                <w:sz w:val="20"/>
                <w:szCs w:val="20"/>
                <w:color w:val="auto"/>
              </w:rPr>
            </w:pPr>
            <w:r>
              <w:rPr>
                <w:rFonts w:ascii="Arial" w:cs="Arial" w:eastAsia="Arial" w:hAnsi="Arial"/>
                <w:sz w:val="18"/>
                <w:szCs w:val="18"/>
                <w:color w:val="auto"/>
                <w:w w:val="98"/>
              </w:rPr>
              <w:t>101.DEF**</w:t>
            </w:r>
          </w:p>
        </w:tc>
        <w:tc>
          <w:tcPr>
            <w:tcW w:w="9380" w:type="dxa"/>
            <w:vAlign w:val="bottom"/>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337" w:lineRule="exact"/>
        <w:rPr>
          <w:sz w:val="20"/>
          <w:szCs w:val="20"/>
          <w:color w:val="auto"/>
        </w:rPr>
      </w:pPr>
    </w:p>
    <w:p>
      <w:pPr>
        <w:ind w:left="1760" w:hanging="1219"/>
        <w:spacing w:after="0"/>
        <w:tabs>
          <w:tab w:leader="none" w:pos="1760" w:val="left"/>
        </w:tabs>
        <w:numPr>
          <w:ilvl w:val="1"/>
          <w:numId w:val="10"/>
        </w:numPr>
        <w:rPr>
          <w:rFonts w:ascii="Arial" w:cs="Arial" w:eastAsia="Arial" w:hAnsi="Arial"/>
          <w:sz w:val="18"/>
          <w:szCs w:val="18"/>
          <w:color w:val="0000FF"/>
        </w:rPr>
      </w:pPr>
      <w:hyperlink w:anchor="page1">
        <w:r>
          <w:rPr>
            <w:rFonts w:ascii="Arial" w:cs="Arial" w:eastAsia="Arial" w:hAnsi="Arial"/>
            <w:sz w:val="18"/>
            <w:szCs w:val="18"/>
            <w:u w:val="single" w:color="auto"/>
            <w:color w:val="0000FF"/>
          </w:rPr>
          <w:t>Cover Page Interactive Data File (formatted as Inline XBRL and contained in Exhibit 101)</w:t>
        </w:r>
        <w:r>
          <w:rPr>
            <w:rFonts w:ascii="Arial" w:cs="Arial" w:eastAsia="Arial" w:hAnsi="Arial"/>
            <w:sz w:val="18"/>
            <w:szCs w:val="18"/>
            <w:color w:val="0000FF"/>
          </w:rPr>
          <w:t>.</w:t>
        </w:r>
      </w:hyperlink>
    </w:p>
    <w:p>
      <w:pPr>
        <w:spacing w:after="0" w:line="306" w:lineRule="exact"/>
        <w:rPr>
          <w:rFonts w:ascii="Arial" w:cs="Arial" w:eastAsia="Arial" w:hAnsi="Arial"/>
          <w:sz w:val="18"/>
          <w:szCs w:val="18"/>
          <w:color w:val="0000FF"/>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32" w:name="page33"/>
    <w:bookmarkEnd w:id="32"/>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pacing w:after="0" w:line="37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58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jc w:val="center"/>
        <w:ind w:left="558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5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5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58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jc w:val="center"/>
        <w:ind w:left="558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580"/>
        <w:spacing w:after="0"/>
        <w:rPr>
          <w:sz w:val="20"/>
          <w:szCs w:val="20"/>
          <w:color w:val="auto"/>
        </w:rPr>
      </w:pPr>
      <w:r>
        <w:rPr>
          <w:rFonts w:ascii="Arial" w:cs="Arial" w:eastAsia="Arial" w:hAnsi="Arial"/>
          <w:sz w:val="16"/>
          <w:szCs w:val="16"/>
          <w:i w:val="1"/>
          <w:iCs w:val="1"/>
          <w:color w:val="auto"/>
        </w:rPr>
        <w:t>Chief Financial Officer and Vice President, Corporate Development</w:t>
      </w:r>
    </w:p>
    <w:p>
      <w:pPr>
        <w:spacing w:after="0" w:line="86" w:lineRule="exact"/>
        <w:rPr>
          <w:sz w:val="20"/>
          <w:szCs w:val="20"/>
          <w:color w:val="auto"/>
        </w:rPr>
      </w:pPr>
    </w:p>
    <w:p>
      <w:pPr>
        <w:jc w:val="center"/>
        <w:ind w:left="55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0880"/>
          </w:cols>
          <w:pgMar w:left="320" w:top="1134" w:right="6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25" w:lineRule="exact"/>
        <w:rPr>
          <w:rFonts w:ascii="Arial" w:cs="Arial" w:eastAsia="Arial" w:hAnsi="Arial"/>
          <w:sz w:val="18"/>
          <w:szCs w:val="18"/>
          <w:color w:val="auto"/>
        </w:rPr>
      </w:pPr>
    </w:p>
    <w:p>
      <w:pPr>
        <w:ind w:right="220" w:firstLine="332"/>
        <w:spacing w:after="0" w:line="263"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80" w:firstLine="332"/>
        <w:spacing w:after="0" w:line="308" w:lineRule="auto"/>
        <w:tabs>
          <w:tab w:leader="none" w:pos="8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80" w:firstLine="332"/>
        <w:spacing w:after="0" w:line="263"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firstLine="1182"/>
        <w:spacing w:after="0" w:line="263" w:lineRule="auto"/>
        <w:tabs>
          <w:tab w:leader="none" w:pos="141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280" w:firstLine="1182"/>
        <w:spacing w:after="0" w:line="263" w:lineRule="auto"/>
        <w:tabs>
          <w:tab w:leader="none" w:pos="142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20" w:firstLine="1182"/>
        <w:spacing w:after="0" w:line="308" w:lineRule="auto"/>
        <w:tabs>
          <w:tab w:leader="none" w:pos="1419"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80" w:firstLine="1182"/>
        <w:spacing w:after="0" w:line="263" w:lineRule="auto"/>
        <w:tabs>
          <w:tab w:leader="none" w:pos="142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00" w:firstLine="332"/>
        <w:spacing w:after="0" w:line="308" w:lineRule="auto"/>
        <w:tabs>
          <w:tab w:leader="none" w:pos="8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40" w:firstLine="1182"/>
        <w:spacing w:after="0" w:line="308" w:lineRule="auto"/>
        <w:tabs>
          <w:tab w:leader="none" w:pos="1409"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0" w:firstLine="1182"/>
        <w:spacing w:after="0" w:line="277" w:lineRule="auto"/>
        <w:tabs>
          <w:tab w:leader="none" w:pos="1419"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August 5, 2020</w:t>
      </w:r>
    </w:p>
    <w:p>
      <w:pPr>
        <w:spacing w:after="0" w:line="374" w:lineRule="exact"/>
        <w:rPr>
          <w:sz w:val="20"/>
          <w:szCs w:val="20"/>
          <w:color w:val="auto"/>
        </w:rPr>
      </w:pPr>
    </w:p>
    <w:p>
      <w:pPr>
        <w:jc w:val="center"/>
        <w:ind w:left="464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29571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57" w:lineRule="exact"/>
        <w:rPr>
          <w:sz w:val="20"/>
          <w:szCs w:val="20"/>
          <w:color w:val="auto"/>
        </w:rPr>
      </w:pPr>
    </w:p>
    <w:p>
      <w:pPr>
        <w:jc w:val="center"/>
        <w:ind w:left="464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46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46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9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J. Michel, certify that:</w:t>
      </w:r>
    </w:p>
    <w:p>
      <w:pPr>
        <w:spacing w:after="0" w:line="225" w:lineRule="exact"/>
        <w:rPr>
          <w:sz w:val="20"/>
          <w:szCs w:val="20"/>
          <w:color w:val="auto"/>
        </w:rPr>
      </w:pPr>
    </w:p>
    <w:p>
      <w:pPr>
        <w:ind w:left="440" w:hanging="189"/>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25" w:lineRule="exact"/>
        <w:rPr>
          <w:rFonts w:ascii="Arial" w:cs="Arial" w:eastAsia="Arial" w:hAnsi="Arial"/>
          <w:sz w:val="18"/>
          <w:szCs w:val="18"/>
          <w:color w:val="auto"/>
        </w:rPr>
      </w:pPr>
    </w:p>
    <w:p>
      <w:pPr>
        <w:ind w:right="260" w:firstLine="251"/>
        <w:spacing w:after="0" w:line="342" w:lineRule="auto"/>
        <w:tabs>
          <w:tab w:leader="none" w:pos="423"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251"/>
        <w:spacing w:after="0" w:line="277" w:lineRule="auto"/>
        <w:tabs>
          <w:tab w:leader="none" w:pos="4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251"/>
        <w:spacing w:after="0" w:line="263" w:lineRule="auto"/>
        <w:tabs>
          <w:tab w:leader="none" w:pos="4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534"/>
        <w:spacing w:after="0" w:line="263" w:lineRule="auto"/>
        <w:tabs>
          <w:tab w:leader="none" w:pos="77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534"/>
        <w:spacing w:after="0" w:line="263" w:lineRule="auto"/>
        <w:tabs>
          <w:tab w:leader="none" w:pos="78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760" w:firstLine="534"/>
        <w:spacing w:after="0" w:line="342" w:lineRule="auto"/>
        <w:tabs>
          <w:tab w:leader="none" w:pos="77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240" w:firstLine="534"/>
        <w:spacing w:after="0" w:line="263" w:lineRule="auto"/>
        <w:tabs>
          <w:tab w:leader="none" w:pos="78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40" w:firstLine="251"/>
        <w:spacing w:after="0" w:line="308" w:lineRule="auto"/>
        <w:tabs>
          <w:tab w:leader="none" w:pos="42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160" w:firstLine="534"/>
        <w:spacing w:after="0" w:line="277" w:lineRule="auto"/>
        <w:tabs>
          <w:tab w:leader="none" w:pos="7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534"/>
        <w:spacing w:after="0" w:line="277" w:lineRule="auto"/>
        <w:tabs>
          <w:tab w:leader="none" w:pos="77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August 5, 2020</w:t>
      </w:r>
    </w:p>
    <w:p>
      <w:pPr>
        <w:spacing w:after="0" w:line="374" w:lineRule="exact"/>
        <w:rPr>
          <w:sz w:val="20"/>
          <w:szCs w:val="20"/>
          <w:color w:val="auto"/>
        </w:rPr>
      </w:pPr>
    </w:p>
    <w:p>
      <w:pPr>
        <w:jc w:val="center"/>
        <w:ind w:left="4640"/>
        <w:spacing w:after="0"/>
        <w:rPr>
          <w:sz w:val="20"/>
          <w:szCs w:val="20"/>
          <w:color w:val="auto"/>
        </w:rPr>
      </w:pPr>
      <w:r>
        <w:rPr>
          <w:rFonts w:ascii="Arial" w:cs="Arial" w:eastAsia="Arial" w:hAnsi="Arial"/>
          <w:sz w:val="18"/>
          <w:szCs w:val="18"/>
          <w:color w:val="auto"/>
        </w:rPr>
        <w:t>/s/ GERARD J.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29571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57" w:lineRule="exact"/>
        <w:rPr>
          <w:sz w:val="20"/>
          <w:szCs w:val="20"/>
          <w:color w:val="auto"/>
        </w:rPr>
      </w:pPr>
    </w:p>
    <w:p>
      <w:pPr>
        <w:jc w:val="center"/>
        <w:ind w:left="4640"/>
        <w:spacing w:after="0"/>
        <w:rPr>
          <w:sz w:val="20"/>
          <w:szCs w:val="20"/>
          <w:color w:val="auto"/>
        </w:rPr>
      </w:pPr>
      <w:r>
        <w:rPr>
          <w:rFonts w:ascii="Arial" w:cs="Arial" w:eastAsia="Arial" w:hAnsi="Arial"/>
          <w:sz w:val="18"/>
          <w:szCs w:val="18"/>
          <w:color w:val="auto"/>
        </w:rPr>
        <w:t>Gerard J. Michel</w:t>
      </w:r>
    </w:p>
    <w:p>
      <w:pPr>
        <w:spacing w:after="0" w:line="63" w:lineRule="exact"/>
        <w:rPr>
          <w:sz w:val="20"/>
          <w:szCs w:val="20"/>
          <w:color w:val="auto"/>
        </w:rPr>
      </w:pPr>
    </w:p>
    <w:p>
      <w:pPr>
        <w:jc w:val="center"/>
        <w:ind w:left="4640"/>
        <w:spacing w:after="0"/>
        <w:rPr>
          <w:sz w:val="20"/>
          <w:szCs w:val="20"/>
          <w:color w:val="auto"/>
        </w:rPr>
      </w:pPr>
      <w:r>
        <w:rPr>
          <w:rFonts w:ascii="Arial" w:cs="Arial" w:eastAsia="Arial" w:hAnsi="Arial"/>
          <w:sz w:val="18"/>
          <w:szCs w:val="18"/>
          <w:i w:val="1"/>
          <w:iCs w:val="1"/>
          <w:color w:val="auto"/>
        </w:rPr>
        <w:t>Chief Financial Officer and Vice President</w:t>
      </w:r>
    </w:p>
    <w:p>
      <w:pPr>
        <w:spacing w:after="0" w:line="63" w:lineRule="exact"/>
        <w:rPr>
          <w:sz w:val="20"/>
          <w:szCs w:val="20"/>
          <w:color w:val="auto"/>
        </w:rPr>
      </w:pPr>
    </w:p>
    <w:p>
      <w:pPr>
        <w:jc w:val="center"/>
        <w:ind w:left="4640"/>
        <w:spacing w:after="0"/>
        <w:rPr>
          <w:sz w:val="20"/>
          <w:szCs w:val="20"/>
          <w:color w:val="auto"/>
        </w:rPr>
      </w:pPr>
      <w:r>
        <w:rPr>
          <w:rFonts w:ascii="Arial" w:cs="Arial" w:eastAsia="Arial" w:hAnsi="Arial"/>
          <w:sz w:val="18"/>
          <w:szCs w:val="18"/>
          <w:i w:val="1"/>
          <w:iCs w:val="1"/>
          <w:color w:val="auto"/>
        </w:rPr>
        <w:t>of Corporate Development</w:t>
      </w:r>
    </w:p>
    <w:p>
      <w:pPr>
        <w:spacing w:after="0" w:line="63" w:lineRule="exact"/>
        <w:rPr>
          <w:sz w:val="20"/>
          <w:szCs w:val="20"/>
          <w:color w:val="auto"/>
        </w:rPr>
      </w:pPr>
    </w:p>
    <w:p>
      <w:pPr>
        <w:jc w:val="center"/>
        <w:ind w:left="464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89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364"/>
        <w:spacing w:after="0" w:line="263"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June 30, 2020,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4" w:lineRule="exact"/>
        <w:rPr>
          <w:sz w:val="20"/>
          <w:szCs w:val="20"/>
          <w:color w:val="auto"/>
        </w:rPr>
      </w:pPr>
    </w:p>
    <w:p>
      <w:pPr>
        <w:ind w:left="700" w:hanging="368"/>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right="100" w:firstLine="332"/>
        <w:spacing w:after="0" w:line="527"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5, 2020</w:t>
      </w:r>
    </w:p>
    <w:p>
      <w:pPr>
        <w:spacing w:after="0" w:line="103" w:lineRule="exact"/>
        <w:rPr>
          <w:sz w:val="20"/>
          <w:szCs w:val="20"/>
          <w:color w:val="auto"/>
        </w:rPr>
      </w:pPr>
    </w:p>
    <w:p>
      <w:pPr>
        <w:jc w:val="center"/>
        <w:ind w:left="556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jc w:val="center"/>
        <w:ind w:left="556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5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56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364"/>
        <w:spacing w:after="0" w:line="263"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June 30, 2020,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4" w:lineRule="exact"/>
        <w:rPr>
          <w:sz w:val="20"/>
          <w:szCs w:val="20"/>
          <w:color w:val="auto"/>
        </w:rPr>
      </w:pPr>
    </w:p>
    <w:p>
      <w:pPr>
        <w:ind w:left="700" w:hanging="368"/>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right="100" w:firstLine="332"/>
        <w:spacing w:after="0" w:line="527"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5, 2020</w:t>
      </w:r>
    </w:p>
    <w:p>
      <w:pPr>
        <w:spacing w:after="0" w:line="103" w:lineRule="exact"/>
        <w:rPr>
          <w:sz w:val="20"/>
          <w:szCs w:val="20"/>
          <w:color w:val="auto"/>
        </w:rPr>
      </w:pPr>
    </w:p>
    <w:p>
      <w:pPr>
        <w:jc w:val="center"/>
        <w:ind w:left="556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35401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jc w:val="center"/>
        <w:ind w:left="556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56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560"/>
        <w:spacing w:after="0"/>
        <w:rPr>
          <w:sz w:val="20"/>
          <w:szCs w:val="20"/>
          <w:color w:val="auto"/>
        </w:rPr>
      </w:pPr>
      <w:r>
        <w:rPr>
          <w:rFonts w:ascii="Arial" w:cs="Arial" w:eastAsia="Arial" w:hAnsi="Arial"/>
          <w:sz w:val="18"/>
          <w:szCs w:val="18"/>
          <w:i w:val="1"/>
          <w:iCs w:val="1"/>
          <w:color w:val="auto"/>
        </w:rPr>
        <w:t>(Principal Financial Officer)</w:t>
      </w:r>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lvl w:ilvl="1">
      <w:lvlJc w:val="left"/>
      <w:lvlText w:val="(%2)"/>
      <w:numFmt w:val="lowerLetter"/>
      <w:start w:val="1"/>
    </w:lvl>
  </w:abstractNum>
  <w:abstractNum w:abstractNumId="5">
    <w:nsid w:val="4DB127F8"/>
    <w:multiLevelType w:val="hybridMultilevel"/>
    <w:lvl w:ilvl="0">
      <w:lvlJc w:val="left"/>
      <w:lvlText w:val="%1."/>
      <w:numFmt w:val="decimal"/>
      <w:start w:val="11"/>
    </w:lvl>
    <w:lvl w:ilvl="1">
      <w:lvlJc w:val="left"/>
      <w:lvlText w:val="%2"/>
      <w:numFmt w:val="lowerLetter"/>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lvl w:ilvl="1">
      <w:lvlJc w:val="left"/>
      <w:lvlText w:val="%2"/>
      <w:numFmt w:val="decimal"/>
      <w:start w:val="104"/>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2020-08-05T12:48:30Z</dcterms:created>
  <dcterms:modified xsi:type="dcterms:W3CDTF">2020-08-05T12:48:30Z</dcterms:modified>
</cp:coreProperties>
</file>