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851535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783590</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00" w:lineRule="exact"/>
        <w:rPr>
          <w:sz w:val="24"/>
          <w:szCs w:val="24"/>
          <w:color w:val="auto"/>
        </w:rPr>
      </w:pPr>
    </w:p>
    <w:p>
      <w:pPr>
        <w:ind w:left="360" w:hanging="315"/>
        <w:spacing w:after="0"/>
        <w:tabs>
          <w:tab w:leader="none" w:pos="3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jc w:val="center"/>
        <w:ind w:right="-19"/>
        <w:spacing w:after="0" w:line="190"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4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422"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29"/>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365" w:lineRule="exact"/>
        <w:rPr>
          <w:sz w:val="24"/>
          <w:szCs w:val="24"/>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360"/>
        <w:spacing w:after="0" w:line="24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1" w:lineRule="exact"/>
        <w:rPr>
          <w:sz w:val="24"/>
          <w:szCs w:val="24"/>
          <w:color w:val="auto"/>
        </w:rPr>
      </w:pPr>
    </w:p>
    <w:p>
      <w:pPr>
        <w:ind w:right="20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820" w:type="dxa"/>
        <w:tblCellMar>
          <w:top w:w="0" w:type="dxa"/>
          <w:left w:w="0" w:type="dxa"/>
          <w:bottom w:w="0" w:type="dxa"/>
          <w:right w:w="0" w:type="dxa"/>
        </w:tblCellMar>
      </w:tblPr>
      <w:tr>
        <w:trPr>
          <w:trHeight w:val="213"/>
        </w:trPr>
        <w:tc>
          <w:tcPr>
            <w:tcW w:w="222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22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5" w:lineRule="exact"/>
        <w:rPr>
          <w:sz w:val="24"/>
          <w:szCs w:val="24"/>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4, 2022, 47,222,987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1342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400" w:type="dxa"/>
            <w:vAlign w:val="bottom"/>
            <w:gridSpan w:val="2"/>
          </w:tcPr>
          <w:p>
            <w:pPr>
              <w:jc w:val="center"/>
              <w:ind w:left="232"/>
              <w:spacing w:after="0" w:line="192"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Loss</w:t>
            </w:r>
          </w:p>
        </w:tc>
        <w:tc>
          <w:tcPr>
            <w:tcW w:w="4940" w:type="dxa"/>
            <w:vAlign w:val="bottom"/>
            <w:gridSpan w:val="2"/>
          </w:tcPr>
          <w:p>
            <w:pPr>
              <w:spacing w:after="0"/>
              <w:rPr>
                <w:sz w:val="17"/>
                <w:szCs w:val="17"/>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w:t>
            </w:r>
          </w:p>
        </w:tc>
        <w:tc>
          <w:tcPr>
            <w:tcW w:w="620" w:type="dxa"/>
            <w:vAlign w:val="bottom"/>
            <w:gridSpan w:val="2"/>
          </w:tcPr>
          <w:p>
            <w:pPr>
              <w:spacing w:after="0"/>
              <w:rPr>
                <w:sz w:val="17"/>
                <w:szCs w:val="17"/>
                <w:color w:val="auto"/>
              </w:rPr>
            </w:pPr>
          </w:p>
        </w:tc>
        <w:tc>
          <w:tcPr>
            <w:tcW w:w="4940" w:type="dxa"/>
            <w:vAlign w:val="bottom"/>
            <w:gridSpan w:val="2"/>
          </w:tcPr>
          <w:p>
            <w:pPr>
              <w:spacing w:after="0"/>
              <w:rPr>
                <w:sz w:val="17"/>
                <w:szCs w:val="17"/>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5280" w:type="dxa"/>
            <w:vAlign w:val="bottom"/>
            <w:gridSpan w:val="3"/>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10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7"/>
          </w:tcPr>
          <w:p>
            <w:pPr>
              <w:spacing w:after="0"/>
              <w:rPr>
                <w:sz w:val="17"/>
                <w:szCs w:val="17"/>
                <w:color w:val="auto"/>
              </w:rPr>
            </w:pPr>
          </w:p>
        </w:tc>
        <w:tc>
          <w:tcPr>
            <w:tcW w:w="4940" w:type="dxa"/>
            <w:vAlign w:val="bottom"/>
            <w:gridSpan w:val="2"/>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0000FF"/>
              </w:rPr>
              <w:t>Legal Proceedings</w:t>
            </w:r>
          </w:p>
        </w:tc>
        <w:tc>
          <w:tcPr>
            <w:tcW w:w="400" w:type="dxa"/>
            <w:vAlign w:val="bottom"/>
            <w:gridSpan w:val="2"/>
          </w:tcPr>
          <w:p>
            <w:pPr>
              <w:jc w:val="center"/>
              <w:ind w:left="152"/>
              <w:spacing w:after="0" w:line="192" w:lineRule="exact"/>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7"/>
                <w:szCs w:val="17"/>
                <w:color w:val="auto"/>
              </w:rPr>
            </w:pPr>
          </w:p>
        </w:tc>
        <w:tc>
          <w:tcPr>
            <w:tcW w:w="7940" w:type="dxa"/>
            <w:vAlign w:val="bottom"/>
            <w:gridSpan w:val="10"/>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2"/>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tcPr>
          <w:p>
            <w:pPr>
              <w:spacing w:after="0"/>
              <w:rPr>
                <w:sz w:val="17"/>
                <w:szCs w:val="17"/>
                <w:color w:val="auto"/>
              </w:rPr>
            </w:pPr>
          </w:p>
        </w:tc>
        <w:tc>
          <w:tcPr>
            <w:tcW w:w="6940" w:type="dxa"/>
            <w:vAlign w:val="bottom"/>
            <w:gridSpan w:val="8"/>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9"/>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4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7"/>
                <w:szCs w:val="17"/>
                <w:color w:val="auto"/>
              </w:rPr>
            </w:pPr>
          </w:p>
        </w:tc>
        <w:tc>
          <w:tcPr>
            <w:tcW w:w="7940" w:type="dxa"/>
            <w:vAlign w:val="bottom"/>
            <w:gridSpan w:val="10"/>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0000FF"/>
                <w:w w:val="88"/>
              </w:rPr>
              <w:t>34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68,330</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$115 and $40,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37,437</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158,462</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45,720</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4"/>
        </w:trPr>
        <w:tc>
          <w:tcPr>
            <w:tcW w:w="82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73,243</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2"/>
        </w:trPr>
        <w:tc>
          <w:tcPr>
            <w:tcW w:w="828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47,201 and 46,880,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553,902</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(383,286)</w:t>
            </w:r>
          </w:p>
        </w:tc>
      </w:tr>
      <w:tr>
        <w:trPr>
          <w:trHeight w:val="22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170,462</w:t>
            </w:r>
          </w:p>
        </w:tc>
      </w:tr>
      <w:tr>
        <w:trPr>
          <w:trHeight w:val="24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111,004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111,671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108,593</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71,993</w:t>
            </w:r>
          </w:p>
        </w:tc>
        <w:tc>
          <w:tcPr>
            <w:tcW w:w="0" w:type="dxa"/>
            <w:vAlign w:val="bottom"/>
          </w:tcPr>
          <w:p>
            <w:pPr>
              <w:spacing w:after="0"/>
              <w:rPr>
                <w:sz w:val="1"/>
                <w:szCs w:val="1"/>
                <w:color w:val="auto"/>
              </w:rPr>
            </w:pPr>
          </w:p>
        </w:tc>
      </w:tr>
      <w:tr>
        <w:trPr>
          <w:trHeight w:val="22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71,625</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83,988</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(23,143)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0"/>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jc w:val="right"/>
              <w:ind w:right="917"/>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15"/>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ind w:right="757"/>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4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42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r>
      <w:tr>
        <w:trPr>
          <w:trHeight w:val="227"/>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(23,623)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0"/>
        </w:trPr>
        <w:tc>
          <w:tcPr>
            <w:tcW w:w="4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8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2580" w:type="dxa"/>
            <w:vAlign w:val="bottom"/>
            <w:gridSpan w:val="5"/>
            <w:vMerge w:val="continue"/>
          </w:tcPr>
          <w:p>
            <w:pPr>
              <w:spacing w:after="0"/>
              <w:rPr>
                <w:sz w:val="9"/>
                <w:szCs w:val="9"/>
                <w:color w:val="auto"/>
              </w:rPr>
            </w:pPr>
          </w:p>
        </w:tc>
        <w:tc>
          <w:tcPr>
            <w:tcW w:w="1500" w:type="dxa"/>
            <w:vAlign w:val="bottom"/>
            <w:gridSpan w:val="3"/>
            <w:vMerge w:val="restart"/>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9"/>
                <w:szCs w:val="9"/>
                <w:color w:val="auto"/>
              </w:rPr>
            </w:pPr>
          </w:p>
        </w:tc>
        <w:tc>
          <w:tcPr>
            <w:tcW w:w="12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1"/>
              <w:spacing w:after="0" w:line="125"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170,462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34"/>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34"/>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34"/>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177,837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61"/>
              <w:spacing w:after="0" w:line="120"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9"/>
              </w:rPr>
              <w:t>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134,260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left="8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center"/>
              <w:ind w:left="801"/>
              <w:spacing w:after="0"/>
              <w:rPr>
                <w:sz w:val="20"/>
                <w:szCs w:val="20"/>
                <w:color w:val="auto"/>
              </w:rPr>
            </w:pPr>
            <w:r>
              <w:rPr>
                <w:rFonts w:ascii="Times New Roman" w:cs="Times New Roman" w:eastAsia="Times New Roman" w:hAnsi="Times New Roman"/>
                <w:sz w:val="16"/>
                <w:szCs w:val="16"/>
                <w:color w:val="auto"/>
                <w:w w:val="97"/>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left="8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99"/>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left="8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544,624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center"/>
              <w:ind w:left="801"/>
              <w:spacing w:after="0"/>
              <w:rPr>
                <w:sz w:val="20"/>
                <w:szCs w:val="20"/>
                <w:color w:val="auto"/>
              </w:rPr>
            </w:pPr>
            <w:r>
              <w:rPr>
                <w:rFonts w:ascii="Times New Roman" w:cs="Times New Roman" w:eastAsia="Times New Roman" w:hAnsi="Times New Roman"/>
                <w:sz w:val="16"/>
                <w:szCs w:val="16"/>
                <w:color w:val="auto"/>
                <w:w w:val="97"/>
              </w:rPr>
              <w:t>(23)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156,780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cost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2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27"/>
        </w:trPr>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7"/>
        </w:trPr>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7"/>
        </w:trPr>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7"/>
        </w:trPr>
        <w:tc>
          <w:tcPr>
            <w:tcW w:w="82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0"/>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r>
      <w:tr>
        <w:trPr>
          <w:trHeight w:val="220"/>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0"/>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w:t>
            </w: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2920" w:type="dxa"/>
            <w:vAlign w:val="bottom"/>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8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84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7"/>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536"/>
        </w:trPr>
        <w:tc>
          <w:tcPr>
            <w:tcW w:w="8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40" w:type="dxa"/>
            <w:vAlign w:val="bottom"/>
          </w:tcPr>
          <w:p>
            <w:pPr>
              <w:spacing w:after="0"/>
              <w:rPr>
                <w:sz w:val="24"/>
                <w:szCs w:val="24"/>
                <w:color w:val="auto"/>
              </w:rPr>
            </w:pPr>
          </w:p>
        </w:tc>
      </w:tr>
      <w:tr>
        <w:trPr>
          <w:trHeight w:val="25"/>
        </w:trPr>
        <w:tc>
          <w:tcPr>
            <w:tcW w:w="8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condensed consolidated balance sheets: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65,216</w:t>
            </w:r>
          </w:p>
        </w:tc>
        <w:tc>
          <w:tcPr>
            <w:tcW w:w="12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54,553</w:t>
            </w:r>
          </w:p>
        </w:tc>
      </w:tr>
      <w:tr>
        <w:trPr>
          <w:trHeight w:val="227"/>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8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65,216</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54,764</w:t>
            </w:r>
          </w:p>
        </w:tc>
      </w:tr>
      <w:tr>
        <w:trPr>
          <w:trHeight w:val="20"/>
        </w:trPr>
        <w:tc>
          <w:tcPr>
            <w:tcW w:w="8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1"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and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w:t>
      </w:r>
    </w:p>
    <w:p>
      <w:pPr>
        <w:spacing w:after="0" w:line="139"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2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U.S. Food and Drug Administration (“FDA”) regulations and approval requirements, as well as the ability to grow the Company’s business through appropriate commercial strategies.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there has been significant volatility in our results of operations on a quarterly basis due to the widespread and periodic cancellation or delay of elective MACI surgical procedures throughout the U.S., staffing shortages and our ability to access customers.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At the outset of the pandemic, the Company put in place a comprehensive workplace protection plan, which instituted protective measures in response to the spread of the COVID-19 virus. Vericel’s workplace protection plan has closely followed guidance issued by the Centers for Disease Control and Prevention (“CDC”) and has complied with applicable federal and state law. To date, Vericel has been successful in sustaining its operations and providing MACI and Epicel to patients in need. The Company continues to review its policies and procedures regularly, including its workplace protection plan, as the pandemic evolves and the Company may take additional actions to the extent required.</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continues to manufacture MACI and Epicel and is maintaining a significant safety stock of all key raw materials. Vericel does not expect that current global supply chain interruptions will impact its ongoing manufacturing operations. Additionally, although the Company has not experienced material shipping delays, significant disruption of air travel could result in the inability to deliver MACI or Epicel final products to customer sites within appropriate timeframes, which could adversely impact the Company’s business. Currently, the Company is not aware of COVID-19 related impacts on its distributors, operations or third-party service providers’ ability to manage patient cases.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believes that a resurgence of COVID-19 because of emerging variants or other factors could result in additional disruptions that could impact our business and operations in the future, including intermittent restrictions on the ability of the Company’s personnel to travel and access customers for selling, marketing, training and case support and product development feedback, delays in approvals by regulatory bodies, delays in product development efforts, and additional government requirements or other incremental mitigation efforts that may further impact the Company’s capacity to manufacture, sell and support the use of our products.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22222"/>
        </w:rPr>
        <w:t>The War in Ukraine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exposure to distributors, or third-party service providers in Russia or Ukraine, it is unable to predict the ultimate impact that these actions will have on the global economy or on its financial condition, results of operations, and cash flows as of the date of these unaudited condensed consolidated financial statements.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2022, the Company had an accumulated deficit of </w:t>
      </w:r>
      <w:r>
        <w:rPr>
          <w:rFonts w:ascii="Times New Roman" w:cs="Times New Roman" w:eastAsia="Times New Roman" w:hAnsi="Times New Roman"/>
          <w:sz w:val="18"/>
          <w:szCs w:val="18"/>
          <w:color w:val="222222"/>
        </w:rPr>
        <w:t>$405.9 million</w:t>
      </w:r>
      <w:r>
        <w:rPr>
          <w:rFonts w:ascii="Times New Roman" w:cs="Times New Roman" w:eastAsia="Times New Roman" w:hAnsi="Times New Roman"/>
          <w:sz w:val="18"/>
          <w:szCs w:val="18"/>
          <w:color w:val="000000"/>
        </w:rPr>
        <w:t xml:space="preserve"> and had a </w:t>
      </w:r>
      <w:r>
        <w:rPr>
          <w:rFonts w:ascii="Times New Roman" w:cs="Times New Roman" w:eastAsia="Times New Roman" w:hAnsi="Times New Roman"/>
          <w:sz w:val="18"/>
          <w:szCs w:val="18"/>
          <w:color w:val="222222"/>
        </w:rPr>
        <w:t>net loss of $22.6 million during the nine</w:t>
      </w:r>
      <w:r>
        <w:rPr>
          <w:rFonts w:ascii="Times New Roman" w:cs="Times New Roman" w:eastAsia="Times New Roman" w:hAnsi="Times New Roman"/>
          <w:sz w:val="18"/>
          <w:szCs w:val="18"/>
          <w:color w:val="000000"/>
        </w:rPr>
        <w:t xml:space="preserve"> months ended </w:t>
      </w:r>
      <w:r>
        <w:rPr>
          <w:rFonts w:ascii="Times New Roman" w:cs="Times New Roman" w:eastAsia="Times New Roman" w:hAnsi="Times New Roman"/>
          <w:sz w:val="18"/>
          <w:szCs w:val="18"/>
          <w:color w:val="222222"/>
        </w:rPr>
        <w:t>September 30, 2022.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Company had cash and cash equivalents of $65.2 million and investments of $67.5 million as of September 30, 2022. The Company expects that cash from the sales of its products and existing cash, cash equivalents, investments, and available borrowing capacity will be sufficient to support the Company’s current operations through at least 12 months from the issuance of these condensed consolidated financial statements. The effects of the COVID-19 pandemic continue to evolve, however. To the extent the U.S. experiences a worsening in COVID-19 infections or additional virus variants emerge that result in more serious disease or limit the effectiveness of existing vaccines, subsequent healthcare measures – to include the postponement or cessation of elective and other surgical procedures – may cause the Company to experience a reduction in business and resulting revenue. This, consequently, may result in irrecoverable losses of customers and significantly impact the Company’s long-term liquidity, potentially requiring the Company to engage in layoffs, furloughs and/or reductions in salaries. The Company also may need to access additional capital; however, the Company may not be able to obtain additional financing on acceptable terms or at all, particularly in light of the impact of COVID-19 on the global economy and financial markets. The terms of any additional financing may adversely affect the holdings or the rights of the Company’s shareholders.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accompanying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of Vericel are unaudited and have been prepared in accordance with the rules and regulations of the U.S. Securities and Exchange Commission (“SEC”). The preparation of </w:t>
      </w:r>
      <w:r>
        <w:rPr>
          <w:rFonts w:ascii="Times New Roman" w:cs="Times New Roman" w:eastAsia="Times New Roman" w:hAnsi="Times New Roman"/>
          <w:sz w:val="18"/>
          <w:szCs w:val="18"/>
          <w:color w:val="222222"/>
        </w:rPr>
        <w:t>condensed consolidated financial statements</w:t>
      </w:r>
      <w:r>
        <w:rPr>
          <w:rFonts w:ascii="Times New Roman" w:cs="Times New Roman" w:eastAsia="Times New Roman" w:hAnsi="Times New Roman"/>
          <w:sz w:val="18"/>
          <w:szCs w:val="18"/>
          <w:color w:val="auto"/>
        </w:rPr>
        <w:t xml:space="preserve"> in conformity with U.S. generally accepted accounting principles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the Company’s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the COVID-19 pandemic and the actions taken to continue to contain or treat COVID-19, as well as the economic impact on its customers. The Company has made estimates of the impact of the COVID-19 pandemic within these financial statements and there may be changes to those estimates in future periods. Actual results may differ from these estimates. As of September 30, 2022, the Company has not recorded impairments to investments, inventory, other current assets or long-lived assets as a result of the COVID-19 pandemic.</w:t>
      </w:r>
    </w:p>
    <w:p>
      <w:pPr>
        <w:spacing w:after="0" w:line="21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should be read in conjunction with the audited consolidated financial statements and the notes thereto included in the Company’s Annual Report on Form 10-K for the year ended December 31, 2021, as filed with the SEC on February 24, 2022 (“Annual Report”).</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No new accounting standards were adopted during the nine months ended September 30, 2022. The Company considers the applicability and impact of any recent Accounting Standards Update (“ASU”) issued by the Financial Accounting Standards Board (“FASB”). Based on the assessment, the ASU’s were determined to be either not applicable or are expected to have minimal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other sources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 party to provide services in connection with a patient support program to manage patient cases and to ensure complete and correct billing information is provided to the insurers and hospitals. In addition, the Company also sells MACI directly to DMS Pharmaceutical Group, Inc.(“DMS”) for patients treated at military treatment facilities. The sales directly to DMS are made at a contracted rate.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 receivables based on similar risk characteristics. The loss percentage is calculated through the use of forecasts that are based on current and historical economic and financial information. This loss percentage was applied to the accounts receivables as of September 30, 2022. The total allowance for uncollectible consideration as of September 30, 2022 and December 31, 2021 was $6.3 million and $7.0 million, respectively. Changes to the estimate of the amount of consideration that will not be collected could have a material impact on the revenue recognized. A 50 basis points change to the estimated uncollectible percentage could result in an approximately $0.3 million decrease or increase in the revenue recognized for the nine months ended September 30, 2022.</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since 2020 the U.S. Biomedical Advanced Research and Development Authority (“BARDA”) has been procuring NexoBrid from MediWound for use as a medial countermeasure in the event of a mass casualty emergency in the U.S. involving thermal burns. That quarterly procurement of NexoBrid by BARDA under its agreement with MediWound completed during the third quarter of 2022, although BARDA holds an option to procure additional quantities of NexoBrid for emergency response preparedness in the future. As of September 30, 2022, the Company did not hold a direct contract or distribution agreement with BARDA, or take title to the product procured by BARDA. The Company recognizes revenue based on a percentage of gross profits for sales of NexoBrid to BARDA upon delivery, at which time BARDA is in control of the product.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w:t>
      </w:r>
    </w:p>
    <w:p>
      <w:pPr>
        <w:spacing w:after="0" w:line="307"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rates sold through a specialty pharmacy </w:t>
            </w:r>
            <w:r>
              <w:rPr>
                <w:rFonts w:ascii="Times New Roman" w:cs="Times New Roman" w:eastAsia="Times New Roman" w:hAnsi="Times New Roman"/>
                <w:sz w:val="23"/>
                <w:szCs w:val="23"/>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46,547</w:t>
            </w:r>
          </w:p>
        </w:tc>
        <w:tc>
          <w:tcPr>
            <w:tcW w:w="0" w:type="dxa"/>
            <w:vAlign w:val="bottom"/>
          </w:tcPr>
          <w:p>
            <w:pPr>
              <w:spacing w:after="0"/>
              <w:rPr>
                <w:sz w:val="1"/>
                <w:szCs w:val="1"/>
                <w:color w:val="auto"/>
              </w:rPr>
            </w:pPr>
          </w:p>
        </w:tc>
      </w:tr>
      <w:tr>
        <w:trPr>
          <w:trHeight w:val="179"/>
        </w:trPr>
        <w:tc>
          <w:tcPr>
            <w:tcW w:w="6000" w:type="dxa"/>
            <w:vAlign w:val="bottom"/>
            <w:gridSpan w:val="2"/>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Implants subject to third-party reimbursement sold through a specialty</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00" w:type="dxa"/>
            <w:vAlign w:val="bottom"/>
            <w:gridSpan w:val="2"/>
            <w:shd w:val="clear" w:color="auto" w:fill="CCEEFF"/>
          </w:tcPr>
          <w:p>
            <w:pPr>
              <w:ind w:left="220"/>
              <w:spacing w:after="0" w:line="235"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0"/>
        </w:trPr>
        <w:tc>
          <w:tcPr>
            <w:tcW w:w="600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74,203</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0" w:type="dxa"/>
            <w:vAlign w:val="bottom"/>
          </w:tcPr>
          <w:p>
            <w:pPr>
              <w:spacing w:after="0"/>
              <w:rPr>
                <w:sz w:val="1"/>
                <w:szCs w:val="1"/>
                <w:color w:val="auto"/>
              </w:rPr>
            </w:pPr>
          </w:p>
        </w:tc>
      </w:tr>
      <w:tr>
        <w:trPr>
          <w:trHeight w:val="107"/>
        </w:trPr>
        <w:tc>
          <w:tcPr>
            <w:tcW w:w="5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45"/>
        </w:trPr>
        <w:tc>
          <w:tcPr>
            <w:tcW w:w="6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5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500" w:right="80" w:hanging="235"/>
        <w:spacing w:after="0"/>
        <w:tabs>
          <w:tab w:leader="none" w:pos="46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09" w:lineRule="exact"/>
        <w:rPr>
          <w:rFonts w:ascii="Times New Roman" w:cs="Times New Roman" w:eastAsia="Times New Roman" w:hAnsi="Times New Roman"/>
          <w:sz w:val="14"/>
          <w:szCs w:val="14"/>
          <w:color w:val="auto"/>
        </w:rPr>
      </w:pPr>
    </w:p>
    <w:p>
      <w:pPr>
        <w:ind w:left="500" w:right="80" w:hanging="235"/>
        <w:spacing w:after="0" w:line="254" w:lineRule="auto"/>
        <w:tabs>
          <w:tab w:leader="none" w:pos="48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or AllCare whereby such specialty pharmacy does not have a direct contract with the underlying payer. The amount of reimbursement is established based on publicly available rates, fee schedules or past payer precedents.</w:t>
      </w:r>
    </w:p>
    <w:p>
      <w:pPr>
        <w:spacing w:after="0" w:line="99" w:lineRule="exact"/>
        <w:rPr>
          <w:rFonts w:ascii="Times New Roman" w:cs="Times New Roman" w:eastAsia="Times New Roman" w:hAnsi="Times New Roman"/>
          <w:sz w:val="14"/>
          <w:szCs w:val="14"/>
          <w:color w:val="auto"/>
        </w:rPr>
      </w:pPr>
    </w:p>
    <w:p>
      <w:pPr>
        <w:ind w:left="500" w:right="80" w:hanging="235"/>
        <w:spacing w:after="0" w:line="25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99" w:lineRule="exact"/>
        <w:rPr>
          <w:rFonts w:ascii="Times New Roman" w:cs="Times New Roman" w:eastAsia="Times New Roman" w:hAnsi="Times New Roman"/>
          <w:sz w:val="14"/>
          <w:szCs w:val="14"/>
          <w:color w:val="auto"/>
        </w:rPr>
      </w:pPr>
    </w:p>
    <w:p>
      <w:pPr>
        <w:ind w:left="500" w:right="80" w:hanging="235"/>
        <w:spacing w:after="0" w:line="254" w:lineRule="auto"/>
        <w:tabs>
          <w:tab w:leader="none" w:pos="46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12" w:lineRule="exact"/>
        <w:rPr>
          <w:rFonts w:ascii="Times New Roman" w:cs="Times New Roman" w:eastAsia="Times New Roman" w:hAnsi="Times New Roman"/>
          <w:sz w:val="14"/>
          <w:szCs w:val="14"/>
          <w:color w:val="auto"/>
        </w:rPr>
      </w:pPr>
    </w:p>
    <w:p>
      <w:pPr>
        <w:jc w:val="both"/>
        <w:ind w:left="420" w:right="80" w:hanging="155"/>
        <w:spacing w:after="0" w:line="256" w:lineRule="auto"/>
        <w:tabs>
          <w:tab w:leader="none" w:pos="46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 upon completion of the billing claims process. The change in estimates is a result of additional information, changes in collection expectations or actual cash collections received in the current period.</w:t>
      </w:r>
    </w:p>
    <w:p>
      <w:pPr>
        <w:spacing w:after="0" w:line="111" w:lineRule="exact"/>
        <w:rPr>
          <w:rFonts w:ascii="Times New Roman" w:cs="Times New Roman" w:eastAsia="Times New Roman" w:hAnsi="Times New Roman"/>
          <w:sz w:val="14"/>
          <w:szCs w:val="14"/>
          <w:color w:val="auto"/>
        </w:rPr>
      </w:pPr>
    </w:p>
    <w:p>
      <w:pPr>
        <w:ind w:left="440" w:hanging="175"/>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based on a percentage of gross profits for sales of NexoBrid to BARDA, pursuant to the license agreement between the Company and MediWound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September 30, 2022, there were no customers with a total revenue concentration greater than 10%. For the three and nine months ended September 30, 2021, the Company’s total revenue concentration from an Epicel customer was 9% and 11%, respectively. For the Company’s total accounts receivable balances, there were no customers as of September 30, 2022 or December 31, 2021, with a concentration greater than 10%.</w:t>
      </w:r>
    </w:p>
    <w:p>
      <w:pPr>
        <w:spacing w:after="0" w:line="204" w:lineRule="exact"/>
        <w:rPr>
          <w:sz w:val="20"/>
          <w:szCs w:val="20"/>
          <w:color w:val="auto"/>
        </w:rPr>
      </w:pPr>
    </w:p>
    <w:p>
      <w:pPr>
        <w:ind w:left="240" w:right="8320" w:hanging="233"/>
        <w:spacing w:after="0" w:line="528" w:lineRule="auto"/>
        <w:tabs>
          <w:tab w:leader="none" w:pos="17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Selected Balance Sheet Components </w:t>
      </w:r>
      <w:r>
        <w:rPr>
          <w:rFonts w:ascii="Times New Roman" w:cs="Times New Roman" w:eastAsia="Times New Roman" w:hAnsi="Times New Roman"/>
          <w:sz w:val="18"/>
          <w:szCs w:val="18"/>
          <w:i w:val="1"/>
          <w:iCs w:val="1"/>
          <w:color w:val="auto"/>
        </w:rPr>
        <w:t>Inventory</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as of September 30, 2022 and December 31, 2021: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0"/>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as of September 30, 2022 and December 31, 2021: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2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2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0" w:type="dxa"/>
            <w:vAlign w:val="bottom"/>
          </w:tcPr>
          <w:p>
            <w:pPr>
              <w:spacing w:after="0"/>
              <w:rPr>
                <w:sz w:val="1"/>
                <w:szCs w:val="1"/>
                <w:color w:val="auto"/>
              </w:rPr>
            </w:pPr>
          </w:p>
        </w:tc>
      </w:tr>
      <w:tr>
        <w:trPr>
          <w:trHeight w:val="245"/>
        </w:trPr>
        <w:tc>
          <w:tcPr>
            <w:tcW w:w="7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2022 was $1.0 million and $2.9 million, respectively, and $0.7 million and $2.2 million, respectively, for the same periods in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as of September 30, 2022 and December 31, 2021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5"/>
        </w:trPr>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term of the Burlington Lease is currently expected to begin in 2023, 12 months following the landlord’s commencement of construction of the core and shell of the building in which the Premises are located (the “Commencement Date”).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$25.1 million in total, towards the design and construction of certain tenant improvements made to the Premises, subject to the terms set forth in the Burlington Lease.</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is not involved in the initial construction of the core and shell of the building and will record the lease liability and right-of-use asset on its condensed consolidated balance sheet when the construction is substantially completed and it obtains control of the Premises, which is currently expected to be on or around the Commencement Date.</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2022 and 2021, lease expense of less than $0.1 million was recorded related to short-term leases. </w:t>
      </w:r>
      <w:r>
        <w:rPr>
          <w:rFonts w:ascii="Times New Roman" w:cs="Times New Roman" w:eastAsia="Times New Roman" w:hAnsi="Times New Roman"/>
          <w:sz w:val="18"/>
          <w:szCs w:val="18"/>
          <w:color w:val="222222"/>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the three and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22222"/>
        </w:rPr>
        <w:t xml:space="preserve">, the Company recognized $1.7 million and $5.2 million, respectively, of operating lease expense and $1.8 million and $5.5 million, respectively, for the same periods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For the three and nine months ended </w:t>
      </w:r>
      <w:r>
        <w:rPr>
          <w:rFonts w:ascii="Times New Roman" w:cs="Times New Roman" w:eastAsia="Times New Roman" w:hAnsi="Times New Roman"/>
          <w:sz w:val="18"/>
          <w:szCs w:val="18"/>
          <w:color w:val="000000"/>
        </w:rPr>
        <w:t>September 30, 2022 and</w:t>
      </w:r>
      <w:r>
        <w:rPr>
          <w:rFonts w:ascii="Times New Roman" w:cs="Times New Roman" w:eastAsia="Times New Roman" w:hAnsi="Times New Roman"/>
          <w:sz w:val="18"/>
          <w:szCs w:val="18"/>
          <w:color w:val="222222"/>
        </w:rPr>
        <w:t xml:space="preserve"> 2021,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7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344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80" w:type="dxa"/>
            <w:vAlign w:val="bottom"/>
            <w:vMerge w:val="restart"/>
          </w:tcPr>
          <w:p>
            <w:pPr>
              <w:jc w:val="right"/>
              <w:ind w:right="189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0" w:type="dxa"/>
            <w:vAlign w:val="bottom"/>
          </w:tcPr>
          <w:p>
            <w:pPr>
              <w:spacing w:after="0"/>
              <w:rPr>
                <w:sz w:val="1"/>
                <w:szCs w:val="1"/>
                <w:color w:val="auto"/>
              </w:rPr>
            </w:pPr>
          </w:p>
        </w:tc>
      </w:tr>
      <w:tr>
        <w:trPr>
          <w:trHeight w:val="220"/>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granted service-based options to purchase common stock of 42,890 and 1,206,539, respectively, and 189,882 and 1,663,954, respectively, for the same periods in 2021. The weighted-average grant-date fair value of service-based options granted during the three and nine months ended September 30, 2022 was $15.58 and $20.55 per option, respectively, and $35.65 and $33.03, respectively, for the same periods in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granted 16,734 and 399,502 restricted stock units, respectively, and 22,310 and 263,364, respectively, for the same periods in 2021. The weighted-average grant-date fair value of restricted stock units granted during the three and nine months ended September 30, 2022 was $27.52 and $34.35 per unit, respectively, and $54.35 and $52.19, respectively, for the same periods in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249"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67,463</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right="80" w:firstLine="240"/>
        <w:spacing w:after="0" w:line="262" w:lineRule="auto"/>
        <w:rPr>
          <w:sz w:val="20"/>
          <w:szCs w:val="20"/>
          <w:color w:val="auto"/>
        </w:rPr>
      </w:pPr>
      <w:r>
        <w:rPr>
          <w:rFonts w:ascii="Times New Roman" w:cs="Times New Roman" w:eastAsia="Times New Roman" w:hAnsi="Times New Roman"/>
          <w:sz w:val="18"/>
          <w:szCs w:val="18"/>
          <w:color w:val="auto"/>
        </w:rPr>
        <w:t>As of September 30, 2022 and December 31, 2021, all marketable securities held by the Company had remaining contractual maturities of three years or less. There have been no impairments of the Company’s assets measured and carried at fair value during the three and nine months ended September 30, 2022 and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47"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right="80" w:hanging="313"/>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100" w:hanging="313"/>
        <w:spacing w:after="0" w:line="25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right="80" w:firstLine="240"/>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2021 to September 30, 2022.</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31750</wp:posOffset>
            </wp:positionV>
            <wp:extent cx="2516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31750</wp:posOffset>
            </wp:positionV>
            <wp:extent cx="2533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760" w:space="720"/>
            <w:col w:w="2760"/>
          </w:cols>
          <w:pgMar w:left="320" w:top="117" w:right="3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80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20" w:firstLine="247"/>
        <w:spacing w:after="0" w:line="293" w:lineRule="auto"/>
        <w:tabs>
          <w:tab w:leader="none" w:pos="379"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$6.3 million and $8.0 million of commercial paper had an original maturity of 90 days or less and was recorded as a cash equivalent as of September 30, 2022 and December 31, 2021.</w:t>
      </w:r>
    </w:p>
    <w:p>
      <w:pPr>
        <w:spacing w:after="0" w:line="198"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Credit Agreement</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September 30, 2022, there are no outstanding borrowings under the Revolving Credit Agreement.</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27"/>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40" w:type="dxa"/>
            <w:vAlign w:val="bottom"/>
            <w:tcBorders>
              <w:bottom w:val="single" w:sz="8" w:color="auto"/>
            </w:tcBorders>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32"/>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1"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June 29, 2021, the Company announced that MediWound had received a complete response letter (“CRL”) from the U.S. Food &amp; Drug Administration (“FDA”) with respect to a biologics license application (“BLA”), which MediWound had previously submitted to the FDA seeking marketing approval for the product in the U.S. As part of the CRL, the FDA communicated to MediWound that it had completed its review of the BLA, as amended, and had determined that it could not approve the BLA in its then form. The Company has continued to work with MediWound, BARDA and the FDA to address the issues identified in the CRL. On July 1, 2022, the Company and MediWound submitted a BLA resubmission to the FDA to address and respond to the issues identified by the FDA in the CRL. Subsequently, the FDA informed the Company that it has accepted the resubmission for review and has established a Prescription Drug User Fee Act (“PDUFA”) date for completing that review of January 1, 2023.</w:t>
      </w:r>
    </w:p>
    <w:p>
      <w:pPr>
        <w:spacing w:after="0" w:line="20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the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Company is also obligated to pay MediWound $7.5 million, which is contingent upon U.S. regulatory approval of the BLA for NexoBrid and up to $125.0 million, which is contingent upon meeting certain sales milestones. The first sales milestone of $7.5 million would be triggered when annual net sales of NexoBrid or improvements to it in North America exceed $75.0 million. As of September 30, 2022, the milestone payments are not yet probable and therefore, not recorded as a liability. The Company also will pay MediWound tiered royalties on net sales ranging from mid-high single-digit to mid-teen percentages, subject to customary reductions.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the Company’s supply agreement with MediWound, MediWound will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Since 2020, BARDA has been procuring NexoBrid from MediWound for use as a medical countermeasure in the event of a mass casualty emergency in the U.S. involving thermal burns. That quarterly procurement of NexoBrid by BARDA under its agreement with MediWound completed during the third quarter of 2022, although BARDA holds an option to procure additional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quantities of NexoBrid in the future for emergency response preparedness. As a part of BARDA’s commitment to procure NexoBrid, the Company has received a percentage of gross profit for sales directly to BARDA. If, in the future, BARDA procures NexoBrid directly from Vericel, the Company will pay a percentage of gross profits to MediWound on initial committed amounts and a royalty on any additional BARDA purchases of NexoBrid beyond the initial committed amount. As of September 30, 2022, the Company does not hold a direct contract or distribution agreement with BARDA.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September 30, 2022,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for the sports medicine and severe burn care markets. We currently market two U.S. Food and Drug Administration (“FDA”) approved autologous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eschar removal or debridement of severe thermal burns. In 2020, MediWound submitted to the FDA a biologics license application (“BLA”) seeking the approval of NexoBrid for the treatment of adult patients suffering from deep partial-thickness and/or full-thickness thermal burns. The FDA accepted the BLA for filing and assigned a Prescription Drug User Fee Act (“PDUFA”) target date of June 29, 2021. Thereafter, on June 29, 2021, MediWound received a complete response letter (“CRL”) from the FDA regarding the BLA through which the FDA communicated to MediWound that it had completed its review of the BLA, as amended, and had determined that it could not approve the BLA in its then form. We have continued to work with MediWound, BARDA and the FDA to address the issues identified in the CRL. On July 1, 2022, Vericel and MediWound submitted a BLA resubmission to the FDA seeking the potential approval of NexoBrid. Subsequently, the FDA informed us that it has accepted the resubmission for review and has established a PDUFA date for completing that review of January 1, 2023.</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This pandemic has contributed to an economic downturn on a global scale, as well as significant volatility in the financial markets. Since the pandemic’s inception, there has been significant volatility in our results of operations on a quarterly basis due to the widespread and periodic cancellation or delay of elective MACI surgical procedures throughout the U.S., staffing shortages and our ability to access customers.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the spread of the COVID-19 virus. Our workplace protection plan has closely followed guidance issued by the Centers for Disease Control and Prevention (“CDC”) and has complied with applicable federal and state law. To date, we have been successful in sustaining our operations and providing MACI and Epicel to patients in need. We continue to review our policies and procedures regularly, including our workplace protection plan, as the pandemic evolves and we may take additional actions to the extent required.</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continue to manufacture MACI and Epicel and are maintaining a significant safety stock of all key raw materials. We do not expect that current global supply chain interruptions will impact our ongoing manufacturing operations. Additionally, although we have not experienced material shipping delays, significant disruption of air travel could result in the inability to deliver MACI or Epicel final products to customer sites within appropriate timeframes, which could adversely impact our business. Currently, we are not aware of COVID-19 related impacts on our distributors, operations or third-party service providers’ ability to manage patient cases.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that a resurgence of COVID-19 because of emerging variants or other factors could result in additional disruptions that could impact our business and operations in the future, including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resulted in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unaudited condensed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Both products are currently marketed in the U.S. In addition, we have entered into exclusive license and supply agreements with MediWound to commercialize NexoBrid in North America, if approved by the FDA.</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 of U.S. physicians is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75 MACI sales representatives to enable the sales force to reach our target audience. Most private payers have a medical policy that covers treatment with MACI with the 30 largest commercial payers having a formal medical policy for MACI or ACI in general. With respect to private commercial payers that have not yet approved a medical policy for MACI, we often obtain approval on a case-by-case basis.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of TBSA. Epicel is regulated by the Center for Biologics Evaluation and Research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9"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30 times larger than the volume of grafts sold in 2021. We currently have a fifteen person burn field force comprised of seven account managers and eight burn clinical specialists, led by two regional directors, a national account development director and one national sales director.</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ind w:right="100" w:firstLine="240"/>
        <w:spacing w:after="0" w:line="257" w:lineRule="auto"/>
        <w:rPr>
          <w:sz w:val="20"/>
          <w:szCs w:val="20"/>
          <w:color w:val="auto"/>
        </w:rPr>
      </w:pPr>
      <w:r>
        <w:rPr>
          <w:rFonts w:ascii="Times New Roman" w:cs="Times New Roman" w:eastAsia="Times New Roman" w:hAnsi="Times New Roman"/>
          <w:sz w:val="18"/>
          <w:szCs w:val="18"/>
          <w:color w:val="auto"/>
        </w:rPr>
        <w:t>Our development portfolio includes NexoBrid, a registration-stage, topically-administered biological product that enzymatically removes nonviable burn tissue, or eschar, in patients with deep partial and full-thickness thermal burns. We have entered into exclusive license and supply agreements with MediWound to commercialize NexoBrid and any improvements to the product in North America, if approved. On June 29, 2021, the Company announced that MediWound had received a CRL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from the FDA with respect to the BLA, which MediWound had previously submitted to the FDA seeking marketing approval for the product in the U.S. As part of the CRL, the FDA communicated to MediWound that it had completed its review of the BLA, as amended, and had determined that it could not approve the BLA in its then form. We have continued to work with MediWound, BARDA and the FDA to address the issues identified in the CRL. On July 1, 2022, Vericel and MediWound submitted a BLA resubmission to the FDA to address and respond to the issues identified by the FDA in the CRL. Subsequently, the FDA informed us that is has accepted the resubmission for review and has established a Prescription Drug User Fee Act (“PDUFA”) date for completing that review of January 1, 2023.</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Pursuant to the terms of our existing license agreement, if the BLA is approved, MediWound will transfer the BLA to us and we will market NexoBrid in the U.S. Both MediWound and Vericel, under the supervision of a Central Steering Committee comprised of members of both companies will continue to guide development of NexoBrid in North America. Under our license agreement with MediWound, since 2020 NexoBrid has been manufactured for BARDA prior to approval by the FDA under an emergency use authorization. Additional quantities of NexoBrid may be manufactured for BARDA in the future pursuant to the terms of its agreement with MediWound.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7"/>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0" w:type="dxa"/>
            <w:vAlign w:val="bottom"/>
          </w:tcPr>
          <w:p>
            <w:pPr>
              <w:spacing w:after="0"/>
              <w:rPr>
                <w:sz w:val="1"/>
                <w:szCs w:val="1"/>
                <w:color w:val="auto"/>
              </w:rPr>
            </w:pPr>
          </w:p>
        </w:tc>
      </w:tr>
      <w:tr>
        <w:trPr>
          <w:trHeight w:val="227"/>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2022 and 2021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for the three and nine months ended September 30, 2022 and 2021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4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7"/>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7"/>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0"/>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Total revenue increase for the three and nine months ended September 30, 2022 compared to the same periods in 2021, was driven by MACI volume and price growth, offset primarily by lower Epicel volume and lower revenue associated with the delivery of NexoBrid to BARDA for emergency response preparedness.</w:t>
      </w:r>
    </w:p>
    <w:p>
      <w:pPr>
        <w:spacing w:after="0" w:line="201"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 effects of the ongoing COVID-19 pandemic have disrupted the normal seasonality of our MACI business at times over the past thirty-one months. These effects have included, among others, periodic restrictions on the performance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clinical account specialists to call on surgeon customers. Over the last five years, ACI (MACI and Carticel prior to replacement) sales volumes from the first through the fourth quarter on average represented 19% (16%-21% range), 22% (16%-25% range), 23% (21%-26% range) and 36% (33%-38% range) respectively, of total annual volumes. MACI orders are normally stronger in the fourth quarter due to several factors including the satisfaction by patients of insurance deductible limits and the time of year patients prefer to start rehabilitation. Because of the effects of the COVID-19 pandemic, the MACI business seasonality in 2021 and 2020 did not follow our historical patterns, and while 2022 thus far has seen a return to more normal MACI ordering patterns, seasonality in 2022 could again be impacted by COVID-19 related factors. Due to the low incidence and variable occurrence of severe burns, Epicel revenue has inherent variability from quarter-to-quarter and does not exhibit significant seasonality.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5" w:lineRule="exact"/>
        <w:rPr>
          <w:sz w:val="20"/>
          <w:szCs w:val="20"/>
          <w:color w:val="auto"/>
        </w:rPr>
      </w:pPr>
    </w:p>
    <w:p>
      <w:pPr>
        <w:ind w:right="360" w:firstLine="240"/>
        <w:spacing w:after="0" w:line="261" w:lineRule="auto"/>
        <w:rPr>
          <w:sz w:val="20"/>
          <w:szCs w:val="20"/>
          <w:color w:val="auto"/>
        </w:rPr>
      </w:pPr>
      <w:r>
        <w:rPr>
          <w:rFonts w:ascii="Times New Roman" w:cs="Times New Roman" w:eastAsia="Times New Roman" w:hAnsi="Times New Roman"/>
          <w:sz w:val="18"/>
          <w:szCs w:val="18"/>
          <w:color w:val="auto"/>
        </w:rPr>
        <w:t>Gross profit increased for the three months ended September 30, 2022 compared to the same period in 2021, driven by higher MACI volume and price growth, offset by lower Epicel labor utilization, raw material price increases and higher external storage and manufacturing facility costs.</w:t>
      </w:r>
    </w:p>
    <w:p>
      <w:pPr>
        <w:spacing w:after="0" w:line="190" w:lineRule="exact"/>
        <w:rPr>
          <w:sz w:val="20"/>
          <w:szCs w:val="20"/>
          <w:color w:val="auto"/>
        </w:rPr>
      </w:pPr>
    </w:p>
    <w:p>
      <w:pPr>
        <w:ind w:right="600" w:firstLine="240"/>
        <w:spacing w:after="0" w:line="261" w:lineRule="auto"/>
        <w:rPr>
          <w:sz w:val="20"/>
          <w:szCs w:val="20"/>
          <w:color w:val="auto"/>
        </w:rPr>
      </w:pPr>
      <w:r>
        <w:rPr>
          <w:rFonts w:ascii="Times New Roman" w:cs="Times New Roman" w:eastAsia="Times New Roman" w:hAnsi="Times New Roman"/>
          <w:sz w:val="18"/>
          <w:szCs w:val="18"/>
          <w:color w:val="auto"/>
        </w:rPr>
        <w:t>Gross profit was similar for the nine months ended September 30, 2022 compared to the same period in 2021, as lower Epicel labor utilization, raw material price increases and higher external storage and manufacturing facility costs offset higher MACI volume.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ind w:right="76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license fees,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7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7"/>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53"/>
        </w:trPr>
        <w:tc>
          <w:tcPr>
            <w:tcW w:w="308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7"/>
                <w:szCs w:val="17"/>
                <w:color w:val="auto"/>
              </w:rPr>
              <w:t>Total research and development</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3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3"/>
                <w:szCs w:val="13"/>
                <w:color w:val="auto"/>
              </w:rPr>
            </w:pPr>
          </w:p>
        </w:tc>
        <w:tc>
          <w:tcPr>
            <w:tcW w:w="2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3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3"/>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were $5.0 million, compared to $4.3 million for the same period in 2021. Research and development costs continue to be centered around process development, and regulatory and medical affairs for MACI and Epicel. The increase is primarily due to increased headcount and stock-based compensation expense.</w:t>
      </w:r>
    </w:p>
    <w:p>
      <w:pPr>
        <w:spacing w:after="0" w:line="203"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2022 were $14.7 million, compared to $12.4 million for the same period in 2021. The increase is primarily due to an increase of $0.9 million in stock-based compensation expense, additional spend on the design of instruments to be used in connection with the potential arthroscopic delivery of MACI to the knee, if approved by the FDA, and increased headcount, partially offset by reimbursement of expenses related to the BLA resubmission.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2022 were $27.0 million compared to $22.8 million for the same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2021. The increase in selling, general and administrative expenses was primarily due to an increase of $0.6 million in stock-based compensation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increased headcount, an increase in travel and in-person events including more physician engagement and educational programs in addition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depreciation related to the new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space in Cambridge, Massachusetts.</w:t>
      </w:r>
    </w:p>
    <w:p>
      <w:pPr>
        <w:spacing w:after="0" w:line="228"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2022 were $80.0 million compared to $71.6 million for the same period in 2021. The increase in selling, general and administrative expenses was primarily due to an increase of $2.4 million in stock-based compensation expenses, increased headcount, an increase in travel and in-person events including more physician engagement and educational programs in addition to higher depreciation related to the new office space in Cambridge, Massachusetts.</w:t>
      </w: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49"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change in other income (expense) for the three and nine months ended September 30, 2022, compared to the same periods in 2021 was due primarily to fluctuations in the rates of return on our investments in various marketable debt securities and interest expense related to our Revolving Credit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2022, less than $0.02 million income tax expense was recorded and no expense for income taxes was recognized for the same period in 2021. Less than $0.02 million income tax expense was recorded for the nine months ended September 30, 2022, compared to $0.2 million recorded for the nine months ended September 30, 2021, respectively.</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5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6"/>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173"/>
        </w:trPr>
        <w:tc>
          <w:tcPr>
            <w:tcW w:w="25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6"/>
              </w:rPr>
              <w:t>635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153"/>
        </w:trPr>
        <w:tc>
          <w:tcPr>
            <w:tcW w:w="258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7"/>
                <w:szCs w:val="17"/>
                <w:color w:val="auto"/>
              </w:rPr>
              <w:t>Total non-cash stock-based</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3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center"/>
              <w:ind w:left="255"/>
              <w:spacing w:after="0"/>
              <w:rPr>
                <w:sz w:val="20"/>
                <w:szCs w:val="20"/>
                <w:color w:val="auto"/>
              </w:rPr>
            </w:pPr>
            <w:r>
              <w:rPr>
                <w:rFonts w:ascii="Times New Roman" w:cs="Times New Roman" w:eastAsia="Times New Roman" w:hAnsi="Times New Roman"/>
                <w:sz w:val="18"/>
                <w:szCs w:val="18"/>
                <w:color w:val="auto"/>
                <w:w w:val="96"/>
              </w:rPr>
              <w:t>508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3"/>
                <w:szCs w:val="13"/>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29,443</w:t>
            </w:r>
          </w:p>
        </w:tc>
        <w:tc>
          <w:tcPr>
            <w:tcW w:w="120" w:type="dxa"/>
            <w:vAlign w:val="bottom"/>
          </w:tcPr>
          <w:p>
            <w:pPr>
              <w:spacing w:after="0"/>
              <w:rPr>
                <w:sz w:val="13"/>
                <w:szCs w:val="13"/>
                <w:color w:val="auto"/>
              </w:rPr>
            </w:pPr>
          </w:p>
        </w:tc>
        <w:tc>
          <w:tcPr>
            <w:tcW w:w="20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3"/>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and nine months ended September 30, 2022 compared to the same periods in 2021, was due primarily to fluctuations in stock prices which impact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2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cash and cash equivalents totaled $65.2 million, short-term investments totaled $45.7 million and long-term investments totaled $21.7 million as of September 30, 2022. The $10.7 million of cash provided by operations during the nine months ended September 30, 2022 was primarily the result of non-cash charges of $29.4 million related to stock-based compensation expense, $3.1 million of operating lease amortization and $2.9 million in depreciation and amortization expense, offset by a net loss of $22.6 million and a net decrease of $2.5 million related to movements in our working capital accounts. The overall decrease in cash from our working capital accounts was primarily driven by an increase in inventory due to increased production needs and payments on operating leases offset by a decrease in accounts receivable due to cash collections.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cash, cash equivalents and restricted cash totaled $54.8 million, short-term investments totaled $43.7 million and long-term investments totaled $20.2 million as of September 30, 2021. The $18.5 million of cash provided by operations during the nine months ended September 30, 2021, was primarily the result of non-cash charges of $26.5 million related to stock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compensation expense, $3.4 million of operating lease amortization, and $2.2 million in depreciation and amortization expense, offset by a net loss of $12.0 million, and a net decrease of $2.3 million related to movement in our working capital accounts. The overall decrease in cash from our working capital accounts was primarily driven by a decrease in accounts receivable due to cash collections, an increase in inventory due to increased production needs, and payments on operating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2022 was the result of $44.0 million in investment purchases and $6.5 million of property and equipment purchases primarily for manufacturing upgrades and leasehold improvements, offset by $35.9 million of investment sales and maturities.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2021 was the result of $49.4 million in investments purchases and equipment purchases of $6.9 million, primarily for manufacturing upgrades and leasehold improvements, offset by $50.9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2022 was the result of net proceeds from the exercise of stock options and the employee stock purchase plan of $3.0 million, offset by payments of employee withholding taxes related to the vesting of restricted stock units of $1.5 million and payments of debt issuance costs of $1.1 million.</w:t>
      </w:r>
    </w:p>
    <w:p>
      <w:pPr>
        <w:spacing w:after="0" w:line="203"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Net cash provided by financing activities during the nine months ended September 30, 2021 was primarily the result of net proceeds from the exercise of stock options of $9.7 million, partially offset by the payment of employee withholding taxes related to the vesting of restricted stock units of $1.6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including NexoBrid. To date, we have financed our operations primarily through cash received through Epicel and MACI sales, debt and public and private sales of our equity securities. We generated $10.7 million in operating cash flows during the nine months ended September 30, 2022, and we may finance our operations through the sales of equity securities, revolver borrowings or other debt financings.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these condensed consolidated financial statements. However, the continuing effects of the ongoing COVID-19 pandemic continue to evolve and may adversely impact our business and operations. Our actual cash requirements may differ from projections and will depend on many factors, including any future impacts of the COVID-19 pandemic,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costs associated with possible acquisitions or development of complementary business activities, and the cost to market our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were not party to any off-balance sheet arrangements.</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September 30, 2022, we have sold no shares pursuant to the Sales Agreement.</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222222"/>
        </w:rPr>
        <w:t>On July 29, 2022, we entered into a $150.0 million five-year senior secured revolving credit agreement by and among the Company, the other loan parties thereto, the lenders party thereto, and JPMorgan Chase Bank, N.A., as the administrative agent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22222"/>
        </w:rPr>
        <w:t>(the “Revolving Credit Agreement”). We have no immediate plans to borrow under the Revolving Credit Agreement, but we may use the facility for working capital needs and other general corporate purposes. As of September 30, 2022, there are no outstanding borrowings under the Revolving Credit Agreement, and we are in compliance with all applicable covenant requirements. See Note 9, “Revolving Credit Agreement” in the accompanying condensed consolidated financial statements for further details.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2021. There have been no material changes, outside of the ordinary course of business, to our contractual obligations and commitments since December 31, 2021, except as discussed in Note 5, “Leases” and Note 9, “Revolving Credit Agreement” in the accompanying condensed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nine months ended September 30, 2022. For further information, refer to our summary of significant accounting policies and estimates in our Annual Report on Form 10-K filed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21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 These forward-looking statements include statements regarding:</w:t>
      </w:r>
    </w:p>
    <w:p>
      <w:pPr>
        <w:spacing w:after="0" w:line="216" w:lineRule="exact"/>
        <w:rPr>
          <w:sz w:val="20"/>
          <w:szCs w:val="20"/>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our ability to satisfy obligations of our Revolving Credit Agreement as they become due;</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financial and other covenants in our Revolving Credit Agreement;</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risk as a result of potential changes in interest rates;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w:t>
      </w:r>
    </w:p>
    <w:p>
      <w:pPr>
        <w:spacing w:after="0" w:line="18"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the timing of the FDA’s review of the NexoBrid BLA resubmission;</w:t>
      </w:r>
    </w:p>
    <w:p>
      <w:pPr>
        <w:spacing w:after="0" w:line="1" w:lineRule="exact"/>
        <w:rPr>
          <w:rFonts w:ascii="Arial" w:cs="Arial" w:eastAsia="Arial" w:hAnsi="Arial"/>
          <w:sz w:val="21"/>
          <w:szCs w:val="21"/>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approval by the FDA of the NexoBrid BLA resubmission;</w:t>
      </w:r>
    </w:p>
    <w:p>
      <w:pPr>
        <w:spacing w:after="0" w:line="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therapies;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including publication thereof;</w:t>
      </w:r>
    </w:p>
    <w:p>
      <w:pPr>
        <w:spacing w:after="0" w:line="6" w:lineRule="exact"/>
        <w:rPr>
          <w:rFonts w:ascii="Times New Roman" w:cs="Times New Roman" w:eastAsia="Times New Roman" w:hAnsi="Times New Roman"/>
          <w:sz w:val="18"/>
          <w:szCs w:val="18"/>
          <w:color w:val="auto"/>
        </w:rPr>
      </w:pPr>
    </w:p>
    <w:p>
      <w:pPr>
        <w:ind w:left="1280" w:hanging="313"/>
        <w:spacing w:after="0" w:line="247" w:lineRule="auto"/>
        <w:tabs>
          <w:tab w:leader="none" w:pos="12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on our business, including economic slowdowns or recessions, impacts to our operations or to the healthcare industry generally, which could reduce demand for our products;</w:t>
      </w:r>
    </w:p>
    <w:p>
      <w:pPr>
        <w:ind w:left="1280" w:right="20" w:hanging="313"/>
        <w:spacing w:after="0" w:line="247" w:lineRule="auto"/>
        <w:tabs>
          <w:tab w:leader="none" w:pos="12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inflationary pressures and our responses thereto as well as other unfavorable global and regional economic conditions, geopolitical events, and military conflicts, such as repercussions from the ongoing war in Ukraine;</w:t>
      </w: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2021. Our exposures to market risk have not changed materially since December 31, 2021, except as discussed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subject to interest rate risks in connection with our Revolving Credit Agreement, which is variable rate indebtedness. As of September 30, 2022, there were no borrowings outstanding under the Revolving Credit Agreement. To the extent that we have outstanding borrowings under the Revolving Credit Agreement, we may increase our exposure to risk from interest rate fluctuations which may have a negative impact on our earnings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2022, the Company’s Certifying Officers concluded that the Company’s disclosure controls and procedures were effective.</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September 30, 2022,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time-to-time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2021 filed with the SEC on February 24, 2022.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2021, except as follows.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 restrictions that may limit our ability to operate our business.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terms of our Revolving Credit Agreement, contain, and any of our other future debt agreements may contain, covenant restrictions that limit our ability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 As a result of these covenants, our ability to respond to changes in business and economic conditions and engage in beneficial transactions, including to obtain additional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financing as needed, may be restricted. Furthermore, our failure to comply with our debt covenants could result in a default under our Revolving Credit Agreement, which could permit the holders to accelerate our obligation to repay any borrowings.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As of September 30, 2022, we had no outstanding borrowings under the Revolving Credit Agreement. We may be exposed to the impact of interest rate changes primarily through our borrowing activities. Subject to the limits contained in the Revolving Credit Agreement, we may incur substantial additional debt from time-to-time for general corporate purposes, including, without limitation, acquisitions and capital expenditures, and such other uses as permitted under the Revolving Credit Agreement. If we do so, the risks related to our debt could intensify. Specifically, our debt could have important consequences to our investors, including the following:</w:t>
      </w:r>
    </w:p>
    <w:p>
      <w:pPr>
        <w:spacing w:after="0" w:line="212" w:lineRule="exact"/>
        <w:rPr>
          <w:sz w:val="20"/>
          <w:szCs w:val="20"/>
          <w:color w:val="auto"/>
        </w:rPr>
      </w:pPr>
    </w:p>
    <w:p>
      <w:pPr>
        <w:ind w:left="640" w:hanging="393"/>
        <w:spacing w:after="0" w:line="258" w:lineRule="auto"/>
        <w:tabs>
          <w:tab w:leader="none" w:pos="6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making it more difficult for us to satisfy our obligations under the Revolving Credit Agreement; and if we fail to comply with these requirements, an event of default could result;</w:t>
      </w:r>
    </w:p>
    <w:p>
      <w:pPr>
        <w:ind w:left="640" w:hanging="393"/>
        <w:spacing w:after="0" w:line="247" w:lineRule="auto"/>
        <w:tabs>
          <w:tab w:leader="none" w:pos="6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ind w:left="640" w:hanging="393"/>
        <w:spacing w:after="0" w:line="247" w:lineRule="auto"/>
        <w:tabs>
          <w:tab w:leader="none" w:pos="6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ind w:left="640" w:hanging="393"/>
        <w:spacing w:after="0"/>
        <w:tabs>
          <w:tab w:leader="none" w:pos="6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exposing us to the risk of increased interest rates as borrowings under our Revolving Credit Agreement are subject to floating interest rates based on SOFR, which could increase the cost of servicing our financial instruments and could materially reduce our profitability and cash flows;</w:t>
      </w:r>
    </w:p>
    <w:p>
      <w:pPr>
        <w:ind w:left="640" w:hanging="393"/>
        <w:spacing w:after="0"/>
        <w:tabs>
          <w:tab w:leader="none" w:pos="6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increasing our cost of borrowing.</w:t>
      </w:r>
    </w:p>
    <w:p>
      <w:pPr>
        <w:spacing w:after="0" w:line="222"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an ongoing war between Russia and Ukraine, and record inflation. Our business, financial condition and results of operations could be materially adversely affected by any negative impact on the global economy and capital markets resulting from the war in Ukraine, geopolitical tensions, or record inflation.</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In February 2022, a full-scale military invasion of Ukraine by Russian troops began. Although the length and impact of the ongoing military conflict is highly unpredictable, the war in Ukraine has led to market disruptions, including significant volatility in commodity prices, credit and capital markets, as well as supply chain interruptions, which has contributed to record inflation globally. We are continuing to monitor inflation, the situation in Ukraine and global capital markets and assessing the potential impact on our business.</w:t>
      </w:r>
    </w:p>
    <w:p>
      <w:pPr>
        <w:spacing w:after="0" w:line="212"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 between Russian and Ukraine, geopolitical tensions, or record inflation, it is impossible to predict the extent to which our operations will be impacted in the short and long term, or the ways in which such matters may impact our business. The extent and duration of the war in Ukraine, geopolitical tensions, record inflation and resulting market disruptions are impossible to predict but could be substantial. Any such disruptions may also magnify the impact of other risks described in our Annual Report on Form 10-K for the fiscal year ended December 31, 2021.</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NexoBrid’s approval in the U.S. for the treatment of severe burns may be further delayed, or it may not be approved by the FDA for use in the U.S. at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w:t>
      </w:r>
    </w:p>
    <w:p>
      <w:pPr>
        <w:spacing w:after="0" w:line="22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June 29, 2021, we announced that MediWound had received a CRL from the FDA with respect to a BLA that MediWound had previously submitted to the FDA seeking marketing approval for NexoBrid in the U.S. As part of the CRL, the FDA communicated to MediWound that it had completed its review of the BLA, as amended, and had determined that it could not approve the BLA in its then form. The FDA identified issues related to the chemistry, manufacturing and controls, or CMC section of the BLA and had requested that MediWound provide additional CMC information. The FDA also stated that inspections of manufacturing facilities in Israel and Taiwan are required before the BLA can be approved, but that it was unable to conduct the required inspections during the original review cycle due to COVID-19-related travel restrictions. In addition, the CRL referenced observations that were made during GCP inspections related to the Phase 3 pivotal DETECT study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requested that MediWound address questions regarding the impact of the observations on the study’s efficacy findings. The FDA also requested that MediWound provide a safety update as part of a BLA resubmission.</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continued to work with MediWound, BARDA and the FDA to address the issues identified in the CRL, and on July 1, 2022, Vericel and MediWound submitted a BLA resubmission to the FDA to address and respond to the issues identified by the FDA in the CRL. Subsequently, the FDA informed us that it has accepted the resubmission for review and has established a PDUFA date for completing that review of January 1, 2023. We cannot predict the likelihood that the FDA will ultimately approve the NexoBrid BLA. In addition, if approval to market NexoBrid is sought in Mexico or Canada, we cannot predict how long regulatory authorities in those countries will take to provide NexoBrid with marketing authorization in their jurisdictions or whether such authorizations will be granted at all. A significant delay or a failure to receive regulatory approval for NexoBrid in the U.S. may have a material adverse impact on our business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1" w:lineRule="exact"/>
        <w:rPr>
          <w:sz w:val="20"/>
          <w:szCs w:val="20"/>
          <w:color w:val="auto"/>
        </w:rPr>
      </w:pPr>
    </w:p>
    <w:p>
      <w:pPr>
        <w:ind w:left="24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210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10300" cy="825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10.12†</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31.1*</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31.2*</w:t>
      </w:r>
    </w:p>
    <w:p>
      <w:pPr>
        <w:spacing w:after="0" w:line="26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32.1*</w:t>
      </w:r>
    </w:p>
    <w:p>
      <w:pPr>
        <w:spacing w:after="0" w:line="26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101.INS*</w:t>
      </w:r>
    </w:p>
    <w:p>
      <w:pPr>
        <w:spacing w:after="0" w:line="16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101.SCH*</w:t>
      </w:r>
    </w:p>
    <w:p>
      <w:pPr>
        <w:spacing w:after="0" w:line="16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101.CAL*</w:t>
      </w:r>
    </w:p>
    <w:p>
      <w:pPr>
        <w:spacing w:after="0" w:line="17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101.LAB*</w:t>
      </w:r>
    </w:p>
    <w:p>
      <w:pPr>
        <w:spacing w:after="0" w:line="17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101.PRE*</w:t>
      </w:r>
    </w:p>
    <w:p>
      <w:pPr>
        <w:spacing w:after="0" w:line="16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101.DEF*</w:t>
      </w:r>
    </w:p>
    <w:p>
      <w:pPr>
        <w:spacing w:after="0" w:line="16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1140"/>
        <w:spacing w:after="0" w:line="261"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Restated Articles of Incorporation of the Company, filed as Exhibit 4.1 to the Company’s Current Report on Form</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8-K filed on December 17, 2009, incorporated herein by reference.</w:t>
        </w:r>
      </w:hyperlink>
    </w:p>
    <w:p>
      <w:pPr>
        <w:spacing w:after="0" w:line="150" w:lineRule="exact"/>
        <w:rPr>
          <w:sz w:val="20"/>
          <w:szCs w:val="20"/>
          <w:color w:val="auto"/>
        </w:rPr>
      </w:pPr>
    </w:p>
    <w:p>
      <w:pPr>
        <w:ind w:right="1080"/>
        <w:spacing w:after="0" w:line="246"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Certificate of Amendment to Restated Articles of Incorporation of the Company, dated February 9, 2010, filed as</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Exhibit 3.2 to the Company’s Post-Effective Amendment No. 1 to Form S-1 filed on March 31, 2010, incorporated</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herein by reference.</w:t>
        </w:r>
      </w:hyperlink>
    </w:p>
    <w:p>
      <w:pPr>
        <w:spacing w:after="0" w:line="164" w:lineRule="exact"/>
        <w:rPr>
          <w:rFonts w:ascii="Times New Roman" w:cs="Times New Roman" w:eastAsia="Times New Roman" w:hAnsi="Times New Roman"/>
          <w:sz w:val="18"/>
          <w:szCs w:val="18"/>
          <w:u w:val="single" w:color="auto"/>
          <w:color w:val="0000FF"/>
        </w:rPr>
      </w:pPr>
    </w:p>
    <w:p>
      <w:pPr>
        <w:ind w:right="1040"/>
        <w:spacing w:after="0" w:line="246"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Certificate of Amendment to Restated Articles of Incorporation of the Company, dated March 22, 2011, attached as</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Exhibit 3.1 to the Company’s Current Report on Form 8-K filed on March 25, 2011, incorporated herein by</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reference.</w:t>
        </w:r>
      </w:hyperlink>
    </w:p>
    <w:p>
      <w:pPr>
        <w:spacing w:after="0" w:line="164" w:lineRule="exact"/>
        <w:rPr>
          <w:rFonts w:ascii="Times New Roman" w:cs="Times New Roman" w:eastAsia="Times New Roman" w:hAnsi="Times New Roman"/>
          <w:sz w:val="18"/>
          <w:szCs w:val="18"/>
          <w:u w:val="single" w:color="auto"/>
          <w:color w:val="0000FF"/>
        </w:rPr>
      </w:pPr>
    </w:p>
    <w:p>
      <w:pPr>
        <w:ind w:right="1200"/>
        <w:spacing w:after="0" w:line="246"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Certificate of Amendment to the Restated Articles of Incorporation of the Company, dated November 21, 2014,</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attached as Exhibit 3.1 to the Company’s Current Report on Form 8-K filed on November 24, 2014, incorporated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herein by reference.</w:t>
        </w:r>
      </w:hyperlink>
    </w:p>
    <w:p>
      <w:pPr>
        <w:spacing w:after="0" w:line="164" w:lineRule="exact"/>
        <w:rPr>
          <w:rFonts w:ascii="Times New Roman" w:cs="Times New Roman" w:eastAsia="Times New Roman" w:hAnsi="Times New Roman"/>
          <w:sz w:val="18"/>
          <w:szCs w:val="18"/>
          <w:u w:val="single" w:color="auto"/>
          <w:color w:val="0000FF"/>
        </w:rPr>
      </w:pPr>
    </w:p>
    <w:p>
      <w:pPr>
        <w:ind w:right="1040"/>
        <w:spacing w:after="0" w:line="261"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Bylaws, as amended, attached as Exhibit 3.1 to the Company’s Current Report on Form 8-K filed on November 12,</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2010, incorporated herein by reference.</w:t>
        </w:r>
      </w:hyperlink>
    </w:p>
    <w:p>
      <w:pPr>
        <w:spacing w:after="0" w:line="150" w:lineRule="exact"/>
        <w:rPr>
          <w:sz w:val="20"/>
          <w:szCs w:val="20"/>
          <w:color w:val="auto"/>
        </w:rPr>
      </w:pPr>
    </w:p>
    <w:p>
      <w:pPr>
        <w:ind w:right="1440"/>
        <w:spacing w:after="0" w:line="223" w:lineRule="auto"/>
        <w:rPr>
          <w:sz w:val="20"/>
          <w:szCs w:val="20"/>
          <w:color w:val="auto"/>
        </w:rPr>
      </w:pPr>
      <w:r>
        <w:rPr>
          <w:rFonts w:ascii="Times New Roman" w:cs="Times New Roman" w:eastAsia="Times New Roman" w:hAnsi="Times New Roman"/>
          <w:sz w:val="18"/>
          <w:szCs w:val="18"/>
          <w:u w:val="single" w:color="auto"/>
          <w:color w:val="0000FF"/>
        </w:rPr>
        <w:t>Revolving Credit Agreement, dated as of July 29, 2022, by and among Vericel Corporation, as borrower, the lenders party thereto, and JPMorgan Chase Bank, N.A. as administrative agent, sole bookrunner and sole lead arranger.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167" w:lineRule="exact"/>
        <w:rPr>
          <w:sz w:val="20"/>
          <w:szCs w:val="20"/>
          <w:color w:val="auto"/>
        </w:rPr>
      </w:pPr>
    </w:p>
    <w:p>
      <w:pPr>
        <w:ind w:right="1020"/>
        <w:spacing w:after="0" w:line="235"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Section 906 of the Sarbanes-Oxley Act of 2002.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60" w:space="580"/>
            <w:col w:w="9240"/>
          </w:cols>
          <w:pgMar w:left="320" w:top="117" w:right="79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3" w:lineRule="exact"/>
        <w:rPr>
          <w:sz w:val="20"/>
          <w:szCs w:val="20"/>
          <w:color w:val="auto"/>
        </w:rPr>
      </w:pPr>
    </w:p>
    <w:p>
      <w:pPr>
        <w:ind w:left="240" w:hanging="233"/>
        <w:spacing w:after="0" w:line="236" w:lineRule="auto"/>
        <w:tabs>
          <w:tab w:leader="none" w:pos="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pursuant to Item 601(a)(5) and/or Item 601(b)(10)(iv), as applicable, of Regulation S-K. The Company agrees to furnish an unredacted, supplemental copy (including any omitted schedule or attachment) to the SEC upon request. Redactions and omissions are designated with brackets containing asterisks.</w:t>
      </w:r>
    </w:p>
    <w:p>
      <w:pPr>
        <w:spacing w:after="0" w:line="200" w:lineRule="exact"/>
        <w:rPr>
          <w:sz w:val="20"/>
          <w:szCs w:val="20"/>
          <w:color w:val="auto"/>
        </w:rPr>
      </w:pPr>
    </w:p>
    <w:p>
      <w:pPr>
        <w:spacing w:after="0" w:line="3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7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400"/>
          </w:cols>
          <w:pgMar w:left="320" w:top="117" w:right="11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CERTAIN CONFIDENTIAL PORTIONS OF THIS EXHIBIT HAVE BEEN OMITTED AND REPLACED WITH “[***]”. SUCH</w:t>
      </w:r>
    </w:p>
    <w:p>
      <w:pPr>
        <w:spacing w:after="0" w:line="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218440</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7"/>
          <w:szCs w:val="57"/>
          <w:color w:val="auto"/>
        </w:rPr>
        <w:t>J.P.Morgan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dated as 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July 29, 2022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464820</wp:posOffset>
            </wp:positionV>
            <wp:extent cx="71081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0819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490220</wp:posOffset>
            </wp:positionV>
            <wp:extent cx="7108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08190" cy="825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4876-1789-8795v.14</w:t>
      </w:r>
    </w:p>
    <w:p>
      <w:pPr>
        <w:sectPr>
          <w:pgSz w:w="11900" w:h="16838" w:orient="portrait"/>
          <w:cols w:equalWidth="0" w:num="1">
            <w:col w:w="11240"/>
          </w:cols>
          <w:pgMar w:left="320" w:top="1384"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gridSpan w:val="15"/>
          </w:tcPr>
          <w:p>
            <w:pPr>
              <w:spacing w:after="0"/>
              <w:rPr>
                <w:sz w:val="20"/>
                <w:szCs w:val="20"/>
                <w:color w:val="auto"/>
              </w:rPr>
            </w:pPr>
            <w:r>
              <w:rPr>
                <w:rFonts w:ascii="Times New Roman" w:cs="Times New Roman" w:eastAsia="Times New Roman" w:hAnsi="Times New Roman"/>
                <w:sz w:val="21"/>
                <w:szCs w:val="21"/>
                <w:color w:val="auto"/>
              </w:rPr>
              <w:t>TABLE OF CONTENTS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c>
          <w:tcPr>
            <w:tcW w:w="0" w:type="dxa"/>
            <w:vAlign w:val="bottom"/>
          </w:tcPr>
          <w:p>
            <w:pPr>
              <w:spacing w:after="0"/>
              <w:rPr>
                <w:sz w:val="1"/>
                <w:szCs w:val="1"/>
                <w:color w:val="auto"/>
              </w:rPr>
            </w:pPr>
          </w:p>
        </w:tc>
      </w:tr>
      <w:tr>
        <w:trPr>
          <w:trHeight w:val="616"/>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ARTICLE I Definitions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1.01.</w:t>
            </w:r>
          </w:p>
        </w:tc>
        <w:tc>
          <w:tcPr>
            <w:tcW w:w="1280" w:type="dxa"/>
            <w:vAlign w:val="bottom"/>
            <w:tcBorders>
              <w:bottom w:val="single" w:sz="8" w:color="auto"/>
            </w:tcBorders>
            <w:gridSpan w:val="5"/>
          </w:tcPr>
          <w:p>
            <w:pPr>
              <w:spacing w:after="0" w:line="228" w:lineRule="exact"/>
              <w:rPr>
                <w:sz w:val="20"/>
                <w:szCs w:val="20"/>
                <w:color w:val="auto"/>
              </w:rPr>
            </w:pPr>
            <w:r>
              <w:rPr>
                <w:rFonts w:ascii="Times New Roman" w:cs="Times New Roman" w:eastAsia="Times New Roman" w:hAnsi="Times New Roman"/>
                <w:sz w:val="21"/>
                <w:szCs w:val="21"/>
                <w:color w:val="auto"/>
                <w:w w:val="99"/>
              </w:rPr>
              <w:t>Defined Terms</w:t>
            </w:r>
          </w:p>
        </w:tc>
        <w:tc>
          <w:tcPr>
            <w:tcW w:w="6260" w:type="dxa"/>
            <w:vAlign w:val="bottom"/>
            <w:gridSpan w:val="27"/>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1.02.</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Classification of Loans and Borrowings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1.03.</w:t>
            </w:r>
          </w:p>
        </w:tc>
        <w:tc>
          <w:tcPr>
            <w:tcW w:w="144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Terms Generally</w:t>
            </w:r>
          </w:p>
        </w:tc>
        <w:tc>
          <w:tcPr>
            <w:tcW w:w="1960" w:type="dxa"/>
            <w:vAlign w:val="bottom"/>
            <w:tcBorders>
              <w:top w:val="single" w:sz="8" w:color="auto"/>
            </w:tcBorders>
            <w:gridSpan w:val="17"/>
          </w:tcPr>
          <w:p>
            <w:pPr>
              <w:spacing w:after="0"/>
              <w:rPr>
                <w:sz w:val="21"/>
                <w:szCs w:val="21"/>
                <w:color w:val="auto"/>
              </w:rPr>
            </w:pPr>
          </w:p>
        </w:tc>
        <w:tc>
          <w:tcPr>
            <w:tcW w:w="4140" w:type="dxa"/>
            <w:vAlign w:val="bottom"/>
            <w:gridSpan w:val="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1.04.</w:t>
            </w:r>
          </w:p>
        </w:tc>
        <w:tc>
          <w:tcPr>
            <w:tcW w:w="22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1"/>
                <w:szCs w:val="21"/>
                <w:color w:val="auto"/>
              </w:rPr>
              <w:t>Accounting Terms; GAAP</w:t>
            </w:r>
          </w:p>
        </w:tc>
        <w:tc>
          <w:tcPr>
            <w:tcW w:w="5260" w:type="dxa"/>
            <w:vAlign w:val="bottom"/>
            <w:gridSpan w:val="1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1.05.</w:t>
            </w:r>
          </w:p>
        </w:tc>
        <w:tc>
          <w:tcPr>
            <w:tcW w:w="204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1"/>
                <w:szCs w:val="21"/>
                <w:color w:val="auto"/>
              </w:rPr>
              <w:t>Pro Forma Adjustments</w:t>
            </w:r>
          </w:p>
        </w:tc>
        <w:tc>
          <w:tcPr>
            <w:tcW w:w="5500" w:type="dxa"/>
            <w:vAlign w:val="bottom"/>
            <w:gridSpan w:val="16"/>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1.06.</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Status of Obligations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1.07.</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Interest Rates; Benchmark Notification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1.08.</w:t>
            </w:r>
          </w:p>
        </w:tc>
        <w:tc>
          <w:tcPr>
            <w:tcW w:w="2200" w:type="dxa"/>
            <w:vAlign w:val="bottom"/>
            <w:tcBorders>
              <w:top w:val="single" w:sz="8" w:color="auto"/>
              <w:bottom w:val="single" w:sz="8" w:color="auto"/>
            </w:tcBorders>
            <w:gridSpan w:val="21"/>
          </w:tcPr>
          <w:p>
            <w:pPr>
              <w:spacing w:after="0"/>
              <w:rPr>
                <w:sz w:val="20"/>
                <w:szCs w:val="20"/>
                <w:color w:val="auto"/>
              </w:rPr>
            </w:pPr>
            <w:r>
              <w:rPr>
                <w:rFonts w:ascii="Times New Roman" w:cs="Times New Roman" w:eastAsia="Times New Roman" w:hAnsi="Times New Roman"/>
                <w:sz w:val="21"/>
                <w:szCs w:val="21"/>
                <w:color w:val="auto"/>
              </w:rPr>
              <w:t>Letter of Credit Amounts</w:t>
            </w:r>
          </w:p>
        </w:tc>
        <w:tc>
          <w:tcPr>
            <w:tcW w:w="1140" w:type="dxa"/>
            <w:vAlign w:val="bottom"/>
            <w:tcBorders>
              <w:top w:val="single" w:sz="8" w:color="auto"/>
            </w:tcBorders>
            <w:gridSpan w:val="2"/>
          </w:tcPr>
          <w:p>
            <w:pPr>
              <w:spacing w:after="0"/>
              <w:rPr>
                <w:sz w:val="21"/>
                <w:szCs w:val="21"/>
                <w:color w:val="auto"/>
              </w:rPr>
            </w:pPr>
          </w:p>
        </w:tc>
        <w:tc>
          <w:tcPr>
            <w:tcW w:w="4200" w:type="dxa"/>
            <w:vAlign w:val="bottom"/>
            <w:gridSpan w:val="9"/>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1.09.</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Divisions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633"/>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ARTICLE II The Credits</w:t>
            </w: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2.01.</w:t>
            </w:r>
          </w:p>
        </w:tc>
        <w:tc>
          <w:tcPr>
            <w:tcW w:w="2160" w:type="dxa"/>
            <w:vAlign w:val="bottom"/>
            <w:tcBorders>
              <w:bottom w:val="single" w:sz="8" w:color="auto"/>
            </w:tcBorders>
            <w:gridSpan w:val="19"/>
          </w:tcPr>
          <w:p>
            <w:pPr>
              <w:spacing w:after="0" w:line="228" w:lineRule="exact"/>
              <w:rPr>
                <w:sz w:val="20"/>
                <w:szCs w:val="20"/>
                <w:color w:val="auto"/>
              </w:rPr>
            </w:pPr>
            <w:r>
              <w:rPr>
                <w:rFonts w:ascii="Times New Roman" w:cs="Times New Roman" w:eastAsia="Times New Roman" w:hAnsi="Times New Roman"/>
                <w:sz w:val="21"/>
                <w:szCs w:val="21"/>
                <w:color w:val="auto"/>
              </w:rPr>
              <w:t>Revolving Commitments</w:t>
            </w:r>
          </w:p>
        </w:tc>
        <w:tc>
          <w:tcPr>
            <w:tcW w:w="5380" w:type="dxa"/>
            <w:vAlign w:val="bottom"/>
            <w:gridSpan w:val="13"/>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Loans and Borrowings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214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1"/>
                <w:szCs w:val="21"/>
                <w:color w:val="auto"/>
              </w:rPr>
              <w:t>Requests for Borrowings</w:t>
            </w:r>
          </w:p>
        </w:tc>
        <w:tc>
          <w:tcPr>
            <w:tcW w:w="5400" w:type="dxa"/>
            <w:vAlign w:val="bottom"/>
            <w:gridSpan w:val="14"/>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2.04.</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[Intentionally Omitted]</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2.05.</w:t>
            </w:r>
          </w:p>
        </w:tc>
        <w:tc>
          <w:tcPr>
            <w:tcW w:w="198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1"/>
                <w:szCs w:val="21"/>
                <w:color w:val="auto"/>
              </w:rPr>
              <w:t>Swingline Loans</w:t>
            </w:r>
          </w:p>
        </w:tc>
        <w:tc>
          <w:tcPr>
            <w:tcW w:w="5560" w:type="dxa"/>
            <w:vAlign w:val="bottom"/>
            <w:gridSpan w:val="18"/>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2.06.</w:t>
            </w:r>
          </w:p>
        </w:tc>
        <w:tc>
          <w:tcPr>
            <w:tcW w:w="142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Letters of Credit</w:t>
            </w:r>
          </w:p>
        </w:tc>
        <w:tc>
          <w:tcPr>
            <w:tcW w:w="20" w:type="dxa"/>
            <w:vAlign w:val="bottom"/>
            <w:tcBorders>
              <w:top w:val="single" w:sz="8" w:color="auto"/>
            </w:tcBorders>
          </w:tcPr>
          <w:p>
            <w:pPr>
              <w:spacing w:after="0"/>
              <w:rPr>
                <w:sz w:val="21"/>
                <w:szCs w:val="21"/>
                <w:color w:val="auto"/>
              </w:rPr>
            </w:pPr>
          </w:p>
        </w:tc>
        <w:tc>
          <w:tcPr>
            <w:tcW w:w="6100" w:type="dxa"/>
            <w:vAlign w:val="bottom"/>
            <w:gridSpan w:val="24"/>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2.07.</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Funding of Borrowings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2.08.</w:t>
            </w:r>
          </w:p>
        </w:tc>
        <w:tc>
          <w:tcPr>
            <w:tcW w:w="200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21"/>
                <w:szCs w:val="21"/>
                <w:color w:val="auto"/>
              </w:rPr>
              <w:t>Interest Elections</w:t>
            </w:r>
          </w:p>
        </w:tc>
        <w:tc>
          <w:tcPr>
            <w:tcW w:w="5540" w:type="dxa"/>
            <w:vAlign w:val="bottom"/>
            <w:gridSpan w:val="17"/>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2.09.</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Termination and Reduction of Revolving Commitments; Increase in Revolving</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0" w:type="dxa"/>
            <w:vAlign w:val="bottom"/>
          </w:tcPr>
          <w:p>
            <w:pPr>
              <w:spacing w:after="0"/>
              <w:rPr>
                <w:sz w:val="1"/>
                <w:szCs w:val="1"/>
                <w:color w:val="auto"/>
              </w:rPr>
            </w:pPr>
          </w:p>
        </w:tc>
      </w:tr>
      <w:tr>
        <w:trPr>
          <w:trHeight w:val="193"/>
        </w:trPr>
        <w:tc>
          <w:tcPr>
            <w:tcW w:w="2460" w:type="dxa"/>
            <w:vAlign w:val="bottom"/>
            <w:vMerge w:val="continue"/>
          </w:tcPr>
          <w:p>
            <w:pPr>
              <w:spacing w:after="0"/>
              <w:rPr>
                <w:sz w:val="16"/>
                <w:szCs w:val="16"/>
                <w:color w:val="auto"/>
              </w:rPr>
            </w:pPr>
          </w:p>
        </w:tc>
        <w:tc>
          <w:tcPr>
            <w:tcW w:w="3420" w:type="dxa"/>
            <w:vAlign w:val="bottom"/>
            <w:tcBorders>
              <w:top w:val="single" w:sz="8" w:color="auto"/>
              <w:bottom w:val="single" w:sz="8" w:color="auto"/>
            </w:tcBorders>
            <w:gridSpan w:val="26"/>
          </w:tcPr>
          <w:p>
            <w:pPr>
              <w:spacing w:after="0" w:line="194" w:lineRule="exact"/>
              <w:rPr>
                <w:sz w:val="20"/>
                <w:szCs w:val="20"/>
                <w:color w:val="auto"/>
              </w:rPr>
            </w:pPr>
            <w:r>
              <w:rPr>
                <w:rFonts w:ascii="Times New Roman" w:cs="Times New Roman" w:eastAsia="Times New Roman" w:hAnsi="Times New Roman"/>
                <w:sz w:val="21"/>
                <w:szCs w:val="21"/>
                <w:color w:val="auto"/>
              </w:rPr>
              <w:t>Commitments; Incremental Term Loans</w:t>
            </w:r>
          </w:p>
        </w:tc>
        <w:tc>
          <w:tcPr>
            <w:tcW w:w="3340" w:type="dxa"/>
            <w:vAlign w:val="bottom"/>
            <w:tcBorders>
              <w:top w:val="single" w:sz="8" w:color="auto"/>
            </w:tcBorders>
            <w:gridSpan w:val="5"/>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2.10.</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Repayment of Loans; Evidence of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2.11.</w:t>
            </w:r>
          </w:p>
        </w:tc>
        <w:tc>
          <w:tcPr>
            <w:tcW w:w="338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21"/>
                <w:szCs w:val="21"/>
                <w:color w:val="auto"/>
              </w:rPr>
              <w:t>Prepayment of Loans</w:t>
            </w:r>
          </w:p>
        </w:tc>
        <w:tc>
          <w:tcPr>
            <w:tcW w:w="4160" w:type="dxa"/>
            <w:vAlign w:val="bottom"/>
            <w:gridSpan w:val="8"/>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2.12.</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Fees</w:t>
            </w:r>
          </w:p>
        </w:tc>
        <w:tc>
          <w:tcPr>
            <w:tcW w:w="1420" w:type="dxa"/>
            <w:vAlign w:val="bottom"/>
            <w:tcBorders>
              <w:top w:val="single" w:sz="8" w:color="auto"/>
            </w:tcBorders>
            <w:gridSpan w:val="11"/>
          </w:tcPr>
          <w:p>
            <w:pPr>
              <w:spacing w:after="0"/>
              <w:rPr>
                <w:sz w:val="21"/>
                <w:szCs w:val="21"/>
                <w:color w:val="auto"/>
              </w:rPr>
            </w:pPr>
          </w:p>
        </w:tc>
        <w:tc>
          <w:tcPr>
            <w:tcW w:w="5720" w:type="dxa"/>
            <w:vAlign w:val="bottom"/>
            <w:gridSpan w:val="2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2.13.</w:t>
            </w: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w w:val="98"/>
              </w:rPr>
              <w:t>Interest</w:t>
            </w:r>
          </w:p>
        </w:tc>
        <w:tc>
          <w:tcPr>
            <w:tcW w:w="6900" w:type="dxa"/>
            <w:vAlign w:val="bottom"/>
            <w:gridSpan w:val="29"/>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2.14.</w:t>
            </w:r>
          </w:p>
        </w:tc>
        <w:tc>
          <w:tcPr>
            <w:tcW w:w="21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1"/>
                <w:szCs w:val="21"/>
                <w:color w:val="auto"/>
              </w:rPr>
              <w:t>Alternate Rate of Interest</w:t>
            </w:r>
          </w:p>
        </w:tc>
        <w:tc>
          <w:tcPr>
            <w:tcW w:w="5360" w:type="dxa"/>
            <w:vAlign w:val="bottom"/>
            <w:gridSpan w:val="1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2.15.</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Increased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2.16.</w:t>
            </w:r>
          </w:p>
        </w:tc>
        <w:tc>
          <w:tcPr>
            <w:tcW w:w="21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1"/>
                <w:szCs w:val="21"/>
                <w:color w:val="auto"/>
              </w:rPr>
              <w:t>Break Funding Payments</w:t>
            </w:r>
          </w:p>
        </w:tc>
        <w:tc>
          <w:tcPr>
            <w:tcW w:w="5380" w:type="dxa"/>
            <w:vAlign w:val="bottom"/>
            <w:gridSpan w:val="13"/>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2.17.</w:t>
            </w: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5"/>
              </w:rPr>
              <w:t>Taxes</w:t>
            </w:r>
          </w:p>
        </w:tc>
        <w:tc>
          <w:tcPr>
            <w:tcW w:w="7040" w:type="dxa"/>
            <w:vAlign w:val="bottom"/>
            <w:gridSpan w:val="30"/>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2.18.</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Payments Generally; Allocation of Proceeds; Sharing of Set-offs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2.19.</w:t>
            </w:r>
          </w:p>
        </w:tc>
        <w:tc>
          <w:tcPr>
            <w:tcW w:w="552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21"/>
                <w:szCs w:val="21"/>
                <w:color w:val="auto"/>
              </w:rPr>
              <w:t>Mitigation Obligations; Replacement of Lenders</w:t>
            </w:r>
          </w:p>
        </w:tc>
        <w:tc>
          <w:tcPr>
            <w:tcW w:w="2020" w:type="dxa"/>
            <w:vAlign w:val="bottom"/>
            <w:gridSpan w:val="2"/>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2.20.</w:t>
            </w:r>
          </w:p>
        </w:tc>
        <w:tc>
          <w:tcPr>
            <w:tcW w:w="166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21"/>
                <w:szCs w:val="21"/>
                <w:color w:val="auto"/>
              </w:rPr>
              <w:t>Defaulting Lenders</w:t>
            </w:r>
          </w:p>
        </w:tc>
        <w:tc>
          <w:tcPr>
            <w:tcW w:w="2480" w:type="dxa"/>
            <w:vAlign w:val="bottom"/>
            <w:tcBorders>
              <w:top w:val="single" w:sz="8" w:color="auto"/>
            </w:tcBorders>
            <w:gridSpan w:val="18"/>
          </w:tcPr>
          <w:p>
            <w:pPr>
              <w:spacing w:after="0"/>
              <w:rPr>
                <w:sz w:val="21"/>
                <w:szCs w:val="21"/>
                <w:color w:val="auto"/>
              </w:rPr>
            </w:pPr>
          </w:p>
        </w:tc>
        <w:tc>
          <w:tcPr>
            <w:tcW w:w="3400" w:type="dxa"/>
            <w:vAlign w:val="bottom"/>
            <w:gridSpan w:val="4"/>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2.21.</w:t>
            </w:r>
          </w:p>
        </w:tc>
        <w:tc>
          <w:tcPr>
            <w:tcW w:w="7540" w:type="dxa"/>
            <w:vAlign w:val="bottom"/>
            <w:gridSpan w:val="32"/>
          </w:tcPr>
          <w:p>
            <w:pPr>
              <w:spacing w:after="0"/>
              <w:rPr>
                <w:sz w:val="20"/>
                <w:szCs w:val="20"/>
                <w:color w:val="auto"/>
              </w:rPr>
            </w:pPr>
            <w:r>
              <w:rPr>
                <w:rFonts w:ascii="Times New Roman" w:cs="Times New Roman" w:eastAsia="Times New Roman" w:hAnsi="Times New Roman"/>
                <w:sz w:val="21"/>
                <w:szCs w:val="21"/>
                <w:color w:val="auto"/>
              </w:rPr>
              <w:t>Returned Payments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60" w:type="dxa"/>
            <w:vAlign w:val="bottom"/>
            <w:gridSpan w:val="10"/>
            <w:shd w:val="clear" w:color="auto" w:fill="000000"/>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2.22.</w:t>
            </w:r>
          </w:p>
        </w:tc>
        <w:tc>
          <w:tcPr>
            <w:tcW w:w="348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1"/>
                <w:szCs w:val="21"/>
                <w:color w:val="auto"/>
              </w:rPr>
              <w:t>Banking Services and Swap Agreements</w:t>
            </w:r>
          </w:p>
        </w:tc>
        <w:tc>
          <w:tcPr>
            <w:tcW w:w="4060" w:type="dxa"/>
            <w:vAlign w:val="bottom"/>
            <w:gridSpan w:val="5"/>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3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00"/>
          </w:cols>
          <w:pgMar w:left="340" w:top="1379" w:right="35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67"/>
        </w:trPr>
        <w:tc>
          <w:tcPr>
            <w:tcW w:w="8980" w:type="dxa"/>
            <w:vAlign w:val="bottom"/>
            <w:gridSpan w:val="27"/>
          </w:tcPr>
          <w:p>
            <w:pPr>
              <w:spacing w:after="0"/>
              <w:rPr>
                <w:sz w:val="20"/>
                <w:szCs w:val="20"/>
                <w:color w:val="auto"/>
              </w:rPr>
            </w:pPr>
            <w:r>
              <w:rPr>
                <w:rFonts w:ascii="Times New Roman" w:cs="Times New Roman" w:eastAsia="Times New Roman" w:hAnsi="Times New Roman"/>
                <w:sz w:val="21"/>
                <w:szCs w:val="21"/>
                <w:color w:val="auto"/>
              </w:rPr>
              <w:t>ARTICLE III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3.01.</w:t>
            </w:r>
          </w:p>
        </w:tc>
        <w:tc>
          <w:tcPr>
            <w:tcW w:w="1860" w:type="dxa"/>
            <w:vAlign w:val="bottom"/>
            <w:tcBorders>
              <w:bottom w:val="single" w:sz="8" w:color="auto"/>
            </w:tcBorders>
            <w:gridSpan w:val="13"/>
          </w:tcPr>
          <w:p>
            <w:pPr>
              <w:spacing w:after="0" w:line="228" w:lineRule="exact"/>
              <w:rPr>
                <w:sz w:val="20"/>
                <w:szCs w:val="20"/>
                <w:color w:val="auto"/>
              </w:rPr>
            </w:pPr>
            <w:r>
              <w:rPr>
                <w:rFonts w:ascii="Times New Roman" w:cs="Times New Roman" w:eastAsia="Times New Roman" w:hAnsi="Times New Roman"/>
                <w:sz w:val="21"/>
                <w:szCs w:val="21"/>
                <w:color w:val="auto"/>
              </w:rPr>
              <w:t>Organization; Powers</w:t>
            </w:r>
          </w:p>
        </w:tc>
        <w:tc>
          <w:tcPr>
            <w:tcW w:w="4660" w:type="dxa"/>
            <w:vAlign w:val="bottom"/>
            <w:gridSpan w:val="13"/>
          </w:tcPr>
          <w:p>
            <w:pPr>
              <w:spacing w:after="0"/>
              <w:rPr>
                <w:sz w:val="19"/>
                <w:szCs w:val="19"/>
                <w:color w:val="auto"/>
              </w:rPr>
            </w:pPr>
          </w:p>
        </w:tc>
        <w:tc>
          <w:tcPr>
            <w:tcW w:w="22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67</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3.02.</w:t>
            </w:r>
          </w:p>
        </w:tc>
        <w:tc>
          <w:tcPr>
            <w:tcW w:w="25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1"/>
                <w:szCs w:val="21"/>
                <w:color w:val="auto"/>
              </w:rPr>
              <w:t>Authorization; Enforceability</w:t>
            </w:r>
          </w:p>
        </w:tc>
        <w:tc>
          <w:tcPr>
            <w:tcW w:w="3980" w:type="dxa"/>
            <w:vAlign w:val="bottom"/>
            <w:gridSpan w:val="9"/>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3.03.</w:t>
            </w:r>
          </w:p>
        </w:tc>
        <w:tc>
          <w:tcPr>
            <w:tcW w:w="33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1"/>
                <w:szCs w:val="21"/>
                <w:color w:val="auto"/>
              </w:rPr>
              <w:t>Governmental Approvals; No Conflicts</w:t>
            </w:r>
          </w:p>
        </w:tc>
        <w:tc>
          <w:tcPr>
            <w:tcW w:w="3140" w:type="dxa"/>
            <w:vAlign w:val="bottom"/>
            <w:gridSpan w:val="4"/>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3.04.</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Financial Condition; No Material Adverse 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3.05.</w:t>
            </w:r>
          </w:p>
        </w:tc>
        <w:tc>
          <w:tcPr>
            <w:tcW w:w="432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21"/>
                <w:szCs w:val="21"/>
                <w:color w:val="auto"/>
              </w:rPr>
              <w:t>Properties</w:t>
            </w:r>
          </w:p>
        </w:tc>
        <w:tc>
          <w:tcPr>
            <w:tcW w:w="2200" w:type="dxa"/>
            <w:vAlign w:val="bottom"/>
            <w:gridSpan w:val="2"/>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0"/>
        </w:trPr>
        <w:tc>
          <w:tcPr>
            <w:tcW w:w="2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3.06.</w:t>
            </w:r>
          </w:p>
        </w:tc>
        <w:tc>
          <w:tcPr>
            <w:tcW w:w="324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21"/>
                <w:szCs w:val="21"/>
                <w:color w:val="auto"/>
              </w:rPr>
              <w:t>Litigation and Environmental Matters</w:t>
            </w:r>
          </w:p>
        </w:tc>
        <w:tc>
          <w:tcPr>
            <w:tcW w:w="3280" w:type="dxa"/>
            <w:vAlign w:val="bottom"/>
            <w:gridSpan w:val="5"/>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3.07.</w:t>
            </w:r>
          </w:p>
        </w:tc>
        <w:tc>
          <w:tcPr>
            <w:tcW w:w="45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21"/>
                <w:szCs w:val="21"/>
                <w:color w:val="auto"/>
              </w:rPr>
              <w:t>Compliance with Laws and Agreements; No Default</w:t>
            </w:r>
          </w:p>
        </w:tc>
        <w:tc>
          <w:tcPr>
            <w:tcW w:w="20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3.08.</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Investment Company Status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3.09.</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5"/>
              </w:rPr>
              <w:t>Taxes</w:t>
            </w:r>
          </w:p>
        </w:tc>
        <w:tc>
          <w:tcPr>
            <w:tcW w:w="1900" w:type="dxa"/>
            <w:vAlign w:val="bottom"/>
            <w:tcBorders>
              <w:top w:val="single" w:sz="8" w:color="auto"/>
            </w:tcBorders>
            <w:gridSpan w:val="13"/>
          </w:tcPr>
          <w:p>
            <w:pPr>
              <w:spacing w:after="0"/>
              <w:rPr>
                <w:sz w:val="21"/>
                <w:szCs w:val="21"/>
                <w:color w:val="auto"/>
              </w:rPr>
            </w:pPr>
          </w:p>
        </w:tc>
        <w:tc>
          <w:tcPr>
            <w:tcW w:w="4120" w:type="dxa"/>
            <w:vAlign w:val="bottom"/>
            <w:gridSpan w:val="12"/>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3.10.</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8"/>
              </w:rPr>
              <w:t>ERISA</w:t>
            </w:r>
          </w:p>
        </w:tc>
        <w:tc>
          <w:tcPr>
            <w:tcW w:w="5900" w:type="dxa"/>
            <w:vAlign w:val="bottom"/>
            <w:gridSpan w:val="24"/>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3.11.</w:t>
            </w:r>
          </w:p>
        </w:tc>
        <w:tc>
          <w:tcPr>
            <w:tcW w:w="9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rPr>
              <w:t>Disclosure</w:t>
            </w:r>
          </w:p>
        </w:tc>
        <w:tc>
          <w:tcPr>
            <w:tcW w:w="5600" w:type="dxa"/>
            <w:vAlign w:val="bottom"/>
            <w:gridSpan w:val="21"/>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3.12.</w:t>
            </w:r>
          </w:p>
        </w:tc>
        <w:tc>
          <w:tcPr>
            <w:tcW w:w="16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1"/>
                <w:szCs w:val="21"/>
                <w:color w:val="auto"/>
              </w:rPr>
              <w:t>Material Contracts</w:t>
            </w:r>
          </w:p>
        </w:tc>
        <w:tc>
          <w:tcPr>
            <w:tcW w:w="4920" w:type="dxa"/>
            <w:vAlign w:val="bottom"/>
            <w:gridSpan w:val="16"/>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3.13.</w:t>
            </w:r>
          </w:p>
        </w:tc>
        <w:tc>
          <w:tcPr>
            <w:tcW w:w="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Solvency</w:t>
            </w:r>
          </w:p>
        </w:tc>
        <w:tc>
          <w:tcPr>
            <w:tcW w:w="5660" w:type="dxa"/>
            <w:vAlign w:val="bottom"/>
            <w:gridSpan w:val="22"/>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3.14.</w:t>
            </w:r>
          </w:p>
        </w:tc>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w w:val="99"/>
              </w:rPr>
              <w:t>Reserved</w:t>
            </w:r>
          </w:p>
        </w:tc>
        <w:tc>
          <w:tcPr>
            <w:tcW w:w="5720" w:type="dxa"/>
            <w:vAlign w:val="bottom"/>
            <w:gridSpan w:val="23"/>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3.15.</w:t>
            </w:r>
          </w:p>
        </w:tc>
        <w:tc>
          <w:tcPr>
            <w:tcW w:w="26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21"/>
                <w:szCs w:val="21"/>
                <w:color w:val="auto"/>
              </w:rPr>
              <w:t>Capitalization and Subsidiaries</w:t>
            </w:r>
          </w:p>
        </w:tc>
        <w:tc>
          <w:tcPr>
            <w:tcW w:w="3860" w:type="dxa"/>
            <w:vAlign w:val="bottom"/>
            <w:gridSpan w:val="7"/>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3.16.</w:t>
            </w:r>
          </w:p>
        </w:tc>
        <w:tc>
          <w:tcPr>
            <w:tcW w:w="25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21"/>
                <w:szCs w:val="21"/>
                <w:color w:val="auto"/>
              </w:rPr>
              <w:t>Security Interest in Collateral</w:t>
            </w:r>
          </w:p>
        </w:tc>
        <w:tc>
          <w:tcPr>
            <w:tcW w:w="4000" w:type="dxa"/>
            <w:vAlign w:val="bottom"/>
            <w:gridSpan w:val="10"/>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3.17.</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Employment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3.18.</w:t>
            </w:r>
          </w:p>
        </w:tc>
        <w:tc>
          <w:tcPr>
            <w:tcW w:w="1700" w:type="dxa"/>
            <w:vAlign w:val="bottom"/>
            <w:tcBorders>
              <w:top w:val="single" w:sz="8" w:color="auto"/>
              <w:bottom w:val="single" w:sz="8" w:color="auto"/>
            </w:tcBorders>
            <w:gridSpan w:val="11"/>
          </w:tcPr>
          <w:p>
            <w:pPr>
              <w:spacing w:after="0"/>
              <w:rPr>
                <w:sz w:val="20"/>
                <w:szCs w:val="20"/>
                <w:color w:val="auto"/>
              </w:rPr>
            </w:pPr>
            <w:r>
              <w:rPr>
                <w:rFonts w:ascii="Times New Roman" w:cs="Times New Roman" w:eastAsia="Times New Roman" w:hAnsi="Times New Roman"/>
                <w:sz w:val="21"/>
                <w:szCs w:val="21"/>
                <w:color w:val="auto"/>
              </w:rPr>
              <w:t>Margin Regulations</w:t>
            </w:r>
          </w:p>
        </w:tc>
        <w:tc>
          <w:tcPr>
            <w:tcW w:w="100" w:type="dxa"/>
            <w:vAlign w:val="bottom"/>
            <w:tcBorders>
              <w:top w:val="single" w:sz="8" w:color="auto"/>
            </w:tcBorders>
          </w:tcPr>
          <w:p>
            <w:pPr>
              <w:spacing w:after="0"/>
              <w:rPr>
                <w:sz w:val="21"/>
                <w:szCs w:val="21"/>
                <w:color w:val="auto"/>
              </w:rPr>
            </w:pPr>
          </w:p>
        </w:tc>
        <w:tc>
          <w:tcPr>
            <w:tcW w:w="4720" w:type="dxa"/>
            <w:vAlign w:val="bottom"/>
            <w:gridSpan w:val="14"/>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3.19.</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0"/>
        </w:trPr>
        <w:tc>
          <w:tcPr>
            <w:tcW w:w="246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3.20.</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No Burdensome Restrictions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0"/>
        </w:trPr>
        <w:tc>
          <w:tcPr>
            <w:tcW w:w="246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00" w:type="dxa"/>
            <w:vAlign w:val="bottom"/>
            <w:gridSpan w:val="6"/>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3.21.</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Anti-Corruption Laws and Sanctions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3.22.</w:t>
            </w:r>
          </w:p>
        </w:tc>
        <w:tc>
          <w:tcPr>
            <w:tcW w:w="314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21"/>
                <w:szCs w:val="21"/>
                <w:color w:val="auto"/>
              </w:rPr>
              <w:t>Affected Financial Institutions</w:t>
            </w:r>
          </w:p>
        </w:tc>
        <w:tc>
          <w:tcPr>
            <w:tcW w:w="3380" w:type="dxa"/>
            <w:vAlign w:val="bottom"/>
            <w:gridSpan w:val="6"/>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3.23.</w:t>
            </w:r>
          </w:p>
        </w:tc>
        <w:tc>
          <w:tcPr>
            <w:tcW w:w="260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21"/>
                <w:szCs w:val="21"/>
                <w:color w:val="auto"/>
              </w:rPr>
              <w:t>Plan Assets</w:t>
            </w:r>
          </w:p>
        </w:tc>
        <w:tc>
          <w:tcPr>
            <w:tcW w:w="3920" w:type="dxa"/>
            <w:vAlign w:val="bottom"/>
            <w:gridSpan w:val="8"/>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20"/>
        </w:trPr>
        <w:tc>
          <w:tcPr>
            <w:tcW w:w="2460" w:type="dxa"/>
            <w:vAlign w:val="bottom"/>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3.24.</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Healthcare and Regulatory Authority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r>
      <w:tr>
        <w:trPr>
          <w:trHeight w:val="646"/>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ARTICLE IV Conditions</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4.01.</w:t>
            </w:r>
          </w:p>
        </w:tc>
        <w:tc>
          <w:tcPr>
            <w:tcW w:w="1240" w:type="dxa"/>
            <w:vAlign w:val="bottom"/>
            <w:tcBorders>
              <w:bottom w:val="single" w:sz="8" w:color="auto"/>
            </w:tcBorders>
            <w:gridSpan w:val="7"/>
          </w:tcPr>
          <w:p>
            <w:pPr>
              <w:spacing w:after="0" w:line="228" w:lineRule="exact"/>
              <w:rPr>
                <w:sz w:val="20"/>
                <w:szCs w:val="20"/>
                <w:color w:val="auto"/>
              </w:rPr>
            </w:pPr>
            <w:r>
              <w:rPr>
                <w:rFonts w:ascii="Times New Roman" w:cs="Times New Roman" w:eastAsia="Times New Roman" w:hAnsi="Times New Roman"/>
                <w:sz w:val="21"/>
                <w:szCs w:val="21"/>
                <w:color w:val="auto"/>
              </w:rPr>
              <w:t>Effective Date</w:t>
            </w:r>
          </w:p>
        </w:tc>
        <w:tc>
          <w:tcPr>
            <w:tcW w:w="5280" w:type="dxa"/>
            <w:vAlign w:val="bottom"/>
            <w:gridSpan w:val="19"/>
          </w:tcPr>
          <w:p>
            <w:pPr>
              <w:spacing w:after="0"/>
              <w:rPr>
                <w:sz w:val="19"/>
                <w:szCs w:val="19"/>
                <w:color w:val="auto"/>
              </w:rPr>
            </w:pPr>
          </w:p>
        </w:tc>
        <w:tc>
          <w:tcPr>
            <w:tcW w:w="22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73</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4.02.</w:t>
            </w:r>
          </w:p>
        </w:tc>
        <w:tc>
          <w:tcPr>
            <w:tcW w:w="6520" w:type="dxa"/>
            <w:vAlign w:val="bottom"/>
            <w:gridSpan w:val="26"/>
          </w:tcPr>
          <w:p>
            <w:pPr>
              <w:spacing w:after="0"/>
              <w:rPr>
                <w:sz w:val="20"/>
                <w:szCs w:val="20"/>
                <w:color w:val="auto"/>
              </w:rPr>
            </w:pPr>
            <w:r>
              <w:rPr>
                <w:rFonts w:ascii="Times New Roman" w:cs="Times New Roman" w:eastAsia="Times New Roman" w:hAnsi="Times New Roman"/>
                <w:sz w:val="21"/>
                <w:szCs w:val="21"/>
                <w:color w:val="auto"/>
              </w:rPr>
              <w:t>Each Credit Event</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20"/>
        </w:trPr>
        <w:tc>
          <w:tcPr>
            <w:tcW w:w="2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40" w:top="1433"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67"/>
        </w:trPr>
        <w:tc>
          <w:tcPr>
            <w:tcW w:w="1054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ARTICLE V Affirmative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0" w:type="dxa"/>
            <w:vAlign w:val="bottom"/>
          </w:tcPr>
          <w:p>
            <w:pPr>
              <w:spacing w:after="0"/>
              <w:rPr>
                <w:sz w:val="1"/>
                <w:szCs w:val="1"/>
                <w:color w:val="auto"/>
              </w:rPr>
            </w:pP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5.01.</w:t>
            </w:r>
          </w:p>
        </w:tc>
        <w:tc>
          <w:tcPr>
            <w:tcW w:w="3760" w:type="dxa"/>
            <w:vAlign w:val="bottom"/>
            <w:tcBorders>
              <w:bottom w:val="single" w:sz="8" w:color="auto"/>
            </w:tcBorders>
            <w:gridSpan w:val="23"/>
          </w:tcPr>
          <w:p>
            <w:pPr>
              <w:spacing w:after="0" w:line="228" w:lineRule="exact"/>
              <w:rPr>
                <w:sz w:val="20"/>
                <w:szCs w:val="20"/>
                <w:color w:val="auto"/>
              </w:rPr>
            </w:pPr>
            <w:r>
              <w:rPr>
                <w:rFonts w:ascii="Times New Roman" w:cs="Times New Roman" w:eastAsia="Times New Roman" w:hAnsi="Times New Roman"/>
                <w:sz w:val="21"/>
                <w:szCs w:val="21"/>
                <w:color w:val="auto"/>
              </w:rPr>
              <w:t>Financial Statements and Other Information</w:t>
            </w:r>
          </w:p>
        </w:tc>
        <w:tc>
          <w:tcPr>
            <w:tcW w:w="4320" w:type="dxa"/>
            <w:vAlign w:val="bottom"/>
            <w:gridSpan w:val="5"/>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76</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5.02.</w:t>
            </w:r>
          </w:p>
        </w:tc>
        <w:tc>
          <w:tcPr>
            <w:tcW w:w="23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1"/>
                <w:szCs w:val="21"/>
                <w:color w:val="auto"/>
              </w:rPr>
              <w:t>Notices of Material Events</w:t>
            </w:r>
          </w:p>
        </w:tc>
        <w:tc>
          <w:tcPr>
            <w:tcW w:w="5780" w:type="dxa"/>
            <w:vAlign w:val="bottom"/>
            <w:gridSpan w:val="13"/>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5.03.</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Existence; Conduct of 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5.04.</w:t>
            </w:r>
          </w:p>
        </w:tc>
        <w:tc>
          <w:tcPr>
            <w:tcW w:w="27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21"/>
                <w:szCs w:val="21"/>
                <w:color w:val="auto"/>
              </w:rPr>
              <w:t>Payment of Obligations</w:t>
            </w:r>
          </w:p>
        </w:tc>
        <w:tc>
          <w:tcPr>
            <w:tcW w:w="5380" w:type="dxa"/>
            <w:vAlign w:val="bottom"/>
            <w:gridSpan w:val="9"/>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5.05.</w:t>
            </w:r>
          </w:p>
        </w:tc>
        <w:tc>
          <w:tcPr>
            <w:tcW w:w="22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21"/>
                <w:szCs w:val="21"/>
                <w:color w:val="auto"/>
              </w:rPr>
              <w:t>Maintenance of Properties</w:t>
            </w:r>
          </w:p>
        </w:tc>
        <w:tc>
          <w:tcPr>
            <w:tcW w:w="5820" w:type="dxa"/>
            <w:vAlign w:val="bottom"/>
            <w:gridSpan w:val="14"/>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5.06.</w:t>
            </w:r>
          </w:p>
        </w:tc>
        <w:tc>
          <w:tcPr>
            <w:tcW w:w="328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21"/>
                <w:szCs w:val="21"/>
                <w:color w:val="auto"/>
              </w:rPr>
              <w:t>Books and Records; Inspection Rights</w:t>
            </w:r>
          </w:p>
        </w:tc>
        <w:tc>
          <w:tcPr>
            <w:tcW w:w="4800" w:type="dxa"/>
            <w:vAlign w:val="bottom"/>
            <w:gridSpan w:val="6"/>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247"/>
        </w:trPr>
        <w:tc>
          <w:tcPr>
            <w:tcW w:w="24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5.07.</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Compliance with Laws and Material Contractual Obligations; Healthcare and Regulatory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193"/>
        </w:trPr>
        <w:tc>
          <w:tcPr>
            <w:tcW w:w="2460" w:type="dxa"/>
            <w:vAlign w:val="bottom"/>
            <w:vMerge w:val="continue"/>
          </w:tcPr>
          <w:p>
            <w:pPr>
              <w:spacing w:after="0"/>
              <w:rPr>
                <w:sz w:val="16"/>
                <w:szCs w:val="16"/>
                <w:color w:val="auto"/>
              </w:rPr>
            </w:pPr>
          </w:p>
        </w:tc>
        <w:tc>
          <w:tcPr>
            <w:tcW w:w="1540" w:type="dxa"/>
            <w:vAlign w:val="bottom"/>
            <w:tcBorders>
              <w:top w:val="single" w:sz="8" w:color="auto"/>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21"/>
                <w:szCs w:val="21"/>
                <w:color w:val="auto"/>
              </w:rPr>
              <w:t>Authority Matters</w:t>
            </w:r>
          </w:p>
        </w:tc>
        <w:tc>
          <w:tcPr>
            <w:tcW w:w="6080" w:type="dxa"/>
            <w:vAlign w:val="bottom"/>
            <w:tcBorders>
              <w:top w:val="single" w:sz="8" w:color="auto"/>
            </w:tcBorders>
            <w:gridSpan w:val="19"/>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5.08.</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5.09.</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Accuracy of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5.10.</w:t>
            </w:r>
          </w:p>
        </w:tc>
        <w:tc>
          <w:tcPr>
            <w:tcW w:w="21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1"/>
                <w:szCs w:val="21"/>
                <w:color w:val="auto"/>
              </w:rPr>
              <w:t>Insurance</w:t>
            </w:r>
          </w:p>
        </w:tc>
        <w:tc>
          <w:tcPr>
            <w:tcW w:w="5960" w:type="dxa"/>
            <w:vAlign w:val="bottom"/>
            <w:gridSpan w:val="15"/>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5.11.</w:t>
            </w:r>
          </w:p>
        </w:tc>
        <w:tc>
          <w:tcPr>
            <w:tcW w:w="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[Reserved]</w:t>
            </w:r>
          </w:p>
        </w:tc>
        <w:tc>
          <w:tcPr>
            <w:tcW w:w="7120" w:type="dxa"/>
            <w:vAlign w:val="bottom"/>
            <w:gridSpan w:val="24"/>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5.12.</w:t>
            </w: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w w:val="99"/>
              </w:rPr>
              <w:t>[Reserved]</w:t>
            </w:r>
          </w:p>
        </w:tc>
        <w:tc>
          <w:tcPr>
            <w:tcW w:w="7140" w:type="dxa"/>
            <w:vAlign w:val="bottom"/>
            <w:gridSpan w:val="25"/>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5.13.</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Subsidiary Guarantors; Additional Collateral; Further Assurances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5.14.</w:t>
            </w:r>
          </w:p>
        </w:tc>
        <w:tc>
          <w:tcPr>
            <w:tcW w:w="5600" w:type="dxa"/>
            <w:vAlign w:val="bottom"/>
            <w:tcBorders>
              <w:top w:val="single" w:sz="8" w:color="auto"/>
            </w:tcBorders>
            <w:gridSpan w:val="26"/>
          </w:tcPr>
          <w:p>
            <w:pPr>
              <w:spacing w:after="0"/>
              <w:rPr>
                <w:sz w:val="20"/>
                <w:szCs w:val="20"/>
                <w:color w:val="auto"/>
              </w:rPr>
            </w:pPr>
            <w:r>
              <w:rPr>
                <w:rFonts w:ascii="Times New Roman" w:cs="Times New Roman" w:eastAsia="Times New Roman" w:hAnsi="Times New Roman"/>
                <w:sz w:val="21"/>
                <w:szCs w:val="21"/>
                <w:color w:val="auto"/>
              </w:rPr>
              <w:t>Post-Closing Requirements</w:t>
            </w:r>
          </w:p>
        </w:tc>
        <w:tc>
          <w:tcPr>
            <w:tcW w:w="248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5.15.</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Vericel Securities Corporation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54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ARTICLE VI Negative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0" w:type="dxa"/>
            <w:vAlign w:val="bottom"/>
          </w:tcPr>
          <w:p>
            <w:pPr>
              <w:spacing w:after="0"/>
              <w:rPr>
                <w:sz w:val="1"/>
                <w:szCs w:val="1"/>
                <w:color w:val="auto"/>
              </w:rPr>
            </w:pP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6.01.</w:t>
            </w:r>
          </w:p>
        </w:tc>
        <w:tc>
          <w:tcPr>
            <w:tcW w:w="1120" w:type="dxa"/>
            <w:vAlign w:val="bottom"/>
            <w:tcBorders>
              <w:bottom w:val="single" w:sz="8" w:color="auto"/>
            </w:tcBorders>
            <w:gridSpan w:val="6"/>
          </w:tcPr>
          <w:p>
            <w:pPr>
              <w:spacing w:after="0" w:line="228" w:lineRule="exact"/>
              <w:rPr>
                <w:sz w:val="20"/>
                <w:szCs w:val="20"/>
                <w:color w:val="auto"/>
              </w:rPr>
            </w:pPr>
            <w:r>
              <w:rPr>
                <w:rFonts w:ascii="Times New Roman" w:cs="Times New Roman" w:eastAsia="Times New Roman" w:hAnsi="Times New Roman"/>
                <w:sz w:val="21"/>
                <w:szCs w:val="21"/>
                <w:color w:val="auto"/>
              </w:rPr>
              <w:t>Indebtedness</w:t>
            </w:r>
          </w:p>
        </w:tc>
        <w:tc>
          <w:tcPr>
            <w:tcW w:w="6960" w:type="dxa"/>
            <w:vAlign w:val="bottom"/>
            <w:gridSpan w:val="22"/>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83</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6.02.</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Liens</w:t>
            </w:r>
          </w:p>
        </w:tc>
        <w:tc>
          <w:tcPr>
            <w:tcW w:w="7600" w:type="dxa"/>
            <w:vAlign w:val="bottom"/>
            <w:gridSpan w:val="27"/>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6.03.</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Fundamental Changes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6.04.</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Investments, Loans, Advances, Guarantees and Acquisitions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6.05.</w:t>
            </w:r>
          </w:p>
        </w:tc>
        <w:tc>
          <w:tcPr>
            <w:tcW w:w="9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w w:val="99"/>
              </w:rPr>
              <w:t>Asset Sales</w:t>
            </w:r>
          </w:p>
        </w:tc>
        <w:tc>
          <w:tcPr>
            <w:tcW w:w="4180" w:type="dxa"/>
            <w:vAlign w:val="bottom"/>
            <w:tcBorders>
              <w:top w:val="single" w:sz="8" w:color="auto"/>
            </w:tcBorders>
            <w:gridSpan w:val="20"/>
          </w:tcPr>
          <w:p>
            <w:pPr>
              <w:spacing w:after="0"/>
              <w:rPr>
                <w:sz w:val="21"/>
                <w:szCs w:val="21"/>
                <w:color w:val="auto"/>
              </w:rPr>
            </w:pPr>
          </w:p>
        </w:tc>
        <w:tc>
          <w:tcPr>
            <w:tcW w:w="292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6.06.</w:t>
            </w:r>
          </w:p>
        </w:tc>
        <w:tc>
          <w:tcPr>
            <w:tcW w:w="282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1"/>
                <w:szCs w:val="21"/>
                <w:color w:val="auto"/>
              </w:rPr>
              <w:t>Sale and Leaseback Transactions</w:t>
            </w:r>
          </w:p>
        </w:tc>
        <w:tc>
          <w:tcPr>
            <w:tcW w:w="526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6.07.</w:t>
            </w:r>
          </w:p>
        </w:tc>
        <w:tc>
          <w:tcPr>
            <w:tcW w:w="15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Swap Agreements</w:t>
            </w:r>
          </w:p>
        </w:tc>
        <w:tc>
          <w:tcPr>
            <w:tcW w:w="6520" w:type="dxa"/>
            <w:vAlign w:val="bottom"/>
            <w:gridSpan w:val="19"/>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6.08.</w:t>
            </w:r>
          </w:p>
        </w:tc>
        <w:tc>
          <w:tcPr>
            <w:tcW w:w="47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1"/>
                <w:szCs w:val="21"/>
                <w:color w:val="auto"/>
              </w:rPr>
              <w:t>Restricted Payments; Certain Payments of Indebtedness</w:t>
            </w:r>
          </w:p>
        </w:tc>
        <w:tc>
          <w:tcPr>
            <w:tcW w:w="330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6.09.</w:t>
            </w:r>
          </w:p>
        </w:tc>
        <w:tc>
          <w:tcPr>
            <w:tcW w:w="23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1"/>
                <w:szCs w:val="21"/>
                <w:color w:val="auto"/>
              </w:rPr>
              <w:t>Transactions with Affiliates</w:t>
            </w:r>
          </w:p>
        </w:tc>
        <w:tc>
          <w:tcPr>
            <w:tcW w:w="5700" w:type="dxa"/>
            <w:vAlign w:val="bottom"/>
            <w:gridSpan w:val="11"/>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6.10.</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Restrictive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60" w:type="dxa"/>
            <w:vAlign w:val="bottom"/>
            <w:gridSpan w:val="10"/>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6.11.</w:t>
            </w:r>
          </w:p>
        </w:tc>
        <w:tc>
          <w:tcPr>
            <w:tcW w:w="8080" w:type="dxa"/>
            <w:vAlign w:val="bottom"/>
            <w:gridSpan w:val="28"/>
          </w:tcPr>
          <w:p>
            <w:pPr>
              <w:spacing w:after="0"/>
              <w:rPr>
                <w:sz w:val="20"/>
                <w:szCs w:val="20"/>
                <w:color w:val="auto"/>
              </w:rPr>
            </w:pPr>
            <w:r>
              <w:rPr>
                <w:rFonts w:ascii="Times New Roman" w:cs="Times New Roman" w:eastAsia="Times New Roman" w:hAnsi="Times New Roman"/>
                <w:sz w:val="21"/>
                <w:szCs w:val="21"/>
                <w:color w:val="auto"/>
              </w:rPr>
              <w:t>Amendment of Material Documents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6.12.</w:t>
            </w:r>
          </w:p>
        </w:tc>
        <w:tc>
          <w:tcPr>
            <w:tcW w:w="30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21"/>
                <w:szCs w:val="21"/>
                <w:color w:val="auto"/>
              </w:rPr>
              <w:t>Financial Covenant</w:t>
            </w:r>
          </w:p>
        </w:tc>
        <w:tc>
          <w:tcPr>
            <w:tcW w:w="5000" w:type="dxa"/>
            <w:vAlign w:val="bottom"/>
            <w:gridSpan w:val="7"/>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60" w:type="dxa"/>
            <w:vAlign w:val="bottom"/>
            <w:gridSpan w:val="10"/>
            <w:shd w:val="clear" w:color="auto" w:fill="000000"/>
          </w:tcPr>
          <w:p>
            <w:pPr>
              <w:spacing w:after="0" w:line="20" w:lineRule="exact"/>
              <w:rPr>
                <w:sz w:val="1"/>
                <w:szCs w:val="1"/>
                <w:color w:val="auto"/>
              </w:rPr>
            </w:pPr>
          </w:p>
        </w:tc>
        <w:tc>
          <w:tcPr>
            <w:tcW w:w="642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1054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ARTICLE VII 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00"/>
          </w:cols>
          <w:pgMar w:left="340" w:top="1433"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67"/>
        </w:trPr>
        <w:tc>
          <w:tcPr>
            <w:tcW w:w="10040" w:type="dxa"/>
            <w:vAlign w:val="bottom"/>
            <w:gridSpan w:val="30"/>
          </w:tcPr>
          <w:p>
            <w:pPr>
              <w:spacing w:after="0"/>
              <w:rPr>
                <w:sz w:val="20"/>
                <w:szCs w:val="20"/>
                <w:color w:val="auto"/>
              </w:rPr>
            </w:pPr>
            <w:r>
              <w:rPr>
                <w:rFonts w:ascii="Times New Roman" w:cs="Times New Roman" w:eastAsia="Times New Roman" w:hAnsi="Times New Roman"/>
                <w:sz w:val="21"/>
                <w:szCs w:val="21"/>
                <w:color w:val="auto"/>
              </w:rPr>
              <w:t>ARTICLE VIII The Administrative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8.01.</w:t>
            </w:r>
          </w:p>
        </w:tc>
        <w:tc>
          <w:tcPr>
            <w:tcW w:w="7580" w:type="dxa"/>
            <w:vAlign w:val="bottom"/>
            <w:gridSpan w:val="29"/>
          </w:tcPr>
          <w:p>
            <w:pPr>
              <w:spacing w:after="0" w:line="228" w:lineRule="exact"/>
              <w:rPr>
                <w:sz w:val="20"/>
                <w:szCs w:val="20"/>
                <w:color w:val="auto"/>
              </w:rPr>
            </w:pPr>
            <w:r>
              <w:rPr>
                <w:rFonts w:ascii="Times New Roman" w:cs="Times New Roman" w:eastAsia="Times New Roman" w:hAnsi="Times New Roman"/>
                <w:sz w:val="21"/>
                <w:szCs w:val="21"/>
                <w:color w:val="auto"/>
              </w:rPr>
              <w:t>Authorization and Action</w:t>
            </w:r>
          </w:p>
        </w:tc>
        <w:tc>
          <w:tcPr>
            <w:tcW w:w="116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98</w:t>
            </w:r>
          </w:p>
        </w:tc>
      </w:tr>
      <w:tr>
        <w:trPr>
          <w:trHeight w:val="20"/>
        </w:trPr>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8.02.</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Administrative Agent’s Reliance, Limitation of Liability, Indemnification,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8.03.</w:t>
            </w:r>
          </w:p>
        </w:tc>
        <w:tc>
          <w:tcPr>
            <w:tcW w:w="6720" w:type="dxa"/>
            <w:vAlign w:val="bottom"/>
            <w:tcBorders>
              <w:top w:val="single" w:sz="8" w:color="auto"/>
            </w:tcBorders>
            <w:gridSpan w:val="28"/>
          </w:tcPr>
          <w:p>
            <w:pPr>
              <w:spacing w:after="0"/>
              <w:rPr>
                <w:sz w:val="20"/>
                <w:szCs w:val="20"/>
                <w:color w:val="auto"/>
              </w:rPr>
            </w:pPr>
            <w:r>
              <w:rPr>
                <w:rFonts w:ascii="Times New Roman" w:cs="Times New Roman" w:eastAsia="Times New Roman" w:hAnsi="Times New Roman"/>
                <w:sz w:val="21"/>
                <w:szCs w:val="21"/>
                <w:color w:val="auto"/>
              </w:rPr>
              <w:t>Posting of Communications</w:t>
            </w:r>
          </w:p>
        </w:tc>
        <w:tc>
          <w:tcPr>
            <w:tcW w:w="8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w:t>
            </w:r>
          </w:p>
        </w:tc>
      </w:tr>
      <w:tr>
        <w:trPr>
          <w:trHeight w:val="20"/>
        </w:trPr>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8.04.</w:t>
            </w:r>
          </w:p>
        </w:tc>
        <w:tc>
          <w:tcPr>
            <w:tcW w:w="33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1"/>
                <w:szCs w:val="21"/>
                <w:color w:val="auto"/>
              </w:rPr>
              <w:t>The Administrative Agent Individually</w:t>
            </w:r>
          </w:p>
        </w:tc>
        <w:tc>
          <w:tcPr>
            <w:tcW w:w="4240" w:type="dxa"/>
            <w:vAlign w:val="bottom"/>
            <w:gridSpan w:val="9"/>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8.05.</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Successor Administrative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0"/>
        </w:trPr>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8.06.</w:t>
            </w:r>
          </w:p>
        </w:tc>
        <w:tc>
          <w:tcPr>
            <w:tcW w:w="420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21"/>
                <w:szCs w:val="21"/>
                <w:color w:val="auto"/>
              </w:rPr>
              <w:t>Acknowledgments of Lenders and Issuing Banks</w:t>
            </w:r>
          </w:p>
        </w:tc>
        <w:tc>
          <w:tcPr>
            <w:tcW w:w="3380" w:type="dxa"/>
            <w:vAlign w:val="bottom"/>
            <w:gridSpan w:val="8"/>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8.07.</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Collateral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8.08.</w:t>
            </w:r>
          </w:p>
        </w:tc>
        <w:tc>
          <w:tcPr>
            <w:tcW w:w="12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Credit Bidding</w:t>
            </w:r>
          </w:p>
        </w:tc>
        <w:tc>
          <w:tcPr>
            <w:tcW w:w="260" w:type="dxa"/>
            <w:vAlign w:val="bottom"/>
            <w:tcBorders>
              <w:top w:val="single" w:sz="8" w:color="auto"/>
            </w:tcBorders>
            <w:gridSpan w:val="2"/>
          </w:tcPr>
          <w:p>
            <w:pPr>
              <w:spacing w:after="0"/>
              <w:rPr>
                <w:sz w:val="21"/>
                <w:szCs w:val="21"/>
                <w:color w:val="auto"/>
              </w:rPr>
            </w:pPr>
          </w:p>
        </w:tc>
        <w:tc>
          <w:tcPr>
            <w:tcW w:w="6040" w:type="dxa"/>
            <w:vAlign w:val="bottom"/>
            <w:gridSpan w:val="19"/>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8.09.</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Certain ERISA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8.10.</w:t>
            </w:r>
          </w:p>
        </w:tc>
        <w:tc>
          <w:tcPr>
            <w:tcW w:w="200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1"/>
                <w:szCs w:val="21"/>
                <w:color w:val="auto"/>
              </w:rPr>
              <w:t>Flood Laws</w:t>
            </w:r>
          </w:p>
        </w:tc>
        <w:tc>
          <w:tcPr>
            <w:tcW w:w="5580" w:type="dxa"/>
            <w:vAlign w:val="bottom"/>
            <w:gridSpan w:val="16"/>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646"/>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ARTICLE IX Miscellaneous</w:t>
            </w: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228"/>
        </w:trPr>
        <w:tc>
          <w:tcPr>
            <w:tcW w:w="246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SECTION 9.01.</w:t>
            </w:r>
          </w:p>
        </w:tc>
        <w:tc>
          <w:tcPr>
            <w:tcW w:w="66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21"/>
                <w:szCs w:val="21"/>
                <w:color w:val="auto"/>
                <w:w w:val="99"/>
              </w:rPr>
              <w:t>Notices</w:t>
            </w:r>
          </w:p>
        </w:tc>
        <w:tc>
          <w:tcPr>
            <w:tcW w:w="6920" w:type="dxa"/>
            <w:vAlign w:val="bottom"/>
            <w:gridSpan w:val="28"/>
          </w:tcPr>
          <w:p>
            <w:pPr>
              <w:spacing w:after="0"/>
              <w:rPr>
                <w:sz w:val="19"/>
                <w:szCs w:val="19"/>
                <w:color w:val="auto"/>
              </w:rPr>
            </w:pPr>
          </w:p>
        </w:tc>
        <w:tc>
          <w:tcPr>
            <w:tcW w:w="116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108</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9.02.</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Waivers; Amendments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w:t>
            </w:r>
          </w:p>
        </w:tc>
      </w:tr>
      <w:tr>
        <w:trPr>
          <w:trHeight w:val="20"/>
        </w:trPr>
        <w:tc>
          <w:tcPr>
            <w:tcW w:w="24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9.03.</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Expenses; Limitation of Liability; Indemnity;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9.04.</w:t>
            </w:r>
          </w:p>
        </w:tc>
        <w:tc>
          <w:tcPr>
            <w:tcW w:w="428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21"/>
                <w:szCs w:val="21"/>
                <w:color w:val="auto"/>
              </w:rPr>
              <w:t>Successors and Assigns</w:t>
            </w:r>
          </w:p>
        </w:tc>
        <w:tc>
          <w:tcPr>
            <w:tcW w:w="3300" w:type="dxa"/>
            <w:vAlign w:val="bottom"/>
            <w:gridSpan w:val="7"/>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9.05.</w:t>
            </w:r>
          </w:p>
        </w:tc>
        <w:tc>
          <w:tcPr>
            <w:tcW w:w="202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21"/>
                <w:szCs w:val="21"/>
                <w:color w:val="auto"/>
              </w:rPr>
              <w:t>Survival</w:t>
            </w:r>
          </w:p>
        </w:tc>
        <w:tc>
          <w:tcPr>
            <w:tcW w:w="5560" w:type="dxa"/>
            <w:vAlign w:val="bottom"/>
            <w:gridSpan w:val="15"/>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0"/>
        </w:trPr>
        <w:tc>
          <w:tcPr>
            <w:tcW w:w="24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9.06.</w:t>
            </w:r>
          </w:p>
        </w:tc>
        <w:tc>
          <w:tcPr>
            <w:tcW w:w="532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21"/>
                <w:szCs w:val="21"/>
                <w:color w:val="auto"/>
              </w:rPr>
              <w:t>Counterparts; Integration; Effectiveness; Electronic Execution</w:t>
            </w:r>
          </w:p>
        </w:tc>
        <w:tc>
          <w:tcPr>
            <w:tcW w:w="2260" w:type="dxa"/>
            <w:vAlign w:val="bottom"/>
            <w:gridSpan w:val="3"/>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9.07.</w:t>
            </w:r>
          </w:p>
        </w:tc>
        <w:tc>
          <w:tcPr>
            <w:tcW w:w="10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Severability</w:t>
            </w:r>
          </w:p>
        </w:tc>
        <w:tc>
          <w:tcPr>
            <w:tcW w:w="6540" w:type="dxa"/>
            <w:vAlign w:val="bottom"/>
            <w:gridSpan w:val="22"/>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9.08.</w:t>
            </w:r>
          </w:p>
        </w:tc>
        <w:tc>
          <w:tcPr>
            <w:tcW w:w="1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w w:val="99"/>
              </w:rPr>
              <w:t>Right of Setoff</w:t>
            </w:r>
          </w:p>
        </w:tc>
        <w:tc>
          <w:tcPr>
            <w:tcW w:w="6300" w:type="dxa"/>
            <w:vAlign w:val="bottom"/>
            <w:gridSpan w:val="21"/>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9.09.</w:t>
            </w:r>
          </w:p>
        </w:tc>
        <w:tc>
          <w:tcPr>
            <w:tcW w:w="512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21"/>
                <w:szCs w:val="21"/>
                <w:color w:val="auto"/>
              </w:rPr>
              <w:t>Governing Law; Jurisdiction; Consent to Service of Process</w:t>
            </w:r>
          </w:p>
        </w:tc>
        <w:tc>
          <w:tcPr>
            <w:tcW w:w="2460" w:type="dxa"/>
            <w:vAlign w:val="bottom"/>
            <w:gridSpan w:val="4"/>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9.10.</w:t>
            </w:r>
          </w:p>
        </w:tc>
        <w:tc>
          <w:tcPr>
            <w:tcW w:w="24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1"/>
                <w:szCs w:val="21"/>
                <w:color w:val="auto"/>
                <w:w w:val="99"/>
              </w:rPr>
              <w:t>WAIVER OF JURY TRIAL</w:t>
            </w:r>
          </w:p>
        </w:tc>
        <w:tc>
          <w:tcPr>
            <w:tcW w:w="5160" w:type="dxa"/>
            <w:vAlign w:val="bottom"/>
            <w:gridSpan w:val="11"/>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9.11.</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Headings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0"/>
        </w:trPr>
        <w:tc>
          <w:tcPr>
            <w:tcW w:w="246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9.12.</w:t>
            </w:r>
          </w:p>
        </w:tc>
        <w:tc>
          <w:tcPr>
            <w:tcW w:w="13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Confidentiality</w:t>
            </w:r>
          </w:p>
        </w:tc>
        <w:tc>
          <w:tcPr>
            <w:tcW w:w="6280" w:type="dxa"/>
            <w:vAlign w:val="bottom"/>
            <w:gridSpan w:val="20"/>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9.13.</w:t>
            </w:r>
          </w:p>
        </w:tc>
        <w:tc>
          <w:tcPr>
            <w:tcW w:w="44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21"/>
                <w:szCs w:val="21"/>
                <w:color w:val="auto"/>
              </w:rPr>
              <w:t>Several Obligations; Nonreliance; Violation of Law</w:t>
            </w:r>
          </w:p>
        </w:tc>
        <w:tc>
          <w:tcPr>
            <w:tcW w:w="3160" w:type="dxa"/>
            <w:vAlign w:val="bottom"/>
            <w:gridSpan w:val="6"/>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9.14.</w:t>
            </w:r>
          </w:p>
        </w:tc>
        <w:tc>
          <w:tcPr>
            <w:tcW w:w="17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21"/>
                <w:szCs w:val="21"/>
                <w:color w:val="auto"/>
                <w:w w:val="97"/>
              </w:rPr>
              <w:t>USA PATRIOT Act</w:t>
            </w:r>
          </w:p>
        </w:tc>
        <w:tc>
          <w:tcPr>
            <w:tcW w:w="5880" w:type="dxa"/>
            <w:vAlign w:val="bottom"/>
            <w:gridSpan w:val="18"/>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9.15.</w:t>
            </w:r>
          </w:p>
        </w:tc>
        <w:tc>
          <w:tcPr>
            <w:tcW w:w="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Disclosure</w:t>
            </w:r>
          </w:p>
        </w:tc>
        <w:tc>
          <w:tcPr>
            <w:tcW w:w="6660" w:type="dxa"/>
            <w:vAlign w:val="bottom"/>
            <w:gridSpan w:val="25"/>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9.16.</w:t>
            </w:r>
          </w:p>
        </w:tc>
        <w:tc>
          <w:tcPr>
            <w:tcW w:w="23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21"/>
                <w:szCs w:val="21"/>
                <w:color w:val="auto"/>
              </w:rPr>
              <w:t>Appointment for Perfection</w:t>
            </w:r>
          </w:p>
        </w:tc>
        <w:tc>
          <w:tcPr>
            <w:tcW w:w="5200" w:type="dxa"/>
            <w:vAlign w:val="bottom"/>
            <w:gridSpan w:val="12"/>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9.17.</w:t>
            </w:r>
          </w:p>
        </w:tc>
        <w:tc>
          <w:tcPr>
            <w:tcW w:w="20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21"/>
                <w:szCs w:val="21"/>
                <w:color w:val="auto"/>
              </w:rPr>
              <w:t>Interest Rate Limitation</w:t>
            </w:r>
          </w:p>
        </w:tc>
        <w:tc>
          <w:tcPr>
            <w:tcW w:w="5540" w:type="dxa"/>
            <w:vAlign w:val="bottom"/>
            <w:gridSpan w:val="14"/>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9.18.</w:t>
            </w:r>
          </w:p>
        </w:tc>
        <w:tc>
          <w:tcPr>
            <w:tcW w:w="758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No Fiduciary Duty,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9.19.</w:t>
            </w:r>
          </w:p>
        </w:tc>
        <w:tc>
          <w:tcPr>
            <w:tcW w:w="9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w w:val="99"/>
              </w:rPr>
              <w:t>[Reserved]</w:t>
            </w:r>
          </w:p>
        </w:tc>
        <w:tc>
          <w:tcPr>
            <w:tcW w:w="1060" w:type="dxa"/>
            <w:vAlign w:val="bottom"/>
            <w:tcBorders>
              <w:top w:val="single" w:sz="8" w:color="auto"/>
            </w:tcBorders>
            <w:gridSpan w:val="8"/>
          </w:tcPr>
          <w:p>
            <w:pPr>
              <w:spacing w:after="0"/>
              <w:rPr>
                <w:sz w:val="21"/>
                <w:szCs w:val="21"/>
                <w:color w:val="auto"/>
              </w:rPr>
            </w:pPr>
          </w:p>
        </w:tc>
        <w:tc>
          <w:tcPr>
            <w:tcW w:w="5580" w:type="dxa"/>
            <w:vAlign w:val="bottom"/>
            <w:gridSpan w:val="16"/>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9.20.</w:t>
            </w:r>
          </w:p>
        </w:tc>
        <w:tc>
          <w:tcPr>
            <w:tcW w:w="640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21"/>
                <w:szCs w:val="21"/>
                <w:color w:val="auto"/>
              </w:rPr>
              <w:t>Acknowledgment and Consent to Bail-In of Affected Financial Institutions</w:t>
            </w:r>
          </w:p>
        </w:tc>
        <w:tc>
          <w:tcPr>
            <w:tcW w:w="1180" w:type="dxa"/>
            <w:vAlign w:val="bottom"/>
            <w:gridSpan w:val="2"/>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21"/>
                <w:szCs w:val="21"/>
                <w:color w:val="auto"/>
              </w:rPr>
              <w:t>SECTION 9.21.</w:t>
            </w:r>
          </w:p>
        </w:tc>
        <w:tc>
          <w:tcPr>
            <w:tcW w:w="446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3120" w:type="dxa"/>
            <w:vAlign w:val="bottom"/>
            <w:gridSpan w:val="5"/>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00"/>
          </w:cols>
          <w:pgMar w:left="340" w:top="1433"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67"/>
        </w:trPr>
        <w:tc>
          <w:tcPr>
            <w:tcW w:w="25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X Loan Guaranty</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28"/>
        </w:trPr>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1"/>
                <w:szCs w:val="21"/>
                <w:color w:val="auto"/>
              </w:rPr>
              <w:t>SECTION 10.01.</w:t>
            </w:r>
          </w:p>
        </w:tc>
        <w:tc>
          <w:tcPr>
            <w:tcW w:w="320" w:type="dxa"/>
            <w:vAlign w:val="bottom"/>
          </w:tcPr>
          <w:p>
            <w:pPr>
              <w:spacing w:after="0"/>
              <w:rPr>
                <w:sz w:val="19"/>
                <w:szCs w:val="19"/>
                <w:color w:val="auto"/>
              </w:rPr>
            </w:pPr>
          </w:p>
        </w:tc>
        <w:tc>
          <w:tcPr>
            <w:tcW w:w="800" w:type="dxa"/>
            <w:vAlign w:val="bottom"/>
            <w:tcBorders>
              <w:bottom w:val="single" w:sz="8" w:color="auto"/>
            </w:tcBorders>
            <w:gridSpan w:val="3"/>
          </w:tcPr>
          <w:p>
            <w:pPr>
              <w:spacing w:after="0" w:line="228" w:lineRule="exact"/>
              <w:rPr>
                <w:sz w:val="20"/>
                <w:szCs w:val="20"/>
                <w:color w:val="auto"/>
              </w:rPr>
            </w:pPr>
            <w:r>
              <w:rPr>
                <w:rFonts w:ascii="Times New Roman" w:cs="Times New Roman" w:eastAsia="Times New Roman" w:hAnsi="Times New Roman"/>
                <w:sz w:val="21"/>
                <w:szCs w:val="21"/>
                <w:color w:val="auto"/>
                <w:w w:val="99"/>
              </w:rPr>
              <w:t>Guaranty</w:t>
            </w:r>
          </w:p>
        </w:tc>
        <w:tc>
          <w:tcPr>
            <w:tcW w:w="5540" w:type="dxa"/>
            <w:vAlign w:val="bottom"/>
            <w:gridSpan w:val="10"/>
          </w:tcPr>
          <w:p>
            <w:pPr>
              <w:spacing w:after="0"/>
              <w:rPr>
                <w:sz w:val="19"/>
                <w:szCs w:val="19"/>
                <w:color w:val="auto"/>
              </w:rPr>
            </w:pPr>
          </w:p>
        </w:tc>
        <w:tc>
          <w:tcPr>
            <w:tcW w:w="240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126</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10.02.</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Guaranty of Payment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127</w:t>
            </w:r>
          </w:p>
        </w:tc>
      </w:tr>
      <w:tr>
        <w:trPr>
          <w:trHeight w:val="20"/>
        </w:trPr>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10.03.</w:t>
            </w:r>
          </w:p>
        </w:tc>
        <w:tc>
          <w:tcPr>
            <w:tcW w:w="320" w:type="dxa"/>
            <w:vAlign w:val="bottom"/>
          </w:tcPr>
          <w:p>
            <w:pPr>
              <w:spacing w:after="0"/>
              <w:rPr>
                <w:sz w:val="21"/>
                <w:szCs w:val="21"/>
                <w:color w:val="auto"/>
              </w:rPr>
            </w:pPr>
          </w:p>
        </w:tc>
        <w:tc>
          <w:tcPr>
            <w:tcW w:w="42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1"/>
                <w:szCs w:val="21"/>
                <w:color w:val="auto"/>
              </w:rPr>
              <w:t>No Discharge or Diminishment of Loan Guaranty</w:t>
            </w:r>
          </w:p>
        </w:tc>
        <w:tc>
          <w:tcPr>
            <w:tcW w:w="20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127</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10.04.</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Defenses Waived</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127</w:t>
            </w:r>
          </w:p>
        </w:tc>
      </w:tr>
      <w:tr>
        <w:trPr>
          <w:trHeight w:val="20"/>
        </w:trPr>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10.05.</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Rights of Subrogation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w:t>
            </w:r>
          </w:p>
        </w:tc>
      </w:tr>
      <w:tr>
        <w:trPr>
          <w:trHeight w:val="20"/>
        </w:trPr>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10.06.</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Reinstatement; Stay of Acceleration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10.07.</w:t>
            </w:r>
          </w:p>
        </w:tc>
        <w:tc>
          <w:tcPr>
            <w:tcW w:w="320" w:type="dxa"/>
            <w:vAlign w:val="bottom"/>
          </w:tcPr>
          <w:p>
            <w:pPr>
              <w:spacing w:after="0"/>
              <w:rPr>
                <w:sz w:val="21"/>
                <w:szCs w:val="21"/>
                <w:color w:val="auto"/>
              </w:rPr>
            </w:pPr>
          </w:p>
        </w:tc>
        <w:tc>
          <w:tcPr>
            <w:tcW w:w="10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w w:val="99"/>
              </w:rPr>
              <w:t>Information</w:t>
            </w:r>
          </w:p>
        </w:tc>
        <w:tc>
          <w:tcPr>
            <w:tcW w:w="2060" w:type="dxa"/>
            <w:vAlign w:val="bottom"/>
            <w:tcBorders>
              <w:top w:val="single" w:sz="8" w:color="auto"/>
            </w:tcBorders>
            <w:gridSpan w:val="6"/>
          </w:tcPr>
          <w:p>
            <w:pPr>
              <w:spacing w:after="0"/>
              <w:rPr>
                <w:sz w:val="21"/>
                <w:szCs w:val="21"/>
                <w:color w:val="auto"/>
              </w:rPr>
            </w:pPr>
          </w:p>
        </w:tc>
        <w:tc>
          <w:tcPr>
            <w:tcW w:w="3260" w:type="dxa"/>
            <w:vAlign w:val="bottom"/>
            <w:gridSpan w:val="2"/>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10.08.</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Release of Loan Guarantors</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10.09.</w:t>
            </w:r>
          </w:p>
        </w:tc>
        <w:tc>
          <w:tcPr>
            <w:tcW w:w="320" w:type="dxa"/>
            <w:vAlign w:val="bottom"/>
          </w:tcPr>
          <w:p>
            <w:pPr>
              <w:spacing w:after="0"/>
              <w:rPr>
                <w:sz w:val="21"/>
                <w:szCs w:val="21"/>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5"/>
              </w:rPr>
              <w:t>Taxes</w:t>
            </w:r>
          </w:p>
        </w:tc>
        <w:tc>
          <w:tcPr>
            <w:tcW w:w="1880" w:type="dxa"/>
            <w:vAlign w:val="bottom"/>
            <w:tcBorders>
              <w:top w:val="single" w:sz="8" w:color="auto"/>
            </w:tcBorders>
            <w:gridSpan w:val="8"/>
          </w:tcPr>
          <w:p>
            <w:pPr>
              <w:spacing w:after="0"/>
              <w:rPr>
                <w:sz w:val="21"/>
                <w:szCs w:val="21"/>
                <w:color w:val="auto"/>
              </w:rPr>
            </w:pPr>
          </w:p>
        </w:tc>
        <w:tc>
          <w:tcPr>
            <w:tcW w:w="3960" w:type="dxa"/>
            <w:vAlign w:val="bottom"/>
            <w:gridSpan w:val="3"/>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10.10.</w:t>
            </w:r>
          </w:p>
        </w:tc>
        <w:tc>
          <w:tcPr>
            <w:tcW w:w="320" w:type="dxa"/>
            <w:vAlign w:val="bottom"/>
          </w:tcPr>
          <w:p>
            <w:pPr>
              <w:spacing w:after="0"/>
              <w:rPr>
                <w:sz w:val="21"/>
                <w:szCs w:val="21"/>
                <w:color w:val="auto"/>
              </w:rPr>
            </w:pPr>
          </w:p>
        </w:tc>
        <w:tc>
          <w:tcPr>
            <w:tcW w:w="16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Maximum Liability</w:t>
            </w:r>
          </w:p>
        </w:tc>
        <w:tc>
          <w:tcPr>
            <w:tcW w:w="4660" w:type="dxa"/>
            <w:vAlign w:val="bottom"/>
            <w:gridSpan w:val="5"/>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10.11.</w:t>
            </w:r>
          </w:p>
        </w:tc>
        <w:tc>
          <w:tcPr>
            <w:tcW w:w="320" w:type="dxa"/>
            <w:vAlign w:val="bottom"/>
          </w:tcPr>
          <w:p>
            <w:pPr>
              <w:spacing w:after="0"/>
              <w:rPr>
                <w:sz w:val="21"/>
                <w:szCs w:val="21"/>
                <w:color w:val="auto"/>
              </w:rPr>
            </w:pPr>
          </w:p>
        </w:tc>
        <w:tc>
          <w:tcPr>
            <w:tcW w:w="1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Contribution</w:t>
            </w:r>
          </w:p>
        </w:tc>
        <w:tc>
          <w:tcPr>
            <w:tcW w:w="5240" w:type="dxa"/>
            <w:vAlign w:val="bottom"/>
            <w:gridSpan w:val="7"/>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129</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10.12.</w:t>
            </w:r>
          </w:p>
        </w:tc>
        <w:tc>
          <w:tcPr>
            <w:tcW w:w="320" w:type="dxa"/>
            <w:vAlign w:val="bottom"/>
          </w:tcPr>
          <w:p>
            <w:pPr>
              <w:spacing w:after="0"/>
              <w:rPr>
                <w:sz w:val="21"/>
                <w:szCs w:val="21"/>
                <w:color w:val="auto"/>
              </w:rPr>
            </w:pPr>
          </w:p>
        </w:tc>
        <w:tc>
          <w:tcPr>
            <w:tcW w:w="6340" w:type="dxa"/>
            <w:vAlign w:val="bottom"/>
            <w:gridSpan w:val="13"/>
          </w:tcPr>
          <w:p>
            <w:pPr>
              <w:spacing w:after="0"/>
              <w:rPr>
                <w:sz w:val="20"/>
                <w:szCs w:val="20"/>
                <w:color w:val="auto"/>
              </w:rPr>
            </w:pPr>
            <w:r>
              <w:rPr>
                <w:rFonts w:ascii="Times New Roman" w:cs="Times New Roman" w:eastAsia="Times New Roman" w:hAnsi="Times New Roman"/>
                <w:sz w:val="21"/>
                <w:szCs w:val="21"/>
                <w:color w:val="auto"/>
              </w:rPr>
              <w:t>Liability Cumulative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10.13.</w:t>
            </w:r>
          </w:p>
        </w:tc>
        <w:tc>
          <w:tcPr>
            <w:tcW w:w="320" w:type="dxa"/>
            <w:vAlign w:val="bottom"/>
          </w:tcPr>
          <w:p>
            <w:pPr>
              <w:spacing w:after="0"/>
              <w:rPr>
                <w:sz w:val="21"/>
                <w:szCs w:val="21"/>
                <w:color w:val="auto"/>
              </w:rPr>
            </w:pPr>
          </w:p>
        </w:tc>
        <w:tc>
          <w:tcPr>
            <w:tcW w:w="18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1"/>
                <w:szCs w:val="21"/>
                <w:color w:val="auto"/>
              </w:rPr>
              <w:t>Keepwell</w:t>
            </w:r>
          </w:p>
        </w:tc>
        <w:tc>
          <w:tcPr>
            <w:tcW w:w="4520" w:type="dxa"/>
            <w:vAlign w:val="bottom"/>
            <w:gridSpan w:val="4"/>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w:t>
            </w:r>
          </w:p>
        </w:tc>
      </w:tr>
      <w:tr>
        <w:trPr>
          <w:trHeight w:val="620"/>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SCHEDULES:</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9"/>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Commitment Schedule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1.01(A)</w:t>
            </w:r>
          </w:p>
        </w:tc>
        <w:tc>
          <w:tcPr>
            <w:tcW w:w="6660" w:type="dxa"/>
            <w:vAlign w:val="bottom"/>
            <w:gridSpan w:val="14"/>
          </w:tcPr>
          <w:p>
            <w:pPr>
              <w:ind w:left="180"/>
              <w:spacing w:after="0"/>
              <w:rPr>
                <w:sz w:val="20"/>
                <w:szCs w:val="20"/>
                <w:color w:val="auto"/>
              </w:rPr>
            </w:pPr>
            <w:r>
              <w:rPr>
                <w:rFonts w:ascii="Times New Roman" w:cs="Times New Roman" w:eastAsia="Times New Roman" w:hAnsi="Times New Roman"/>
                <w:sz w:val="21"/>
                <w:szCs w:val="21"/>
                <w:color w:val="auto"/>
              </w:rPr>
              <w:t>— Existing Letters of Credit</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3.05</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Properties, etc.</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3.12</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Material Contracts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3.15</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Capitalization and Subsidiaries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3.25</w:t>
            </w:r>
          </w:p>
        </w:tc>
        <w:tc>
          <w:tcPr>
            <w:tcW w:w="6660" w:type="dxa"/>
            <w:vAlign w:val="bottom"/>
            <w:gridSpan w:val="14"/>
          </w:tcPr>
          <w:p>
            <w:pPr>
              <w:ind w:left="180"/>
              <w:spacing w:after="0"/>
              <w:rPr>
                <w:sz w:val="20"/>
                <w:szCs w:val="20"/>
                <w:color w:val="auto"/>
              </w:rPr>
            </w:pPr>
            <w:r>
              <w:rPr>
                <w:rFonts w:ascii="Times New Roman" w:cs="Times New Roman" w:eastAsia="Times New Roman" w:hAnsi="Times New Roman"/>
                <w:sz w:val="21"/>
                <w:szCs w:val="21"/>
                <w:color w:val="auto"/>
              </w:rPr>
              <w:t>— Healthcare and Regulatory Authority Matters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5.14</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Post-Closing Requirements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6.01</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Existing Indebtedness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6.02</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Existing Investments</w:t>
            </w:r>
          </w:p>
        </w:tc>
        <w:tc>
          <w:tcPr>
            <w:tcW w:w="2400" w:type="dxa"/>
            <w:vAlign w:val="bottom"/>
          </w:tcPr>
          <w:p>
            <w:pPr>
              <w:spacing w:after="0"/>
              <w:rPr>
                <w:sz w:val="23"/>
                <w:szCs w:val="23"/>
                <w:color w:val="auto"/>
              </w:rPr>
            </w:pPr>
          </w:p>
        </w:tc>
      </w:tr>
      <w:tr>
        <w:trPr>
          <w:trHeight w:val="267"/>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6.09</w:t>
            </w:r>
          </w:p>
        </w:tc>
        <w:tc>
          <w:tcPr>
            <w:tcW w:w="6660" w:type="dxa"/>
            <w:vAlign w:val="bottom"/>
            <w:gridSpan w:val="14"/>
          </w:tcPr>
          <w:p>
            <w:pPr>
              <w:ind w:left="180"/>
              <w:spacing w:after="0"/>
              <w:rPr>
                <w:sz w:val="20"/>
                <w:szCs w:val="20"/>
                <w:color w:val="auto"/>
              </w:rPr>
            </w:pPr>
            <w:r>
              <w:rPr>
                <w:rFonts w:ascii="Times New Roman" w:cs="Times New Roman" w:eastAsia="Times New Roman" w:hAnsi="Times New Roman"/>
                <w:sz w:val="21"/>
                <w:szCs w:val="21"/>
                <w:color w:val="auto"/>
              </w:rPr>
              <w:t>— Existing Transactions with Affiliates</w:t>
            </w:r>
          </w:p>
        </w:tc>
        <w:tc>
          <w:tcPr>
            <w:tcW w:w="2400" w:type="dxa"/>
            <w:vAlign w:val="bottom"/>
          </w:tcPr>
          <w:p>
            <w:pPr>
              <w:spacing w:after="0"/>
              <w:rPr>
                <w:sz w:val="23"/>
                <w:szCs w:val="23"/>
                <w:color w:val="auto"/>
              </w:rPr>
            </w:pPr>
          </w:p>
        </w:tc>
      </w:tr>
      <w:tr>
        <w:trPr>
          <w:trHeight w:val="278"/>
        </w:trPr>
        <w:tc>
          <w:tcPr>
            <w:tcW w:w="2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6.10</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622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Existing Restrictions</w:t>
            </w:r>
          </w:p>
        </w:tc>
        <w:tc>
          <w:tcPr>
            <w:tcW w:w="2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00"/>
          </w:cols>
          <w:pgMar w:left="340" w:top="1433" w:right="359" w:bottom="1440" w:gutter="0" w:footer="0" w:header="0"/>
        </w:sectPr>
      </w:pPr>
    </w:p>
    <w:bookmarkStart w:id="40" w:name="page41"/>
    <w:bookmarkEnd w:id="40"/>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EXHIBITS:</w:t>
            </w:r>
          </w:p>
        </w:tc>
        <w:tc>
          <w:tcPr>
            <w:tcW w:w="9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A</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Assignment and Assumption</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[Reserved]</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C-1</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Borrowing Request</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C-2</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Interest Election Request</w:t>
            </w:r>
          </w:p>
        </w:tc>
        <w:tc>
          <w:tcPr>
            <w:tcW w:w="0" w:type="dxa"/>
            <w:vAlign w:val="bottom"/>
          </w:tcPr>
          <w:p>
            <w:pPr>
              <w:spacing w:after="0"/>
              <w:rPr>
                <w:sz w:val="1"/>
                <w:szCs w:val="1"/>
                <w:color w:val="auto"/>
              </w:rPr>
            </w:pPr>
          </w:p>
        </w:tc>
      </w:tr>
      <w:tr>
        <w:trPr>
          <w:trHeight w:val="214"/>
        </w:trPr>
        <w:tc>
          <w:tcPr>
            <w:tcW w:w="1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Exhibit D-1</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line="214" w:lineRule="exact"/>
              <w:rPr>
                <w:sz w:val="20"/>
                <w:szCs w:val="20"/>
                <w:color w:val="auto"/>
              </w:rPr>
            </w:pPr>
            <w:r>
              <w:rPr>
                <w:rFonts w:ascii="Times New Roman" w:cs="Times New Roman" w:eastAsia="Times New Roman" w:hAnsi="Times New Roman"/>
                <w:sz w:val="21"/>
                <w:szCs w:val="21"/>
                <w:color w:val="auto"/>
              </w:rPr>
              <w:t>U.S. Tax Compliance Certificate (For Foreign Lenders That Are Not Partnerships For U.S. Federal</w:t>
            </w:r>
          </w:p>
        </w:tc>
        <w:tc>
          <w:tcPr>
            <w:tcW w:w="0" w:type="dxa"/>
            <w:vAlign w:val="bottom"/>
          </w:tcPr>
          <w:p>
            <w:pPr>
              <w:spacing w:after="0"/>
              <w:rPr>
                <w:sz w:val="1"/>
                <w:szCs w:val="1"/>
                <w:color w:val="auto"/>
              </w:rPr>
            </w:pPr>
          </w:p>
        </w:tc>
      </w:tr>
      <w:tr>
        <w:trPr>
          <w:trHeight w:val="266"/>
        </w:trPr>
        <w:tc>
          <w:tcPr>
            <w:tcW w:w="16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Income Tax Purposes)</w:t>
            </w:r>
          </w:p>
        </w:tc>
        <w:tc>
          <w:tcPr>
            <w:tcW w:w="0" w:type="dxa"/>
            <w:vAlign w:val="bottom"/>
          </w:tcPr>
          <w:p>
            <w:pPr>
              <w:spacing w:after="0"/>
              <w:rPr>
                <w:sz w:val="1"/>
                <w:szCs w:val="1"/>
                <w:color w:val="auto"/>
              </w:rPr>
            </w:pPr>
          </w:p>
        </w:tc>
      </w:tr>
      <w:tr>
        <w:trPr>
          <w:trHeight w:val="214"/>
        </w:trPr>
        <w:tc>
          <w:tcPr>
            <w:tcW w:w="1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Exhibit D-2</w:t>
            </w:r>
          </w:p>
        </w:tc>
        <w:tc>
          <w:tcPr>
            <w:tcW w:w="920" w:type="dxa"/>
            <w:vAlign w:val="bottom"/>
          </w:tcPr>
          <w:p>
            <w:pPr>
              <w:spacing w:after="0"/>
              <w:rPr>
                <w:sz w:val="18"/>
                <w:szCs w:val="18"/>
                <w:color w:val="auto"/>
              </w:rPr>
            </w:pPr>
          </w:p>
        </w:tc>
        <w:tc>
          <w:tcPr>
            <w:tcW w:w="8500" w:type="dxa"/>
            <w:vAlign w:val="bottom"/>
          </w:tcPr>
          <w:p>
            <w:pPr>
              <w:ind w:left="60"/>
              <w:spacing w:after="0" w:line="214" w:lineRule="exact"/>
              <w:rPr>
                <w:sz w:val="20"/>
                <w:szCs w:val="20"/>
                <w:color w:val="auto"/>
              </w:rPr>
            </w:pPr>
            <w:r>
              <w:rPr>
                <w:rFonts w:ascii="Times New Roman" w:cs="Times New Roman" w:eastAsia="Times New Roman" w:hAnsi="Times New Roman"/>
                <w:sz w:val="21"/>
                <w:szCs w:val="21"/>
                <w:color w:val="auto"/>
              </w:rPr>
              <w:t>U.S. Tax Compliance Certificate (For Foreign Participants That Are Not Partnerships For U.S.</w:t>
            </w:r>
          </w:p>
        </w:tc>
        <w:tc>
          <w:tcPr>
            <w:tcW w:w="0" w:type="dxa"/>
            <w:vAlign w:val="bottom"/>
          </w:tcPr>
          <w:p>
            <w:pPr>
              <w:spacing w:after="0"/>
              <w:rPr>
                <w:sz w:val="1"/>
                <w:szCs w:val="1"/>
                <w:color w:val="auto"/>
              </w:rPr>
            </w:pPr>
          </w:p>
        </w:tc>
      </w:tr>
      <w:tr>
        <w:trPr>
          <w:trHeight w:val="266"/>
        </w:trPr>
        <w:tc>
          <w:tcPr>
            <w:tcW w:w="1680" w:type="dxa"/>
            <w:vAlign w:val="bottom"/>
            <w:vMerge w:val="continue"/>
          </w:tcPr>
          <w:p>
            <w:pPr>
              <w:spacing w:after="0"/>
              <w:rPr>
                <w:sz w:val="23"/>
                <w:szCs w:val="23"/>
                <w:color w:val="auto"/>
              </w:rPr>
            </w:pPr>
          </w:p>
        </w:tc>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 Federal Income Tax Purposes)</w:t>
            </w:r>
          </w:p>
        </w:tc>
        <w:tc>
          <w:tcPr>
            <w:tcW w:w="0" w:type="dxa"/>
            <w:vAlign w:val="bottom"/>
          </w:tcPr>
          <w:p>
            <w:pPr>
              <w:spacing w:after="0"/>
              <w:rPr>
                <w:sz w:val="1"/>
                <w:szCs w:val="1"/>
                <w:color w:val="auto"/>
              </w:rPr>
            </w:pPr>
          </w:p>
        </w:tc>
      </w:tr>
      <w:tr>
        <w:trPr>
          <w:trHeight w:val="214"/>
        </w:trPr>
        <w:tc>
          <w:tcPr>
            <w:tcW w:w="1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Exhibit D-3</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line="214" w:lineRule="exact"/>
              <w:rPr>
                <w:sz w:val="20"/>
                <w:szCs w:val="20"/>
                <w:color w:val="auto"/>
              </w:rPr>
            </w:pPr>
            <w:r>
              <w:rPr>
                <w:rFonts w:ascii="Times New Roman" w:cs="Times New Roman" w:eastAsia="Times New Roman" w:hAnsi="Times New Roman"/>
                <w:sz w:val="21"/>
                <w:szCs w:val="21"/>
                <w:color w:val="auto"/>
              </w:rPr>
              <w:t>U.S. Tax Compliance Certificate (For Foreign Participants That Are Partnerships For U.S. Federal</w:t>
            </w:r>
          </w:p>
        </w:tc>
        <w:tc>
          <w:tcPr>
            <w:tcW w:w="0" w:type="dxa"/>
            <w:vAlign w:val="bottom"/>
          </w:tcPr>
          <w:p>
            <w:pPr>
              <w:spacing w:after="0"/>
              <w:rPr>
                <w:sz w:val="1"/>
                <w:szCs w:val="1"/>
                <w:color w:val="auto"/>
              </w:rPr>
            </w:pPr>
          </w:p>
        </w:tc>
      </w:tr>
      <w:tr>
        <w:trPr>
          <w:trHeight w:val="266"/>
        </w:trPr>
        <w:tc>
          <w:tcPr>
            <w:tcW w:w="16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Income Tax Purposes)</w:t>
            </w:r>
          </w:p>
        </w:tc>
        <w:tc>
          <w:tcPr>
            <w:tcW w:w="0" w:type="dxa"/>
            <w:vAlign w:val="bottom"/>
          </w:tcPr>
          <w:p>
            <w:pPr>
              <w:spacing w:after="0"/>
              <w:rPr>
                <w:sz w:val="1"/>
                <w:szCs w:val="1"/>
                <w:color w:val="auto"/>
              </w:rPr>
            </w:pPr>
          </w:p>
        </w:tc>
      </w:tr>
      <w:tr>
        <w:trPr>
          <w:trHeight w:val="214"/>
        </w:trPr>
        <w:tc>
          <w:tcPr>
            <w:tcW w:w="1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Exhibit D-4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line="214" w:lineRule="exact"/>
              <w:rPr>
                <w:sz w:val="20"/>
                <w:szCs w:val="20"/>
                <w:color w:val="auto"/>
              </w:rPr>
            </w:pPr>
            <w:r>
              <w:rPr>
                <w:rFonts w:ascii="Times New Roman" w:cs="Times New Roman" w:eastAsia="Times New Roman" w:hAnsi="Times New Roman"/>
                <w:sz w:val="21"/>
                <w:szCs w:val="21"/>
                <w:color w:val="auto"/>
              </w:rPr>
              <w:t>U.S. Tax Compliance Certificate (For Foreign Lenders That Are Partnerships For U.S. Federal</w:t>
            </w:r>
          </w:p>
        </w:tc>
        <w:tc>
          <w:tcPr>
            <w:tcW w:w="0" w:type="dxa"/>
            <w:vAlign w:val="bottom"/>
          </w:tcPr>
          <w:p>
            <w:pPr>
              <w:spacing w:after="0"/>
              <w:rPr>
                <w:sz w:val="1"/>
                <w:szCs w:val="1"/>
                <w:color w:val="auto"/>
              </w:rPr>
            </w:pPr>
          </w:p>
        </w:tc>
      </w:tr>
      <w:tr>
        <w:trPr>
          <w:trHeight w:val="266"/>
        </w:trPr>
        <w:tc>
          <w:tcPr>
            <w:tcW w:w="168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Income Tax Purposes)</w:t>
            </w:r>
          </w:p>
        </w:tc>
        <w:tc>
          <w:tcPr>
            <w:tcW w:w="0" w:type="dxa"/>
            <w:vAlign w:val="bottom"/>
          </w:tcPr>
          <w:p>
            <w:pPr>
              <w:spacing w:after="0"/>
              <w:rPr>
                <w:sz w:val="1"/>
                <w:szCs w:val="1"/>
                <w:color w:val="auto"/>
              </w:rPr>
            </w:pPr>
          </w:p>
        </w:tc>
      </w:tr>
      <w:tr>
        <w:trPr>
          <w:trHeight w:val="267"/>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Compliance Certificate</w:t>
            </w:r>
          </w:p>
        </w:tc>
        <w:tc>
          <w:tcPr>
            <w:tcW w:w="0" w:type="dxa"/>
            <w:vAlign w:val="bottom"/>
          </w:tcPr>
          <w:p>
            <w:pPr>
              <w:spacing w:after="0"/>
              <w:rPr>
                <w:sz w:val="1"/>
                <w:szCs w:val="1"/>
                <w:color w:val="auto"/>
              </w:rPr>
            </w:pPr>
          </w:p>
        </w:tc>
      </w:tr>
      <w:tr>
        <w:trPr>
          <w:trHeight w:val="278"/>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9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w:t>
            </w:r>
          </w:p>
        </w:tc>
        <w:tc>
          <w:tcPr>
            <w:tcW w:w="85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Joinder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00"/>
          </w:cols>
          <w:pgMar w:left="340" w:top="1440" w:right="45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20"/>
          <w:szCs w:val="20"/>
          <w:color w:val="auto"/>
        </w:rPr>
        <w:t>CREDIT AGREEMENT (as it may be amended, restated, supplemented or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29, 2022, among VERICEL CORPORATION, as Borrower, the other Loan Parties party hereto, the Lenders party hereto, and JPMORGAN CHASE BANK, N.A., as Administrative Agent.</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ARTICLE I</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is bearing interest at a rate determined by reference to the Alternate Base Rate.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50"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 any transaction, or any series of related transactions, consummated on or after the Effective Date, by which any Loan Party or Subsidiary (i) acquires any business or division of a Person or all or substantially all of the assets of any Person, whether through purchase of assets, merger or otherwise or (ii)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 (b) an acquisition of a drug, medical device or other medical product of any Person or (c) an Exclusive License to develop and commercialize an acquisition of a drug, medical device or other medical product of any Person to the extent the aggregate consideration paid or payable for such Exclusive License (including any Contingent Acquisition Consideration) is greater than $20,000,000.</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has the meaning assigned to such term in Section 6.12.</w:t>
      </w:r>
    </w:p>
    <w:p>
      <w:pPr>
        <w:spacing w:after="0" w:line="23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xml:space="preserve">” means, with respect to any RFR Borrowing, an interest rate per annum equal to (a)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SOFR as so determined would be less than the Floor, such rate shall be deemed to be equal to the Floor for the purposes of this Agreement.</w:t>
      </w:r>
    </w:p>
    <w:p>
      <w:pPr>
        <w:spacing w:after="0" w:line="191"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with respect to any Term Benchmark Borrowing for any Interest Period or for any ABR Borrowing based on the Adjusted Term SOFR Rate, an interest rate per annum equal to (a) the Term SOFR Rate for such Interest Period, plus</w:t>
      </w:r>
    </w:p>
    <w:p>
      <w:pPr>
        <w:spacing w:after="0" w:line="1" w:lineRule="exact"/>
        <w:rPr>
          <w:sz w:val="20"/>
          <w:szCs w:val="20"/>
          <w:color w:val="auto"/>
        </w:rPr>
      </w:pPr>
    </w:p>
    <w:p>
      <w:pPr>
        <w:ind w:firstLine="7"/>
        <w:spacing w:after="0" w:line="253" w:lineRule="auto"/>
        <w:tabs>
          <w:tab w:leader="none" w:pos="27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21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98" w:right="339" w:bottom="1440" w:gutter="0" w:footer="0" w:header="0"/>
        </w:sectPr>
      </w:pPr>
    </w:p>
    <w:bookmarkStart w:id="42" w:name="page43"/>
    <w:bookmarkEnd w:id="42"/>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it in Section 9.03(d).</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Exposure</w:t>
      </w:r>
      <w:r>
        <w:rPr>
          <w:rFonts w:ascii="Times New Roman" w:cs="Times New Roman" w:eastAsia="Times New Roman" w:hAnsi="Times New Roman"/>
          <w:sz w:val="20"/>
          <w:szCs w:val="20"/>
          <w:color w:val="auto"/>
        </w:rPr>
        <w:t>” means, at any time, the aggregate Revolving Exposure of all the Lenders at such time.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ALTA</w:t>
      </w:r>
      <w:r>
        <w:rPr>
          <w:rFonts w:ascii="Times New Roman" w:cs="Times New Roman" w:eastAsia="Times New Roman" w:hAnsi="Times New Roman"/>
          <w:sz w:val="20"/>
          <w:szCs w:val="20"/>
          <w:color w:val="auto"/>
        </w:rPr>
        <w:t>” means the American Land Title Association.</w:t>
      </w:r>
    </w:p>
    <w:p>
      <w:pPr>
        <w:spacing w:after="0" w:line="237"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NYFRB Rate in effect on such day plus ½ of 1%, and (c) the Adjusted Term SOFR Rate for a one-month Interest Period as published two U.S. Government Securities Business Days prior to such day (or if such day is not a Business Day, the immediately preceding Business Day that is also a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it in Section 9.06(b).</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Affiliates from time to time concerning or relating to bribery or corruption.</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it in Section 8.03(c).</w:t>
      </w:r>
    </w:p>
    <w:p>
      <w:pPr>
        <w:spacing w:after="0" w:line="23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accordance with Section 2.20, so long as any Lender shall be a Defaulting Lender, such Defaulting Lender’s Revolving Commitment shall be disregarded in the calculations above.</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with respect to any ABR Loan, Term Benchmark Loan or RFR Loan, or with respect to the commitment fees payable hereunder, as the case may be, the applicable rate per annum set forth below under the caption “ABR Spread”, “Term Benchmark and RFR Spread” or “Commitment Fee Rate”, as the case may be, based upon the Borrower’s Total Net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of the Financial Statements pursuant to Section 5.01(a) or (b) for the first fiscal quarter ending after the Effective Date, the “Applicable Rate” shall be the applicable rates per annum set forth below in Category 1:</w:t>
      </w:r>
    </w:p>
    <w:p>
      <w:pPr>
        <w:spacing w:after="0" w:line="247" w:lineRule="exact"/>
        <w:rPr>
          <w:sz w:val="20"/>
          <w:szCs w:val="20"/>
          <w:color w:val="auto"/>
        </w:rPr>
      </w:pPr>
    </w:p>
    <w:tbl>
      <w:tblPr>
        <w:tblLayout w:type="fixed"/>
        <w:tblInd w:w="650" w:type="dxa"/>
        <w:tblCellMar>
          <w:top w:w="0" w:type="dxa"/>
          <w:left w:w="0" w:type="dxa"/>
          <w:bottom w:w="0" w:type="dxa"/>
          <w:right w:w="0" w:type="dxa"/>
        </w:tblCellMar>
      </w:tblPr>
      <w:tr>
        <w:trPr>
          <w:trHeight w:val="231"/>
        </w:trPr>
        <w:tc>
          <w:tcPr>
            <w:tcW w:w="26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7"/>
              </w:rPr>
              <w:t>Total Net Leverage Ratio</w:t>
            </w:r>
          </w:p>
        </w:tc>
        <w:tc>
          <w:tcPr>
            <w:tcW w:w="26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ABR Spread</w:t>
            </w:r>
          </w:p>
        </w:tc>
        <w:tc>
          <w:tcPr>
            <w:tcW w:w="2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Term Benchmark</w:t>
            </w:r>
          </w:p>
        </w:tc>
        <w:tc>
          <w:tcPr>
            <w:tcW w:w="26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Commitment Fee Rate</w:t>
            </w:r>
          </w:p>
        </w:tc>
      </w:tr>
      <w:tr>
        <w:trPr>
          <w:trHeight w:val="281"/>
        </w:trPr>
        <w:tc>
          <w:tcPr>
            <w:tcW w:w="26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2600" w:type="dxa"/>
            <w:vAlign w:val="bottom"/>
            <w:tcBorders>
              <w:bottom w:val="single" w:sz="8" w:color="D9D9D9"/>
              <w:right w:val="single" w:sz="8" w:color="auto"/>
            </w:tcBorders>
            <w:shd w:val="clear" w:color="auto" w:fill="D9D9D9"/>
          </w:tcPr>
          <w:p>
            <w:pPr>
              <w:spacing w:after="0"/>
              <w:rPr>
                <w:sz w:val="24"/>
                <w:szCs w:val="24"/>
                <w:color w:val="auto"/>
              </w:rPr>
            </w:pPr>
          </w:p>
        </w:tc>
        <w:tc>
          <w:tcPr>
            <w:tcW w:w="25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and RFR Spread</w:t>
            </w:r>
          </w:p>
        </w:tc>
        <w:tc>
          <w:tcPr>
            <w:tcW w:w="260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56"/>
        </w:trPr>
        <w:tc>
          <w:tcPr>
            <w:tcW w:w="2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Category 1 ≤ 1.00 to 1.00</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0.20%</w:t>
            </w:r>
          </w:p>
        </w:tc>
      </w:tr>
      <w:tr>
        <w:trPr>
          <w:trHeight w:val="215"/>
        </w:trPr>
        <w:tc>
          <w:tcPr>
            <w:tcW w:w="2620" w:type="dxa"/>
            <w:vAlign w:val="bottom"/>
            <w:tcBorders>
              <w:left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Category 2 &gt; 1.00 to 1.00 but ≤</w:t>
            </w:r>
          </w:p>
        </w:tc>
        <w:tc>
          <w:tcPr>
            <w:tcW w:w="260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6"/>
              </w:rPr>
              <w:t>0.50%</w:t>
            </w:r>
          </w:p>
        </w:tc>
        <w:tc>
          <w:tcPr>
            <w:tcW w:w="258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rPr>
              <w:t>1.50%</w:t>
            </w:r>
          </w:p>
        </w:tc>
        <w:tc>
          <w:tcPr>
            <w:tcW w:w="260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6"/>
              </w:rPr>
              <w:t>0.20%</w:t>
            </w:r>
          </w:p>
        </w:tc>
      </w:tr>
      <w:tr>
        <w:trPr>
          <w:trHeight w:val="254"/>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 to 1.00</w:t>
            </w:r>
          </w:p>
        </w:tc>
        <w:tc>
          <w:tcPr>
            <w:tcW w:w="260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620" w:type="dxa"/>
            <w:vAlign w:val="bottom"/>
            <w:tcBorders>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7"/>
              </w:rPr>
              <w:t>Category 3 &gt; 1.50 to 1.00 but ≤</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0.75%</w:t>
            </w:r>
          </w:p>
        </w:tc>
        <w:tc>
          <w:tcPr>
            <w:tcW w:w="258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1.75%</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0.25%</w:t>
            </w:r>
          </w:p>
        </w:tc>
      </w:tr>
      <w:tr>
        <w:trPr>
          <w:trHeight w:val="254"/>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 to 1.00</w:t>
            </w:r>
          </w:p>
        </w:tc>
        <w:tc>
          <w:tcPr>
            <w:tcW w:w="260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620" w:type="dxa"/>
            <w:vAlign w:val="bottom"/>
            <w:tcBorders>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7"/>
              </w:rPr>
              <w:t>Category 4 &gt; 2.00 to 1.00 but ≤</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1.00%</w:t>
            </w:r>
          </w:p>
        </w:tc>
        <w:tc>
          <w:tcPr>
            <w:tcW w:w="258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2.00%</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0.25%</w:t>
            </w:r>
          </w:p>
        </w:tc>
      </w:tr>
      <w:tr>
        <w:trPr>
          <w:trHeight w:val="254"/>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 to 1.00</w:t>
            </w:r>
          </w:p>
        </w:tc>
        <w:tc>
          <w:tcPr>
            <w:tcW w:w="260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2620" w:type="dxa"/>
            <w:vAlign w:val="bottom"/>
            <w:tcBorders>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7"/>
              </w:rPr>
              <w:t>Category 5 &gt; 2.50 to 1.00 but ≤</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1.25%</w:t>
            </w:r>
          </w:p>
        </w:tc>
        <w:tc>
          <w:tcPr>
            <w:tcW w:w="258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2.25%</w:t>
            </w:r>
          </w:p>
        </w:tc>
        <w:tc>
          <w:tcPr>
            <w:tcW w:w="260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w w:val="96"/>
              </w:rPr>
              <w:t>0.25%</w:t>
            </w:r>
          </w:p>
        </w:tc>
      </w:tr>
      <w:tr>
        <w:trPr>
          <w:trHeight w:val="254"/>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3.00 to 1.00</w:t>
            </w:r>
          </w:p>
        </w:tc>
        <w:tc>
          <w:tcPr>
            <w:tcW w:w="260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Category 6 &gt; 3.00 to 1.00</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r>
    </w:tbl>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the foregoing, (a) the Applicable Rate shall be determined as of the end of each fiscal quarter of the Borrower, based upon the Financial Statements delivered pursuant to Section 5.01(a) or (b) for such fiscal quarter and (b) each change in the Applicable Rate resulting from a change in the Total Net Leverage Ratio shall be effective during the period commencing on and including the date of delivery to the Administrative Agent of such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at any time that an Event of Default has occurred and is continuing or (B) at the option of the Administrative Agent or at the request of the Required Lenders, if the Borrower fails to deliver the annual or quarterly Financial Statements required to be delivered by it pursuant to Section 5.01(a) or (b), the Total Net Leverage Ratio shall be deemed to be in Category 6 during the period from the expiration of the time for delivery thereof until such consolidated financial statements are delivered.</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at any time within sixty (60) days after the date of delivery of any Financial Statements, Compliance Certificate or other financial information delivered, the Administrative Agent reasonably determines (in consultation with the Borrower) that the Financial Statements upon which the Applicable Rate was determined were materially incorrect (whether based on a restatement, fraud or otherwise), or any ratio or compliance information in a Compliance Certificate or other certification was incorrectly calculated, relied on incorrect information or was otherwise not accurate, true or correct in any material respects, the Borrower shall be required to retroactively pay any additional amount that the Borrower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8" w:right="339" w:bottom="1440" w:gutter="0" w:footer="0" w:header="0"/>
        </w:sectPr>
      </w:pPr>
    </w:p>
    <w:bookmarkStart w:id="44" w:name="page45"/>
    <w:bookmarkEnd w:id="44"/>
    <w:p>
      <w:pPr>
        <w:jc w:val="both"/>
        <w:spacing w:after="0" w:line="275" w:lineRule="auto"/>
        <w:rPr>
          <w:sz w:val="20"/>
          <w:szCs w:val="20"/>
          <w:color w:val="auto"/>
        </w:rPr>
      </w:pPr>
      <w:r>
        <w:rPr>
          <w:rFonts w:ascii="Times New Roman" w:cs="Times New Roman" w:eastAsia="Times New Roman" w:hAnsi="Times New Roman"/>
          <w:sz w:val="20"/>
          <w:szCs w:val="20"/>
          <w:color w:val="auto"/>
        </w:rPr>
        <w:t>required to pay if such Financial Statements, Compliance Certificate or other financial information had been accurate and/or computed correctly at the time they were delivered.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it in Section 8.03(a).</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the term in Section 9.04(b).</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JPMorgan Chase Bank, N.A., in its capacity as sole bookrunner and sole lead arranger for the credit facility evidenced by this Agreement.</w:t>
      </w:r>
    </w:p>
    <w:p>
      <w:pPr>
        <w:spacing w:after="0" w:line="19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98"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Revolving Credit Maturity Date and the date of termination of the Revolving Commitments.</w:t>
      </w:r>
    </w:p>
    <w:p>
      <w:pPr>
        <w:spacing w:after="0" w:line="19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w:t>
      </w:r>
    </w:p>
    <w:p>
      <w:pPr>
        <w:spacing w:after="0" w:line="21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20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4"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any Subsidiary by any Lender or any of its Affiliates: (a) credit cards for commercial customers (including, without limitation, “commercial credit cards” and purchasing cards),</w:t>
      </w:r>
    </w:p>
    <w:p>
      <w:pPr>
        <w:spacing w:after="0" w:line="1" w:lineRule="exact"/>
        <w:rPr>
          <w:sz w:val="20"/>
          <w:szCs w:val="20"/>
          <w:color w:val="auto"/>
        </w:rPr>
      </w:pPr>
    </w:p>
    <w:p>
      <w:pPr>
        <w:jc w:val="both"/>
        <w:ind w:firstLine="7"/>
        <w:spacing w:after="0" w:line="251" w:lineRule="auto"/>
        <w:tabs>
          <w:tab w:leader="none" w:pos="31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w:t>
      </w:r>
    </w:p>
    <w:p>
      <w:pPr>
        <w:spacing w:after="0" w:line="20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8" w:right="339" w:bottom="1440" w:gutter="0" w:footer="0" w:header="0"/>
        </w:sectPr>
      </w:pPr>
    </w:p>
    <w:bookmarkStart w:id="45" w:name="page46"/>
    <w:bookmarkEnd w:id="45"/>
    <w:p>
      <w:pPr>
        <w:spacing w:after="0" w:line="198"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thereto, as hereafter amended.</w:t>
      </w:r>
    </w:p>
    <w:p>
      <w:pPr>
        <w:spacing w:after="0" w:line="18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223"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Daily Simple SOFR or (ii)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Term SOFR Rate or Daily Simple SOFR, as applicable, or the then-current Benchmark, then “Benchmark” means the applicable Benchmark Replacement to the extent that such Benchmark Replacement has replaced such prior benchmark rate pursuant to Section 2.14(b).</w:t>
      </w:r>
    </w:p>
    <w:p>
      <w:pPr>
        <w:spacing w:after="0" w:line="188"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80" w:lineRule="exact"/>
        <w:rPr>
          <w:sz w:val="20"/>
          <w:szCs w:val="20"/>
          <w:color w:val="auto"/>
        </w:rPr>
      </w:pPr>
    </w:p>
    <w:p>
      <w:pPr>
        <w:ind w:left="1320" w:hanging="273"/>
        <w:spacing w:after="0"/>
        <w:tabs>
          <w:tab w:leader="none" w:pos="13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Adjusted Daily Simple SOFR; or</w:t>
      </w:r>
    </w:p>
    <w:p>
      <w:pPr>
        <w:spacing w:after="0" w:line="250" w:lineRule="exact"/>
        <w:rPr>
          <w:rFonts w:ascii="Times New Roman" w:cs="Times New Roman" w:eastAsia="Times New Roman" w:hAnsi="Times New Roman"/>
          <w:sz w:val="20"/>
          <w:szCs w:val="20"/>
          <w:color w:val="auto"/>
        </w:rPr>
      </w:pPr>
    </w:p>
    <w:p>
      <w:pPr>
        <w:jc w:val="both"/>
        <w:ind w:left="640" w:firstLine="407"/>
        <w:spacing w:after="0" w:line="250" w:lineRule="auto"/>
        <w:tabs>
          <w:tab w:leader="none" w:pos="13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w:t>
      </w:r>
    </w:p>
    <w:p>
      <w:pPr>
        <w:spacing w:after="0" w:line="20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84" w:lineRule="auto"/>
        <w:rPr>
          <w:sz w:val="20"/>
          <w:szCs w:val="20"/>
          <w:color w:val="auto"/>
        </w:rPr>
      </w:pPr>
      <w:r>
        <w:rPr>
          <w:rFonts w:ascii="Times New Roman" w:cs="Times New Roman" w:eastAsia="Times New Roman" w:hAnsi="Times New Roman"/>
          <w:sz w:val="18"/>
          <w:szCs w:val="18"/>
          <w:color w:val="auto"/>
        </w:rPr>
        <w:t>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9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spacing w:after="0" w:line="22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jc w:val="both"/>
        <w:ind w:firstLine="1288"/>
        <w:spacing w:after="0" w:line="243" w:lineRule="auto"/>
        <w:tabs>
          <w:tab w:leader="none" w:pos="157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 w:lineRule="exact"/>
        <w:rPr>
          <w:rFonts w:ascii="Times New Roman" w:cs="Times New Roman" w:eastAsia="Times New Roman" w:hAnsi="Times New Roman"/>
          <w:sz w:val="20"/>
          <w:szCs w:val="20"/>
          <w:color w:val="auto"/>
        </w:rPr>
      </w:pPr>
    </w:p>
    <w:p>
      <w:pPr>
        <w:jc w:val="both"/>
        <w:ind w:firstLine="1288"/>
        <w:spacing w:after="0" w:line="246" w:lineRule="auto"/>
        <w:tabs>
          <w:tab w:leader="none" w:pos="155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8" w:right="339" w:bottom="1440" w:gutter="0" w:footer="0" w:header="0"/>
        </w:sectPr>
      </w:pPr>
    </w:p>
    <w:bookmarkStart w:id="47" w:name="page48"/>
    <w:bookmarkEnd w:id="47"/>
    <w:p>
      <w:pPr>
        <w:spacing w:after="0" w:line="198" w:lineRule="exact"/>
        <w:rPr>
          <w:sz w:val="20"/>
          <w:szCs w:val="20"/>
          <w:color w:val="auto"/>
        </w:rPr>
      </w:pPr>
    </w:p>
    <w:p>
      <w:pPr>
        <w:jc w:val="both"/>
        <w:ind w:firstLine="1288"/>
        <w:spacing w:after="0" w:line="291" w:lineRule="auto"/>
        <w:tabs>
          <w:tab w:leader="none" w:pos="15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0" w:lineRule="exact"/>
        <w:rPr>
          <w:rFonts w:ascii="Times New Roman" w:cs="Times New Roman" w:eastAsia="Times New Roman" w:hAnsi="Times New Roman"/>
          <w:sz w:val="18"/>
          <w:szCs w:val="18"/>
          <w:color w:val="auto"/>
        </w:rPr>
      </w:pPr>
    </w:p>
    <w:p>
      <w:pPr>
        <w:jc w:val="both"/>
        <w:ind w:firstLine="1288"/>
        <w:spacing w:after="0" w:line="248" w:lineRule="auto"/>
        <w:tabs>
          <w:tab w:leader="none" w:pos="155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 w:lineRule="exact"/>
        <w:rPr>
          <w:rFonts w:ascii="Times New Roman" w:cs="Times New Roman" w:eastAsia="Times New Roman" w:hAnsi="Times New Roman"/>
          <w:sz w:val="20"/>
          <w:szCs w:val="20"/>
          <w:color w:val="auto"/>
        </w:rPr>
      </w:pPr>
    </w:p>
    <w:p>
      <w:pPr>
        <w:jc w:val="both"/>
        <w:ind w:firstLine="1288"/>
        <w:spacing w:after="0" w:line="244" w:lineRule="auto"/>
        <w:tabs>
          <w:tab w:leader="none" w:pos="155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21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w:t>
      </w:r>
    </w:p>
    <w:p>
      <w:pPr>
        <w:spacing w:after="0" w:line="47" w:lineRule="exact"/>
        <w:rPr>
          <w:sz w:val="20"/>
          <w:szCs w:val="20"/>
          <w:color w:val="auto"/>
        </w:rPr>
      </w:pPr>
    </w:p>
    <w:p>
      <w:pPr>
        <w:jc w:val="both"/>
        <w:ind w:firstLine="7"/>
        <w:spacing w:after="0" w:line="248" w:lineRule="auto"/>
        <w:tabs>
          <w:tab w:leader="none" w:pos="2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and subject to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Vericel Corporation, a Michigan corporation.</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made, converted or continued on the same date and, in the case of Term Benchmark Loans, as to which a single Interest Period is in effect or (b) a Swingline Loan.</w:t>
      </w:r>
    </w:p>
    <w:p>
      <w:pPr>
        <w:spacing w:after="0" w:line="20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Section 2.03, which shall be substantially in the form attached hereto as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or any other form approved by the Administrative Agent.</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7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relation to RFR Loans and any interest rate settings, fundings, disbursements, settlements or payments of any such RFR Loan or an ABR Loan based on the Adjusted Term SOFR Rate, any such day that is a U.S. Government Securities Business Day.</w:t>
      </w:r>
    </w:p>
    <w:p>
      <w:pPr>
        <w:spacing w:after="0" w:line="19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Foreign Subsidiary of the Borrower that is a “controlled foreign corporation” within the meaning of Section 957 of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22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Holding Company</w:t>
      </w:r>
      <w:r>
        <w:rPr>
          <w:rFonts w:ascii="Times New Roman" w:cs="Times New Roman" w:eastAsia="Times New Roman" w:hAnsi="Times New Roman"/>
          <w:sz w:val="20"/>
          <w:szCs w:val="20"/>
          <w:color w:val="auto"/>
        </w:rPr>
        <w:t>” means a Domestic Subsidiary of the Borrower (a) all or substantially all of the assets of which consist of the Equity Interests in one or more (x) Foreign Subsidiaries that are CFCs or (y) other CFC Holding Companies, and (b) that does not Guarantee or otherwise provide any collateral or other credit support for, or suffer to exist a pledge of more than 65% of its voting Equity Interests to secure, any Indebtedness of the Borrower or any Domestic Subsidiary.</w:t>
      </w:r>
    </w:p>
    <w:p>
      <w:pPr>
        <w:spacing w:after="0" w:line="201"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35.0% of the aggregate ordinary voting power represented by the issued and outstanding Equity Interests of the Borrower; (b) occupation at any time of a majority of the seats (other than vacant seats) on the board of directors of the Borrower by Persons who were not (i) directors of the Borrower on the date of this Agreement, nominated or appointed by the board of directors of the Borrower or (ii) appointed by directors so nominated or appointed; (c) the acquisition of direct or indirect Control of the Borrower by any Person or group; or (d) the occurrence of a change in control, or other similar provision, as defined in any agreement or instrument evidencing any Material Indebtedness (triggering a default or mandatory prepayment, which default or mandatory prepayment has not been waived in writing).</w:t>
      </w:r>
    </w:p>
    <w:p>
      <w:pPr>
        <w:spacing w:after="0" w:line="22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of or taking effect of any law, rule, regulation or treaty, (b) any change in any law,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49" w:name="page50"/>
    <w:bookmarkEnd w:id="49"/>
    <w:p>
      <w:pPr>
        <w:jc w:val="both"/>
        <w:spacing w:after="0" w:line="248" w:lineRule="auto"/>
        <w:rPr>
          <w:sz w:val="20"/>
          <w:szCs w:val="20"/>
          <w:color w:val="auto"/>
        </w:rPr>
      </w:pPr>
      <w:r>
        <w:rPr>
          <w:rFonts w:ascii="Times New Roman" w:cs="Times New Roman" w:eastAsia="Times New Roman" w:hAnsi="Times New Roman"/>
          <w:sz w:val="20"/>
          <w:szCs w:val="20"/>
          <w:color w:val="auto"/>
        </w:rPr>
        <w:t>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rules,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9.17.</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Chase</w:t>
      </w:r>
      <w:r>
        <w:rPr>
          <w:rFonts w:ascii="Times New Roman" w:cs="Times New Roman" w:eastAsia="Times New Roman" w:hAnsi="Times New Roman"/>
          <w:sz w:val="20"/>
          <w:szCs w:val="20"/>
          <w:color w:val="auto"/>
        </w:rPr>
        <w:t>” means JPMorgan Chase Bank, N.A., a national banking association, in its individual capacity, and its successors.</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or Swingline Loans.</w:t>
      </w:r>
    </w:p>
    <w:p>
      <w:pPr>
        <w:spacing w:after="0" w:line="20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50"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any and all property pledged or purported to be pledged pursuant to the Collateral Documents and any and all property that is or is required to be covered by the Collateral Documents and that may at any time be, become or be intended to be, pursuant to the terms of the Collateral Documents, subject to a security interest or Lien in favor of the Administrative Agent, on behalf of itself and the Lenders and other Secured Parties, to secure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shall not include any Excluded Property.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has the meaning assigned to such term in the Security Agreement.</w:t>
      </w:r>
    </w:p>
    <w:p>
      <w:pPr>
        <w:spacing w:after="0" w:line="23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the Mortgages and Mortgage Instruments (if any) and all other agreements, instruments and documents executed, delivered or otherwise prepared in connection with this Agreement that are intended to create, perfect or evidence Liens to secure the Secured Obligations, whether heretofore, now or hereafter executed by any Loan Party and delivered to the Administrative Agent.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has the meaning assigned to such term in Section 8.03(c).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8" w:right="3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of a Financial Officer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i w:val="1"/>
          <w:iCs w:val="1"/>
          <w:u w:val="single" w:color="auto"/>
          <w:color w:val="auto"/>
        </w:rPr>
        <w:t>plus</w:t>
      </w:r>
    </w:p>
    <w:p>
      <w:pPr>
        <w:spacing w:after="0" w:line="239" w:lineRule="exact"/>
        <w:rPr>
          <w:sz w:val="20"/>
          <w:szCs w:val="20"/>
          <w:color w:val="auto"/>
        </w:rPr>
      </w:pPr>
    </w:p>
    <w:p>
      <w:pPr>
        <w:ind w:left="920" w:hanging="273"/>
        <w:spacing w:after="0"/>
        <w:tabs>
          <w:tab w:leader="none" w:pos="9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deducted in determining Consolidated Net Income for such period, the sum of:</w:t>
      </w:r>
    </w:p>
    <w:p>
      <w:pPr>
        <w:spacing w:after="0" w:line="250"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for such period,</w:t>
      </w:r>
    </w:p>
    <w:p>
      <w:pPr>
        <w:spacing w:after="0" w:line="250" w:lineRule="exact"/>
        <w:rPr>
          <w:sz w:val="20"/>
          <w:szCs w:val="20"/>
          <w:color w:val="auto"/>
        </w:rPr>
      </w:pPr>
    </w:p>
    <w:p>
      <w:pPr>
        <w:ind w:left="940" w:hanging="293"/>
        <w:spacing w:after="0"/>
        <w:tabs>
          <w:tab w:leader="none" w:pos="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expense for such period net of tax refunds,</w:t>
      </w:r>
    </w:p>
    <w:p>
      <w:pPr>
        <w:spacing w:after="0" w:line="18" w:lineRule="exact"/>
        <w:rPr>
          <w:rFonts w:ascii="Times New Roman" w:cs="Times New Roman" w:eastAsia="Times New Roman" w:hAnsi="Times New Roman"/>
          <w:sz w:val="20"/>
          <w:szCs w:val="20"/>
          <w:color w:val="auto"/>
        </w:rPr>
      </w:pPr>
    </w:p>
    <w:p>
      <w:pPr>
        <w:ind w:left="980" w:hanging="333"/>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attributable to depreciation and amortization expense for such period,</w:t>
      </w:r>
    </w:p>
    <w:p>
      <w:pPr>
        <w:spacing w:after="0" w:line="228" w:lineRule="exact"/>
        <w:rPr>
          <w:rFonts w:ascii="Times New Roman" w:cs="Times New Roman" w:eastAsia="Times New Roman" w:hAnsi="Times New Roman"/>
          <w:sz w:val="20"/>
          <w:szCs w:val="20"/>
          <w:color w:val="auto"/>
        </w:rPr>
      </w:pPr>
    </w:p>
    <w:p>
      <w:pPr>
        <w:ind w:firstLine="647"/>
        <w:spacing w:after="0" w:line="262" w:lineRule="auto"/>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unusual or non-recurring non-cash charges for such period (but excluding any non-cash charge in respect of an item that was included in Consolidated Net Income in a prior period),</w:t>
      </w:r>
    </w:p>
    <w:p>
      <w:pPr>
        <w:spacing w:after="0" w:line="205" w:lineRule="exact"/>
        <w:rPr>
          <w:rFonts w:ascii="Times New Roman" w:cs="Times New Roman" w:eastAsia="Times New Roman" w:hAnsi="Times New Roman"/>
          <w:sz w:val="20"/>
          <w:szCs w:val="20"/>
          <w:color w:val="auto"/>
        </w:rPr>
      </w:pPr>
    </w:p>
    <w:p>
      <w:pPr>
        <w:jc w:val="both"/>
        <w:ind w:firstLine="647"/>
        <w:spacing w:after="0" w:line="256" w:lineRule="auto"/>
        <w:tabs>
          <w:tab w:leader="none" w:pos="94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non-recurring fees, cash charges and other cash expenses made or incurred during such period in connection with (A) the Transactions that are paid or otherwise accounted for within 30 days of the Effective Date in an aggregate amount not to exceed $1,500,000 and (B) amendments, waivers or other modifications in respect of the Loan Documents or the Transactions,</w:t>
      </w:r>
    </w:p>
    <w:p>
      <w:pPr>
        <w:spacing w:after="0" w:line="211" w:lineRule="exact"/>
        <w:rPr>
          <w:rFonts w:ascii="Times New Roman" w:cs="Times New Roman" w:eastAsia="Times New Roman" w:hAnsi="Times New Roman"/>
          <w:sz w:val="20"/>
          <w:szCs w:val="20"/>
          <w:color w:val="auto"/>
        </w:rPr>
      </w:pPr>
    </w:p>
    <w:p>
      <w:pPr>
        <w:jc w:val="both"/>
        <w:ind w:firstLine="647"/>
        <w:spacing w:after="0" w:line="277" w:lineRule="auto"/>
        <w:tabs>
          <w:tab w:leader="none" w:pos="9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 rate” cost savings, operating expense reductions, and expenses and cost synergies related to the Transactions, any Permitted Acquisitions, any restructurings, business optimizations, cost savings initiatives and other initiatives occurring after the Effective Date (without duplication of any amounts added back pursuant to Section 1.05 in connection with any such transaction) and projected by the Borrower in good faith to be realized within eighteen (18) months after such transaction or initiative is consummated as a result of specified actions taken or committed to be taken (which “run rate” cost savings, operating expense reductions and expenses and cost synergies shall be calculated on a pro forma basis as though such “run rate” cost savings, restructuring charges and expenses, operating expense reductions and expenses and synergies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“run rate” cost savings, restructuring charges and expenses, operating expense reductions and expenses and synergies are reasonably quantifiable and factually supportable (in the good faith determination of the Borrower), reasonably attributable to the actions specified and reasonably anticipated to result from such actions,</w:t>
      </w:r>
    </w:p>
    <w:p>
      <w:pPr>
        <w:spacing w:after="0" w:line="199" w:lineRule="exact"/>
        <w:rPr>
          <w:rFonts w:ascii="Times New Roman" w:cs="Times New Roman" w:eastAsia="Times New Roman" w:hAnsi="Times New Roman"/>
          <w:sz w:val="18"/>
          <w:szCs w:val="18"/>
          <w:color w:val="auto"/>
        </w:rPr>
      </w:pPr>
    </w:p>
    <w:p>
      <w:pPr>
        <w:ind w:left="1040" w:hanging="393"/>
        <w:spacing w:after="0"/>
        <w:tabs>
          <w:tab w:leader="none" w:pos="10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expenses paid to the Borrower’s board of directors in the ordinary course of business,</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110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made in respect of stock-based compensation, including any non-cash expenses arising from grants of stock appreciation rights, stock options or restricted stock to employees, officers, directors and consultants of the Loan Parties,</w:t>
      </w:r>
    </w:p>
    <w:p>
      <w:pPr>
        <w:spacing w:after="0" w:line="180" w:lineRule="exact"/>
        <w:rPr>
          <w:rFonts w:ascii="Times New Roman" w:cs="Times New Roman" w:eastAsia="Times New Roman" w:hAnsi="Times New Roman"/>
          <w:sz w:val="20"/>
          <w:szCs w:val="20"/>
          <w:color w:val="auto"/>
        </w:rPr>
      </w:pPr>
    </w:p>
    <w:p>
      <w:pPr>
        <w:ind w:firstLine="647"/>
        <w:spacing w:after="0" w:line="275" w:lineRule="auto"/>
        <w:tabs>
          <w:tab w:leader="none" w:pos="98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losses or reasonable and documented expenses (or minus non-cash income or gain), including non-cash adjustments resulting from the application of purchase accounting, non-cash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8" w:right="339" w:bottom="1440" w:gutter="0" w:footer="0" w:header="0"/>
        </w:sectPr>
      </w:pPr>
    </w:p>
    <w:bookmarkStart w:id="51" w:name="page52"/>
    <w:bookmarkEnd w:id="51"/>
    <w:p>
      <w:pPr>
        <w:ind w:right="20"/>
        <w:spacing w:after="0" w:line="275" w:lineRule="auto"/>
        <w:rPr>
          <w:sz w:val="20"/>
          <w:szCs w:val="20"/>
          <w:color w:val="auto"/>
        </w:rPr>
      </w:pPr>
      <w:r>
        <w:rPr>
          <w:rFonts w:ascii="Times New Roman" w:cs="Times New Roman" w:eastAsia="Times New Roman" w:hAnsi="Times New Roman"/>
          <w:sz w:val="20"/>
          <w:szCs w:val="20"/>
          <w:color w:val="auto"/>
        </w:rPr>
        <w:t>impairment of goodwill and other long term intangible assets, unrealized non-cash losses (or minus unrealized non-cash gains) under Swap Agreements, unrealized non-cash losses (or minus unrealized non-cash gains) in such period due solely to fluctuations in currency values,</w:t>
      </w:r>
    </w:p>
    <w:p>
      <w:pPr>
        <w:spacing w:after="0" w:line="180" w:lineRule="exact"/>
        <w:rPr>
          <w:sz w:val="20"/>
          <w:szCs w:val="20"/>
          <w:color w:val="auto"/>
        </w:rPr>
      </w:pPr>
    </w:p>
    <w:p>
      <w:pPr>
        <w:jc w:val="both"/>
        <w:ind w:firstLine="647"/>
        <w:spacing w:after="0" w:line="256" w:lineRule="auto"/>
        <w:tabs>
          <w:tab w:leader="none" w:pos="94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charges, expenses, items and losses related to the non-cash effects of purchase accounting or similar adjustments required or permitted by GAAP or change in accounting principles during such period to the extent included in net income including the effect of harmonizing accounting policies and principles of targets of any Acquisition and their subsidiaries,</w:t>
      </w:r>
    </w:p>
    <w:p>
      <w:pPr>
        <w:spacing w:after="0" w:line="211" w:lineRule="exact"/>
        <w:rPr>
          <w:rFonts w:ascii="Times New Roman" w:cs="Times New Roman" w:eastAsia="Times New Roman" w:hAnsi="Times New Roman"/>
          <w:sz w:val="20"/>
          <w:szCs w:val="20"/>
          <w:color w:val="auto"/>
        </w:rPr>
      </w:pPr>
    </w:p>
    <w:p>
      <w:pPr>
        <w:jc w:val="both"/>
        <w:ind w:firstLine="647"/>
        <w:spacing w:after="0" w:line="284" w:lineRule="auto"/>
        <w:tabs>
          <w:tab w:leader="none" w:pos="10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relating to, or incurred in connection with (i) Acquisitions and Investments permitted hereunder, (ii) proposed or consummated recapitalizations, or issuances or repurchases or the payment of, or amendments, waivers, consents or modifications or refinancings of, any Indebtedness or issuances of Equity Interests, (iii) any transaction fees, costs or expenses paid or payable to Agent, agents, arrangers, lenders, investors, holders or secured parties under the Loan Documents or any other Indebtedness permitted under the Loan Documents or (iv) a proposed Disposition not in the ordinary course of business and permitted under the Credit Agreement,</w:t>
      </w:r>
    </w:p>
    <w:p>
      <w:pPr>
        <w:spacing w:after="0" w:line="189" w:lineRule="exact"/>
        <w:rPr>
          <w:rFonts w:ascii="Times New Roman" w:cs="Times New Roman" w:eastAsia="Times New Roman" w:hAnsi="Times New Roman"/>
          <w:sz w:val="18"/>
          <w:szCs w:val="18"/>
          <w:color w:val="auto"/>
        </w:rPr>
      </w:pPr>
    </w:p>
    <w:p>
      <w:pPr>
        <w:jc w:val="both"/>
        <w:ind w:firstLine="647"/>
        <w:spacing w:after="0" w:line="249" w:lineRule="auto"/>
        <w:tabs>
          <w:tab w:leader="none" w:pos="104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charges, expenses, accruals or reserves incurred or accrued during such period relating to out-of-pocket legal, expert and consulting fees and expenses and all other liabilities (including all damages, fines, judgments, penalties and indemnification and settlement payments) paid in connection with actual or threatened claims, demands, actions, suits, proceedings, inquiries or investigations, in each case, to the extent such amounts are reimbursed by insurance or other third parties during such period,</w:t>
      </w:r>
    </w:p>
    <w:p>
      <w:pPr>
        <w:spacing w:after="0" w:line="1" w:lineRule="exact"/>
        <w:rPr>
          <w:rFonts w:ascii="Times New Roman" w:cs="Times New Roman" w:eastAsia="Times New Roman" w:hAnsi="Times New Roman"/>
          <w:sz w:val="20"/>
          <w:szCs w:val="20"/>
          <w:color w:val="auto"/>
        </w:rPr>
      </w:pPr>
    </w:p>
    <w:p>
      <w:pPr>
        <w:jc w:val="both"/>
        <w:ind w:firstLine="647"/>
        <w:spacing w:after="0" w:line="273"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or non-recurring charges, expenses or losses, including, without limitation, (A) severance costs, (B) expenses (including legal expenses) associated with recruitment of senior management (including one time bonuses in connection therewith),</w:t>
      </w:r>
    </w:p>
    <w:p>
      <w:pPr>
        <w:spacing w:after="0" w:line="1" w:lineRule="exact"/>
        <w:rPr>
          <w:rFonts w:ascii="Times New Roman" w:cs="Times New Roman" w:eastAsia="Times New Roman" w:hAnsi="Times New Roman"/>
          <w:sz w:val="18"/>
          <w:szCs w:val="18"/>
          <w:color w:val="auto"/>
        </w:rPr>
      </w:pPr>
    </w:p>
    <w:p>
      <w:pPr>
        <w:jc w:val="both"/>
        <w:ind w:firstLine="7"/>
        <w:spacing w:after="0" w:line="246" w:lineRule="auto"/>
        <w:tabs>
          <w:tab w:leader="none" w:pos="31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related to the vesting of employee benefits in connection with employee departures, (D) retention or stay bonus expenses paid to employees, (E) costs and expenses associated with relocation of people, hardware, records and data, (F) branding or rebranding costs (including costs associated with changing signage, collateral, clothing, websites and related items), (G) consulting expenses, (H) costs, fees and expenses related to office, warehouse, distribution center and facility openings (including any start-up costs and costs associated with duplication of manufacturing facilities), closures, consolidations and relocations, (I) natural disaster losses not covered by insurance, (J) costs and expenses incurred to relocate, establish, qualify or commence manufacturing, supply or distribution operations for the Borrower’s approved products and clinical candidates at third party manufacturers, suppliers and distributors and (K) costs, fees and expenses related to new product launches, including any inbound licensing related to any new product,</w:t>
      </w:r>
    </w:p>
    <w:p>
      <w:pPr>
        <w:spacing w:after="0" w:line="208" w:lineRule="exact"/>
        <w:rPr>
          <w:rFonts w:ascii="Times New Roman" w:cs="Times New Roman" w:eastAsia="Times New Roman" w:hAnsi="Times New Roman"/>
          <w:sz w:val="20"/>
          <w:szCs w:val="20"/>
          <w:color w:val="auto"/>
        </w:rPr>
      </w:pPr>
    </w:p>
    <w:p>
      <w:pPr>
        <w:jc w:val="both"/>
        <w:ind w:firstLine="647"/>
        <w:spacing w:after="0" w:line="253" w:lineRule="auto"/>
        <w:tabs>
          <w:tab w:leader="none" w:pos="107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costs, integration costs, business optimization expenses or costs, transition services costs (including one-time set up costs and costs related to transition service agreements) and expenses (including work force reductions and the salary, bonus, benefits and other expenses of interim management (including travel and relocation expenses)), costs relating to the undertaking of cost saving initiatives, operating expense reductions and other cost synergies and similar initiatives, retention and recruiting, relocation and signing bonuses and expenses, severance costs,</w:t>
      </w:r>
    </w:p>
    <w:p>
      <w:pPr>
        <w:spacing w:after="0" w:line="202" w:lineRule="exact"/>
        <w:rPr>
          <w:rFonts w:ascii="Times New Roman" w:cs="Times New Roman" w:eastAsia="Times New Roman" w:hAnsi="Times New Roman"/>
          <w:sz w:val="20"/>
          <w:szCs w:val="20"/>
          <w:color w:val="auto"/>
        </w:rPr>
      </w:pPr>
    </w:p>
    <w:p>
      <w:pPr>
        <w:jc w:val="both"/>
        <w:ind w:firstLine="647"/>
        <w:spacing w:after="0" w:line="254" w:lineRule="auto"/>
        <w:tabs>
          <w:tab w:leader="none" w:pos="101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Permitted Acquisition or other permitted Investment, all adjustments that are set forth in a quality of earnings report or table prepared by a third-party accountant and acceptable to Administrative Agent; provided, that if any such adjustments reflect amounts of the type described in clauses (a)(vi), (a)(xiii) or (a)(xiv), such amounts shall be deemed to be added back pursuant to those clauses and shall be subject to the limitation in the sentence following clause (b) below,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8" w:right="339" w:bottom="1440" w:gutter="0" w:footer="0" w:header="0"/>
        </w:sectPr>
      </w:pPr>
    </w:p>
    <w:bookmarkStart w:id="52" w:name="page53"/>
    <w:bookmarkEnd w:id="52"/>
    <w:p>
      <w:pPr>
        <w:spacing w:after="0" w:line="198" w:lineRule="exact"/>
        <w:rPr>
          <w:sz w:val="20"/>
          <w:szCs w:val="20"/>
          <w:color w:val="auto"/>
        </w:rPr>
      </w:pPr>
    </w:p>
    <w:p>
      <w:pPr>
        <w:jc w:val="both"/>
        <w:ind w:firstLine="647"/>
        <w:spacing w:after="0" w:line="256" w:lineRule="auto"/>
        <w:tabs>
          <w:tab w:leader="none" w:pos="106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charges, fees, and other amounts expensed at the time of entry or at the time any pre-regulatory approval milestone or sales and commercial milestone is paid with respect to inbound licenses of intellectual property in connection with the acquisition or origination of such license, </w:t>
      </w:r>
      <w:r>
        <w:rPr>
          <w:rFonts w:ascii="Times New Roman" w:cs="Times New Roman" w:eastAsia="Times New Roman" w:hAnsi="Times New Roman"/>
          <w:sz w:val="20"/>
          <w:szCs w:val="20"/>
          <w:i w:val="1"/>
          <w:iCs w:val="1"/>
          <w:u w:val="single" w:color="auto"/>
          <w:color w:val="auto"/>
        </w:rPr>
        <w:t>minus</w:t>
      </w:r>
    </w:p>
    <w:p>
      <w:pPr>
        <w:spacing w:after="0" w:line="211" w:lineRule="exact"/>
        <w:rPr>
          <w:sz w:val="20"/>
          <w:szCs w:val="20"/>
          <w:color w:val="auto"/>
        </w:rPr>
      </w:pPr>
    </w:p>
    <w:p>
      <w:pPr>
        <w:jc w:val="both"/>
        <w:ind w:firstLine="647"/>
        <w:spacing w:after="0" w:line="254" w:lineRule="auto"/>
        <w:tabs>
          <w:tab w:leader="none" w:pos="91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included in Consolidated Net Income, any unusual or non-recurring gains (excluding proceeds from business interruption insurance actually received and charges, losses and expenses related to losses indemnified, insured or reimbursed by a third party during such period) and any non-cash items of income for such period, all calculated for the Borrower and its Subsidiaries on a consolidated basis in accordance with GAAP.</w:t>
      </w:r>
    </w:p>
    <w:p>
      <w:pPr>
        <w:spacing w:after="0" w:line="20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Notwithstanding the foregoing, the aggregate all amounts added-back to Consolidated EBITDA pursuant to clauses (a)(vi), (a)(xiii) and (a)(xiv) during any period, shall not exceed an amount equal to 30% of Consolidated EBITDA for such period (calculated before giving effect to any such add-backs).</w:t>
      </w:r>
    </w:p>
    <w:p>
      <w:pPr>
        <w:spacing w:after="0" w:line="2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period, total interest expense (including that attributable to Capital Lease Obligations and amortization of deferred financing fees, debt issuance costs, commissions, fees and expense and original issue discounts)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21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consolidated net income (or loss) determined for the Borrower and its Subsidiaries,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the income (or deficit) of any Person (other than a Subsidiary) in which the Borrower or any Subsidiary has an ownership interest, except to the extent that any such income is actually received by the Borrower or such Subsidiary in the form of dividends or similar distributions.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total assets of the Borrower and its Subsidiaries calculated in accordance with GAAP on a consolidated basis as of such date.</w:t>
      </w:r>
    </w:p>
    <w:p>
      <w:pPr>
        <w:spacing w:after="0" w:line="20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Funded Indebtedness</w:t>
      </w:r>
      <w:r>
        <w:rPr>
          <w:rFonts w:ascii="Times New Roman" w:cs="Times New Roman" w:eastAsia="Times New Roman" w:hAnsi="Times New Roman"/>
          <w:sz w:val="20"/>
          <w:szCs w:val="20"/>
          <w:color w:val="auto"/>
        </w:rPr>
        <w:t>” means, at any date, the aggregate principal amount of Indebtedness of the Borrower and its Subsidiaries on a consolidated basis in accordance with GAAP, consisting only of third-party Indebtedness for borrowed money, amounts drawn under standby letters of credit solely to the extent not reimbursed within one (1) Business Day from the date drawn and Indebtedness evidenced by notes, bonds, debentures or similar instruments.</w:t>
      </w:r>
    </w:p>
    <w:p>
      <w:pPr>
        <w:spacing w:after="0" w:line="20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Acquisition Consideration</w:t>
      </w:r>
      <w:r>
        <w:rPr>
          <w:rFonts w:ascii="Times New Roman" w:cs="Times New Roman" w:eastAsia="Times New Roman" w:hAnsi="Times New Roman"/>
          <w:sz w:val="20"/>
          <w:szCs w:val="20"/>
          <w:color w:val="auto"/>
        </w:rPr>
        <w:t>” means any earnout obligation, milestone payment or similar deferred or contingent obligation of the Borrower or any of its Subsidiaries incurred or created in connection with an Acquisition or other Investment, excluding customary escrow arrangements and working capital and other similar purchase price adjustments.</w:t>
      </w:r>
    </w:p>
    <w:p>
      <w:pPr>
        <w:spacing w:after="0" w:line="19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53" w:name="page54"/>
    <w:bookmarkEnd w:id="53"/>
    <w:p>
      <w:pPr>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50" w:lineRule="exact"/>
        <w:rPr>
          <w:sz w:val="20"/>
          <w:szCs w:val="20"/>
          <w:color w:val="auto"/>
        </w:rPr>
      </w:pPr>
    </w:p>
    <w:p>
      <w:pPr>
        <w:ind w:left="880" w:hanging="233"/>
        <w:spacing w:after="0"/>
        <w:tabs>
          <w:tab w:leader="none" w:pos="8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37" w:lineRule="exact"/>
        <w:rPr>
          <w:rFonts w:ascii="Times New Roman" w:cs="Times New Roman" w:eastAsia="Times New Roman" w:hAnsi="Times New Roman"/>
          <w:sz w:val="20"/>
          <w:szCs w:val="20"/>
          <w:color w:val="auto"/>
        </w:rPr>
      </w:pPr>
    </w:p>
    <w:p>
      <w:pPr>
        <w:ind w:left="940" w:hanging="293"/>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50" w:lineRule="exact"/>
        <w:rPr>
          <w:rFonts w:ascii="Times New Roman" w:cs="Times New Roman" w:eastAsia="Times New Roman" w:hAnsi="Times New Roman"/>
          <w:sz w:val="20"/>
          <w:szCs w:val="20"/>
          <w:color w:val="auto"/>
        </w:rPr>
      </w:pPr>
    </w:p>
    <w:p>
      <w:pPr>
        <w:ind w:left="980" w:hanging="333"/>
        <w:spacing w:after="0"/>
        <w:tabs>
          <w:tab w:leader="none" w:pos="9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it in Section 9.21.</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the Issuing Bank, the Swingline Lender or any other Lender.</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0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9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205"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8"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20"/>
          <w:szCs w:val="20"/>
          <w:color w:val="auto"/>
        </w:rPr>
        <w:t>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license or other disposal, with or without recourse, of any notes or accounts receivable or any rights and claims associated therewith.</w:t>
      </w:r>
    </w:p>
    <w:p>
      <w:pPr>
        <w:spacing w:after="0" w:line="21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with respect to any Person, any Equity Interest in such Person that by its terms (or by the terms of any other Equity Interest into which it is convertible or exchangeable) or upon the happening of any event or condition (a) matures (excluding maturity as a result of an option redemption by the issuer thereof) or is subject to mandatory redemption or repurchase (other than solely for Equity Interests that are not Disqualified Equity Interests and cash in lieu of fractional shares) pursuant to a sinking fund obligation or otherwise, in whole or in part, on or prior to the date that is ninety-one (91) days following the latest maturity date of the Loans (excluding any provisions requiring redemption upon the occurrence of a change of control or asset sale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change of control or asset sale event results in Payment in Full;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and cash in lieu of fractional shares), in whole or in part, in each case on or before the date that is ninety-one (91) days after the latest maturity date of the Loans; or (d) provides for scheduled payments of dividends to be made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future, current or former employees, directors or officers of the Borrower or any Subsidiary or by any such plan to such employees, directors or officers, such Equity Interests shall not constitute Disqualified Equity Interests solely because it may be required to be repurchased by the Borrower or any Subsidiary in order to satisfy applicable statutory or regulatory obligations or as a result of such employee’s, director’s or officer’s termination, death or disability.</w:t>
      </w: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w:t>
      </w:r>
    </w:p>
    <w:p>
      <w:pPr>
        <w:spacing w:after="0" w:line="237"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98" w:right="339" w:bottom="1440" w:gutter="0" w:footer="0" w:header="0"/>
        </w:sectPr>
      </w:pPr>
    </w:p>
    <w:bookmarkStart w:id="55" w:name="page56"/>
    <w:bookmarkEnd w:id="55"/>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9.02).</w:t>
      </w:r>
    </w:p>
    <w:p>
      <w:pPr>
        <w:spacing w:after="0" w:line="228"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80"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spacing w:after="0" w:line="20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21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20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Section 4001 of ERISA or, solely for purposes of Section 302 of ERISA and Section 412 of the Code, is treated as a single employer under Section 414 of the Code.</w:t>
      </w:r>
    </w:p>
    <w:p>
      <w:pPr>
        <w:spacing w:after="0" w:line="21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 day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20"/>
          <w:szCs w:val="20"/>
          <w:color w:val="auto"/>
        </w:rPr>
        <w:t>period is waived by regulation);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or in critical status, within the meaning of Title IV of ERISA.</w:t>
      </w:r>
    </w:p>
    <w:p>
      <w:pPr>
        <w:spacing w:after="0" w:line="222"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means:</w:t>
      </w:r>
    </w:p>
    <w:p>
      <w:pPr>
        <w:spacing w:after="0" w:line="237" w:lineRule="exact"/>
        <w:rPr>
          <w:sz w:val="20"/>
          <w:szCs w:val="20"/>
          <w:color w:val="auto"/>
        </w:rPr>
      </w:pPr>
    </w:p>
    <w:p>
      <w:pPr>
        <w:ind w:left="880" w:hanging="233"/>
        <w:spacing w:after="0"/>
        <w:tabs>
          <w:tab w:leader="none" w:pos="8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fee-owned real property that does not constitute Material Real Property</w:t>
      </w:r>
    </w:p>
    <w:p>
      <w:pPr>
        <w:spacing w:after="0" w:line="250" w:lineRule="exact"/>
        <w:rPr>
          <w:rFonts w:ascii="Times New Roman" w:cs="Times New Roman" w:eastAsia="Times New Roman" w:hAnsi="Times New Roman"/>
          <w:sz w:val="20"/>
          <w:szCs w:val="20"/>
          <w:color w:val="auto"/>
        </w:rPr>
      </w:pPr>
    </w:p>
    <w:p>
      <w:pPr>
        <w:jc w:val="both"/>
        <w:ind w:firstLine="647"/>
        <w:spacing w:after="0" w:line="254" w:lineRule="auto"/>
        <w:tabs>
          <w:tab w:leader="none" w:pos="94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assets to the extent that the Administrative Agent may not validly possess a security interest therein under, or such security interest is restricted by, applicable laws or the pledge or creation of a security interest in which would require governmental consent, approval, license or authorization that has not been obtained, in each case, other than proceeds thereof and other than to the extent such prohibition or limitation is rendered ineffective under the UCC or other applicable law notwithstanding such prohibition;</w:t>
      </w:r>
    </w:p>
    <w:p>
      <w:pPr>
        <w:spacing w:after="0" w:line="200" w:lineRule="exact"/>
        <w:rPr>
          <w:rFonts w:ascii="Times New Roman" w:cs="Times New Roman" w:eastAsia="Times New Roman" w:hAnsi="Times New Roman"/>
          <w:sz w:val="20"/>
          <w:szCs w:val="20"/>
          <w:color w:val="auto"/>
        </w:rPr>
      </w:pPr>
    </w:p>
    <w:p>
      <w:pPr>
        <w:jc w:val="both"/>
        <w:ind w:firstLine="647"/>
        <w:spacing w:after="0" w:line="254" w:lineRule="auto"/>
        <w:tabs>
          <w:tab w:leader="none" w:pos="100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of and equity interests in any Person (other than a Wholly-Owned Subsidiary) to the extent a security interest is not permitted to be granted by the terms of such Person’s organizational documents or joint venture documents, in each case, to the extent such prohibition is not rendered unenforceable pursuant to the UCC or other applicable law notwithstanding such prohibition and to the extent such prohibition was not effected solely for the purpose of avoiding the requirements of the Loan Documents;</w:t>
      </w:r>
    </w:p>
    <w:p>
      <w:pPr>
        <w:spacing w:after="0" w:line="213" w:lineRule="exact"/>
        <w:rPr>
          <w:rFonts w:ascii="Times New Roman" w:cs="Times New Roman" w:eastAsia="Times New Roman" w:hAnsi="Times New Roman"/>
          <w:sz w:val="20"/>
          <w:szCs w:val="20"/>
          <w:color w:val="auto"/>
        </w:rPr>
      </w:pPr>
    </w:p>
    <w:p>
      <w:pPr>
        <w:jc w:val="both"/>
        <w:ind w:firstLine="647"/>
        <w:spacing w:after="0" w:line="247" w:lineRule="auto"/>
        <w:tabs>
          <w:tab w:leader="none" w:pos="98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or permits or agreements to the extent that, and so long as, a grant of a security interest therein, or, solely in the case of any agreement evidencing a purchase money security interest or similar arrangement to finance the acquisition of property, in the property or assets that secure the underlying obligations with respect thereto would violate or invalidate such lease, license, permit or agreement, or create a right of termination in favor of, or require the consent of, any other party thereto (other than the Borrower or any of its respective Subsidiaries or any Affiliate thereof) that has not been obtained (in each case, after giving effect to the relevant provisions of the UCC or other applicable laws), in each case, other than the proceeds thereof, and only to the extent that and for so long as such limitation on such pledge or security interest is otherwise permitted under the Loan Documents;</w:t>
      </w:r>
    </w:p>
    <w:p>
      <w:pPr>
        <w:spacing w:after="0" w:line="224"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98" w:right="339" w:bottom="1440" w:gutter="0" w:footer="0" w:header="0"/>
        </w:sectPr>
      </w:pPr>
    </w:p>
    <w:bookmarkStart w:id="57" w:name="page58"/>
    <w:bookmarkEnd w:id="57"/>
    <w:p>
      <w:pPr>
        <w:jc w:val="both"/>
        <w:ind w:firstLine="647"/>
        <w:spacing w:after="0" w:line="256" w:lineRule="auto"/>
        <w:tabs>
          <w:tab w:leader="none" w:pos="98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211" w:lineRule="exact"/>
        <w:rPr>
          <w:rFonts w:ascii="Times New Roman" w:cs="Times New Roman" w:eastAsia="Times New Roman" w:hAnsi="Times New Roman"/>
          <w:sz w:val="20"/>
          <w:szCs w:val="20"/>
          <w:color w:val="auto"/>
        </w:rPr>
      </w:pPr>
    </w:p>
    <w:p>
      <w:pPr>
        <w:jc w:val="both"/>
        <w:ind w:firstLine="647"/>
        <w:spacing w:after="0" w:line="250" w:lineRule="auto"/>
        <w:tabs>
          <w:tab w:leader="none" w:pos="103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deposit account, securities account or commodities account that is (w) used exclusively for the purpose of funding payroll, employee benefits, withholding taxes, or other fiduciary obligations of a Loan Party, (x) a zero balance account, (y) an escrow account, trust account or otherwise maintained solely for the benefit of third parties as cash collateral for obligations owing to such third parties or to establish or maintain escrow amounts for third-parties pursuant to transactions permitted hereunder or (z) other accounts with amounts on deposit which do not exceed $1,000,000 in the aggregate at any one time;</w:t>
      </w:r>
    </w:p>
    <w:p>
      <w:pPr>
        <w:spacing w:after="0" w:line="216" w:lineRule="exact"/>
        <w:rPr>
          <w:rFonts w:ascii="Times New Roman" w:cs="Times New Roman" w:eastAsia="Times New Roman" w:hAnsi="Times New Roman"/>
          <w:sz w:val="20"/>
          <w:szCs w:val="20"/>
          <w:color w:val="auto"/>
        </w:rPr>
      </w:pPr>
    </w:p>
    <w:p>
      <w:pPr>
        <w:ind w:left="1080" w:hanging="433"/>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Interests in (x) VSC for so long as VSC remains an Excluded Subsidiary and (y) any not-for-profit Subsidiary;</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7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Equity Interests of any CFC or CFC Holdco representing in excess of 65% of the issued and outstanding Equity Interests of such CFC or CFC Holdco, as applicable, entitled to vote (within the meaning of Treas. Reg. Section 1.956-2(c)(2));</w:t>
      </w:r>
    </w:p>
    <w:p>
      <w:pPr>
        <w:spacing w:after="0" w:line="193" w:lineRule="exact"/>
        <w:rPr>
          <w:rFonts w:ascii="Times New Roman" w:cs="Times New Roman" w:eastAsia="Times New Roman" w:hAnsi="Times New Roman"/>
          <w:sz w:val="20"/>
          <w:szCs w:val="20"/>
          <w:color w:val="auto"/>
        </w:rPr>
      </w:pPr>
    </w:p>
    <w:p>
      <w:pPr>
        <w:ind w:firstLine="647"/>
        <w:spacing w:after="0" w:line="317" w:lineRule="auto"/>
        <w:tabs>
          <w:tab w:leader="none" w:pos="9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if, and for so long as, in each case, reasonably agreed by the Administrative Agent and Borrower, the cost of obtaining or perfecting such pledges or security interests in such assets exceed the practical benefits to be obtained by the Lenders therefrom;</w:t>
      </w:r>
    </w:p>
    <w:p>
      <w:pPr>
        <w:spacing w:after="0" w:line="160" w:lineRule="exact"/>
        <w:rPr>
          <w:rFonts w:ascii="Times New Roman" w:cs="Times New Roman" w:eastAsia="Times New Roman" w:hAnsi="Times New Roman"/>
          <w:sz w:val="18"/>
          <w:szCs w:val="18"/>
          <w:color w:val="auto"/>
        </w:rPr>
      </w:pPr>
    </w:p>
    <w:p>
      <w:pPr>
        <w:ind w:left="980" w:hanging="333"/>
        <w:spacing w:after="0"/>
        <w:tabs>
          <w:tab w:leader="none" w:pos="9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vehicles and other assets subject to certificates of title;</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103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rights in excess of $500,000, except to the extent perfection of a security interest therein is automatic or may be accomplished by filing financing statements in the appropriate form in the applicable jurisdiction under the UCC; and</w:t>
      </w:r>
    </w:p>
    <w:p>
      <w:pPr>
        <w:spacing w:after="0" w:line="193" w:lineRule="exact"/>
        <w:rPr>
          <w:rFonts w:ascii="Times New Roman" w:cs="Times New Roman" w:eastAsia="Times New Roman" w:hAnsi="Times New Roman"/>
          <w:sz w:val="20"/>
          <w:szCs w:val="20"/>
          <w:color w:val="auto"/>
        </w:rPr>
      </w:pPr>
    </w:p>
    <w:p>
      <w:pPr>
        <w:ind w:firstLine="647"/>
        <w:spacing w:after="0" w:line="262" w:lineRule="auto"/>
        <w:tabs>
          <w:tab w:leader="none" w:pos="109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tort claims in excess of $500,000, except to the extent a security interest therein can be perfected by filing a UCC financing statement.</w:t>
      </w:r>
    </w:p>
    <w:p>
      <w:pPr>
        <w:spacing w:after="0" w:line="205"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20"/>
          <w:szCs w:val="20"/>
          <w:color w:val="auto"/>
        </w:rPr>
        <w:t>Notwithstanding the foregoing, “Excluded Property” shall not include proceeds, substitutions or replacements of any Excluded Property unless such proceeds, substitutions or replacements would independently constitute Excluded Property.</w:t>
      </w:r>
    </w:p>
    <w:p>
      <w:pPr>
        <w:spacing w:after="0" w:line="20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any: (i) CFC, CFC Holding Company or Subsidiary of a CFC or CFC Holding Company; (ii) not-for-profit Subsidiary; (iii) Immaterial Subsidiary; (iv) Subsidiary for which guarantees are legally prohibited or require governmental consent, approval, license or authorization that has not been obtained; (v) VSC for so long as VSC does not engage in any business activity other than securities investment activity and otherwise conducts itself as, and is entitled to status as, a “security corporation” by the Massachusetts Department of Revenue pursuant to Massachusetts General Law c. 63, § 38B, or any successor statute; and (vi) any other Subsidiary to the extent the Administrative Agent reasonably determines that the cost and/or burden of obtaining the Guarantee of such Subsidiary outweigh the benefit to the Lenders. Notwithstanding the foregoing, no Subsidiary shall constitute an Excluded Subsidiary if (either at the time of designation or thereafter) (x) the primary purpose of such designation is (A) to evade the collateral or guarantee requirements under the Loan Documents for such Subsidiary with no other justifiable business purpose, or (B) to raise (or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98" w:right="339" w:bottom="1440" w:gutter="0" w:footer="0" w:header="0"/>
        </w:sectPr>
      </w:pPr>
    </w:p>
    <w:bookmarkStart w:id="58" w:name="page59"/>
    <w:bookmarkEnd w:id="58"/>
    <w:p>
      <w:pPr>
        <w:jc w:val="both"/>
        <w:spacing w:after="0" w:line="275" w:lineRule="auto"/>
        <w:rPr>
          <w:sz w:val="20"/>
          <w:szCs w:val="20"/>
          <w:color w:val="auto"/>
        </w:rPr>
      </w:pPr>
      <w:r>
        <w:rPr>
          <w:rFonts w:ascii="Times New Roman" w:cs="Times New Roman" w:eastAsia="Times New Roman" w:hAnsi="Times New Roman"/>
          <w:sz w:val="20"/>
          <w:szCs w:val="20"/>
          <w:color w:val="auto"/>
        </w:rPr>
        <w:t>the raising of) capital for any parent of the Borrower or its Subsidiaries or (y) such Subsidiary guarantees or otherwise provides credit support for any Material Indebtedness of the Borrower or any Domestic Subsidiary.</w:t>
      </w:r>
    </w:p>
    <w:p>
      <w:pPr>
        <w:spacing w:after="0" w:line="18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2.17(f) and (d) any withholding Taxes imposed under FATCA.</w:t>
      </w:r>
    </w:p>
    <w:p>
      <w:pPr>
        <w:spacing w:after="0" w:line="18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Exclusive License</w:t>
      </w:r>
      <w:r>
        <w:rPr>
          <w:rFonts w:ascii="Times New Roman" w:cs="Times New Roman" w:eastAsia="Times New Roman" w:hAnsi="Times New Roman"/>
          <w:sz w:val="20"/>
          <w:szCs w:val="20"/>
          <w:color w:val="auto"/>
        </w:rPr>
        <w:t>” means any license to develop and commercialize a drug, medical device or other medical product of any Person made on an exclusive basis such that such Person does not retain any right to develop or commercialize such a drug, medical device or other medical product in any jurisdiction or territory. “</w:t>
      </w:r>
      <w:r>
        <w:rPr>
          <w:rFonts w:ascii="Times New Roman" w:cs="Times New Roman" w:eastAsia="Times New Roman" w:hAnsi="Times New Roman"/>
          <w:sz w:val="20"/>
          <w:szCs w:val="20"/>
          <w:u w:val="single" w:color="auto"/>
          <w:color w:val="auto"/>
        </w:rPr>
        <w:t>Exclusively License</w:t>
      </w:r>
      <w:r>
        <w:rPr>
          <w:rFonts w:ascii="Times New Roman" w:cs="Times New Roman" w:eastAsia="Times New Roman" w:hAnsi="Times New Roman"/>
          <w:sz w:val="20"/>
          <w:szCs w:val="20"/>
          <w:color w:val="auto"/>
        </w:rPr>
        <w:t>” shall have the correlative meaning.</w:t>
      </w:r>
    </w:p>
    <w:p>
      <w:pPr>
        <w:spacing w:after="0" w:line="19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irrevocable letters of credit previously issued by Silicon Valley Bank which remain outstanding on the date hereof, will be deemed to be Letters of Credit issued under this Agreement for the period from the Effective Date until the then current expiry date of such letters of credit (without giving effect to any evergreen features), and which are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xml:space="preserve"> hereto.</w:t>
      </w:r>
    </w:p>
    <w:p>
      <w:pPr>
        <w:spacing w:after="0" w:line="21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98" w:right="33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has the meaning assigned to such term in Section 3.24(a).</w:t>
      </w:r>
    </w:p>
    <w:p>
      <w:pPr>
        <w:spacing w:after="0" w:line="25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has the meaning assigned to such term in Section 5.01.</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has the meaning assigned to such term in Section 8.10.</w:t>
      </w:r>
    </w:p>
    <w:p>
      <w:pPr>
        <w:spacing w:after="0" w:line="23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zero.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 Lender that is resident or organized under the laws of a jurisdiction other than that in which the Borrower is resident for tax purposes.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has the meaning assigned to such term in Section 4.01(h).</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5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98"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98" w:right="339" w:bottom="1440" w:gutter="0" w:footer="0" w:header="0"/>
        </w:sectPr>
      </w:pPr>
    </w:p>
    <w:bookmarkStart w:id="60" w:name="page61"/>
    <w:bookmarkEnd w:id="6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w:t>
      </w:r>
    </w:p>
    <w:p>
      <w:pPr>
        <w:spacing w:after="0" w:line="21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means (i) with respect to the Borrower, the Specified Ancillary Obligations and (ii) with respect to any Subsidiary Guarantor, the Secured Obligations, and, in each case, all costs and expenses including, without limitation, all court costs and 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22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225"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Health Care Laws</w:t>
      </w:r>
      <w:r>
        <w:rPr>
          <w:rFonts w:ascii="Times New Roman" w:cs="Times New Roman" w:eastAsia="Times New Roman" w:hAnsi="Times New Roman"/>
          <w:sz w:val="20"/>
          <w:szCs w:val="20"/>
          <w:color w:val="auto"/>
        </w:rPr>
        <w:t>” means (a) all laws of any Governmental Authority related to (i) health care fraud and abuse, including the Federal Anti-Kickback Statute (42 U.S.C. § 1320a-7b), the Federal False Claims Act (31 U.S.C. §§ 3729, et seq.), the Federal Civil Monetary Penalties Law (42 U.S.C. § 1320a−7a), the Federal Program Fraud Civil Remedies Act (31 U.S.C. § 3801 et seq.), the Federal Health Care Fraud law (18 U.S.C. § 1347), the criminal false claims statutes (e.g., 18 U.S.C. §§ 287 and 1001), the Physician Payment Sunshine Act (42 U.S.C. § 1320a−7h), the Federal Health Care Program Overpayment Statute (42 U.S.C. § 1320a-7k(d)), the Medicare Secondary Payor Statute (42 U.S.C. § 1395y(b)), the Health Insurance Portability and Accountability Act of 1996 (42 U.S.C. § 1320d et seq.), as amended by the Health Information Technology for Economic and Clinical Health Act of 2009 (42 U.S.C. §§ 17921 et seq.) and the exclusion laws (42 U.S.C. § 1320a-7) and (ii) the safety, efficacy, development, manufacture, testing, storage, transportation, distribution, supply, packaging, holding, import or export, or sale of pharmaceutical products, including, without limitation, the U.S. Federal Food, Drug and Cosmetic Act (21 U.S.C. § 301 et seq.), the Controlled Substances Act (21 U.S.C. § 801 et seq.), the Public Health Service Act (42 U.S.C. § 201 et seq.), the Food and Drugs Act, R.S. 1985, c. F-27 and Food and Drug Regulations, C.R.C., ch. 870, and the regulations promulgated thereunder; (b) the Medicare statute (Title XVIII of the Social Security Act); (c) the Medicaid Statute (Title XIX of the Social Security Act) and (d) any similar laws of any Governmental Authority, and the regulations promulgated pursuant to such laws,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9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(42 U.S.C. § 256b), the VA Federal Supply Schedule (38 U.S.C. § 8126) or under any state pharmaceutical assistance program or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Department of Veterans Affairs agreement, and any successor government programs.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Health Care Permits</w:t>
      </w:r>
      <w:r>
        <w:rPr>
          <w:rFonts w:ascii="Times New Roman" w:cs="Times New Roman" w:eastAsia="Times New Roman" w:hAnsi="Times New Roman"/>
          <w:sz w:val="20"/>
          <w:szCs w:val="20"/>
          <w:color w:val="auto"/>
        </w:rPr>
        <w:t>” has the meaning assigned to such term in Section 3.24(c).</w:t>
      </w:r>
    </w:p>
    <w:p>
      <w:pPr>
        <w:spacing w:after="0" w:line="25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Hostile Acquisition</w:t>
      </w:r>
      <w:r>
        <w:rPr>
          <w:rFonts w:ascii="Times New Roman" w:cs="Times New Roman" w:eastAsia="Times New Roman" w:hAnsi="Times New Roman"/>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at any time of determination, any Subsidiary that is not a Material Subsidiary.</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has the meaning assigned to such term in Section 2.09.</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has the meaning assigned to such term in Section 2.09.</w:t>
      </w:r>
    </w:p>
    <w:p>
      <w:pPr>
        <w:spacing w:after="0" w:line="250"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with respect to any Contingent Acquisition Consideration, (l) any other Off-Balance Sheet Liability, (m) any Disqualified Equity Interests and (n)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1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9.03(c).</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98" w:right="339" w:bottom="1440" w:gutter="0" w:footer="0" w:header="0"/>
        </w:sectPr>
      </w:pPr>
    </w:p>
    <w:bookmarkStart w:id="62" w:name="page63"/>
    <w:bookmarkEnd w:id="62"/>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Lender Presentation dated April 19, 2022 relating to the Borrower and the Transactions.</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to convert or continue a Borrowing in accordance with Section 2.08, which shall be substantially in the form attached as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xml:space="preserve"> hereto or any other form approved by the Administrative Agent.</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(other than a Swingline Loan), the last day of each calendar quarter and the Revolving Credit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Revolving Credit Maturity Date,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and (d) with respect to any Swingline Loan, the day that such Loan is required to be repaid and the Revolving Credit Maturity Date.</w:t>
      </w:r>
    </w:p>
    <w:p>
      <w:pPr>
        <w:spacing w:after="0" w:line="205"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Revolving Commitment),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in the case of any Borrowing other than a Swingline Loan, shall be the effective date of the most recent conversion or continuation of such Borrowing.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individually and collectively, each of (i) Chase, in its capacity as the issuer of Letters of Credit hereunder, (ii) Silicon Valley Bank solely with respect to the Existing Letters of Credit and (iii) any other Lender from time to time designated by the Borrower as an Issuing Bank, with the consent of such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20"/>
          <w:szCs w:val="20"/>
          <w:color w:val="auto"/>
        </w:rPr>
        <w:t>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21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 Sublimit</w:t>
      </w:r>
      <w:r>
        <w:rPr>
          <w:rFonts w:ascii="Times New Roman" w:cs="Times New Roman" w:eastAsia="Times New Roman" w:hAnsi="Times New Roman"/>
          <w:sz w:val="20"/>
          <w:szCs w:val="20"/>
          <w:color w:val="auto"/>
        </w:rPr>
        <w:t xml:space="preserve">” means, as of the Effective Date, (i) $15,000,000, in the case of Chase and (ii) in the case of any other Issuing Bank, such amount as shall be designated to the Administrative Agent and the Borrower in writing by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Issuing Bank shall be permitted at any time to increase or reduce its Issuing Bank Sublimit upon providing five (5) days’ prior written notice thereof to the Administrative Agent and the Borrower.</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any payment made by an Issuing Bank pursuant to a Letter of Credit.</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undrawn amount of all outstanding Letters of Credit at such time </w:t>
      </w:r>
      <w:r>
        <w:rPr>
          <w:rFonts w:ascii="Times New Roman" w:cs="Times New Roman" w:eastAsia="Times New Roman" w:hAnsi="Times New Roman"/>
          <w:sz w:val="18"/>
          <w:szCs w:val="18"/>
          <w:i w:val="1"/>
          <w:iCs w:val="1"/>
          <w:u w:val="single" w:color="auto"/>
          <w:color w:val="auto"/>
        </w:rPr>
        <w:t>plus</w:t>
      </w:r>
    </w:p>
    <w:p>
      <w:pPr>
        <w:spacing w:after="0" w:line="49" w:lineRule="exact"/>
        <w:rPr>
          <w:sz w:val="20"/>
          <w:szCs w:val="20"/>
          <w:color w:val="auto"/>
        </w:rPr>
      </w:pPr>
    </w:p>
    <w:p>
      <w:pPr>
        <w:ind w:firstLine="7"/>
        <w:spacing w:after="0" w:line="247" w:lineRule="auto"/>
        <w:tabs>
          <w:tab w:leader="none" w:pos="29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LC Disbursements that have not yet been reimbursed by or on behalf of the Borrower at such time. The LC Exposure of any Lender at any time shall be its Applicable Percentage of the aggregate LC Exposure at such time.</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means, as of any date of determination, a Person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(or, if the Revolving Commitments have terminated or expired, a Person holding Revolving Exposure),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such term in Section 9.03(b).</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(a) the letters of credit issued pursuant to this Agreement or (b) the Existing Letters of Credit, and the term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them or each of them singularly, as the context may require.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it in Section 2.06(b).</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5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98" w:right="339" w:bottom="1440" w:gutter="0" w:footer="0" w:header="0"/>
        </w:sectPr>
      </w:pPr>
    </w:p>
    <w:bookmarkStart w:id="64" w:name="page65"/>
    <w:bookmarkEnd w:id="64"/>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an amount equal to the sum of (x) Unrestricted Cash on such date and (y) the aggregate amount of Unfunded Revolving Commitments on such date.</w:t>
      </w:r>
    </w:p>
    <w:p>
      <w:pPr>
        <w:spacing w:after="0" w:line="180"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xml:space="preserve">” means any Acquisition or other Investment that the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consummation of any such Acquisition or Investment shall not have occurred within one hundred and twenty (120) days following the signing of the applicable contractual commitment, such Acquisition or Investment shall no longer constitute a Limited Condition Acquisition for any purpose.</w:t>
      </w:r>
    </w:p>
    <w:p>
      <w:pPr>
        <w:spacing w:after="0" w:line="19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each promissory note issued pursuant to this Agreement, each Letter of Credit Agreement, each Collateral Document, each Compliance Certificate, the Loan Guaranty and each other agreement, fee letter,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means Article X of this Agreement.</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the Subsidiary Guarantors and their successors and assigns, and the term “Loan Party” shall mean any one of them or all of them individually, as the context may require.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to the Borrower pursuant to this Agreement, including Swingline Loans.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within the meaning of Regulations T, U and X, as applicable.</w:t>
      </w:r>
    </w:p>
    <w:p>
      <w:pPr>
        <w:spacing w:after="0" w:line="25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prospects or condition, financial or otherwise, of the Borrower and its Subsidiaries taken as a whole, (b) the ability of the Loan Parties, taken as a whole, to perform their obligations under this Agreement or any of the other Loan Documents, or (c) the rights remedies available to the Administrative Agent, the Issuing Bank or the Lenders under any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98" w:right="339" w:bottom="1440" w:gutter="0" w:footer="0" w:header="0"/>
        </w:sectPr>
      </w:pPr>
    </w:p>
    <w:bookmarkStart w:id="65" w:name="page66"/>
    <w:bookmarkEnd w:id="65"/>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Swap Agreements, of any one or more of the Borrower and its Subsidiaries in an aggregate principal amount exceeding $5,000,000.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21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real property located in the United States that is owned in fee simple by a Loan Party and has a fair market value (determined in good faith by the Borrower) in excess of $2,500,000.</w:t>
      </w:r>
    </w:p>
    <w:p>
      <w:pPr>
        <w:spacing w:after="0" w:line="18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IP</w:t>
      </w:r>
      <w:r>
        <w:rPr>
          <w:rFonts w:ascii="Times New Roman" w:cs="Times New Roman" w:eastAsia="Times New Roman" w:hAnsi="Times New Roman"/>
          <w:sz w:val="20"/>
          <w:szCs w:val="20"/>
          <w:color w:val="auto"/>
        </w:rPr>
        <w:t>” means any means any Intellectual Property (as defined in the Security Agreement) owned by any Loan Party or its Subsidiaries that is material to (a) the commercialization of the products and services of the businesses, or (b) the revenue generation of such Loan Party or any of its Subsidiaries.</w:t>
      </w:r>
    </w:p>
    <w:p>
      <w:pPr>
        <w:spacing w:after="0" w:line="211"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two and one half percent (2.5%) of Consolidated EBITDA for such period, (ii) which contributed greater than two and one half percent (2.5%) of Consolidated Total Assets as of such date or (iii) which owns Material 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Consolidated EBITDA or Consolidated Total Assets attributable to all Subsidiaries that are not Material Subsidiaries exceeds five percent (5.0%) of Consolidated EBITDA for any such period or five percent (5.0%) of Consolidated Total Assets as of the end of any such fiscal quarter, the Borrower shall designate sufficient Subsidiaries as “Material Subsidiaries” to eliminate such excess, and such designated Subsidiaries shall for all purposes of this Agreement constitute Material Subsidiaries.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9.17.</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3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any mortgage, deed of trust or other agreement which conveys or evidences a Lien in favor of the Administrative Agent, for the benefit of the Administrative Agent and the other Secured Parties, on Material Real Property of a Loan Party, including any amendment, restatement, modification or supplement thereto.</w:t>
      </w:r>
    </w:p>
    <w:p>
      <w:pPr>
        <w:spacing w:after="0" w:line="19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Instruments</w:t>
      </w:r>
      <w:r>
        <w:rPr>
          <w:rFonts w:ascii="Times New Roman" w:cs="Times New Roman" w:eastAsia="Times New Roman" w:hAnsi="Times New Roman"/>
          <w:sz w:val="20"/>
          <w:szCs w:val="20"/>
          <w:color w:val="auto"/>
        </w:rPr>
        <w:t>” means such title reports, ALTA title insurance policies (with endorsements), evidence of zoning compliance, property insurance, flood certifications and flood insurance (and, if applicable FEMA form acknowledgements of insurance), opinions of counsel, ALTA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98" w:right="339" w:bottom="1440" w:gutter="0" w:footer="0" w:header="0"/>
        </w:sectPr>
      </w:pPr>
    </w:p>
    <w:bookmarkStart w:id="66" w:name="page67"/>
    <w:bookmarkEnd w:id="66"/>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has the meaning assigned to such term in Section 10.02.</w:t>
      </w:r>
    </w:p>
    <w:p>
      <w:pPr>
        <w:spacing w:after="0" w:line="23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5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or (b)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has the meaning assigned to such term in Section 6.01(f).</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21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75" w:lineRule="auto"/>
        <w:rPr>
          <w:sz w:val="20"/>
          <w:szCs w:val="20"/>
          <w:color w:val="auto"/>
        </w:rPr>
      </w:pPr>
      <w:r>
        <w:rPr>
          <w:rFonts w:ascii="Times New Roman" w:cs="Times New Roman" w:eastAsia="Times New Roman" w:hAnsi="Times New Roman"/>
          <w:sz w:val="20"/>
          <w:szCs w:val="20"/>
          <w:color w:val="auto"/>
        </w:rPr>
        <w:t>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21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103% of the LC Exposure as of the date of such payment),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Revolving Commitments, and (vi) the termination of the Swap Agreement Obligations and the Banking Services Obligations or entering into other arrangements satisfactory to the Secured Parties counterparties thereto.</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it in Section 8.06(c).</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it in Section 8.06(c).</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any Loan Party in a transaction that satisfies each of the following requirements:</w:t>
      </w:r>
    </w:p>
    <w:p>
      <w:pPr>
        <w:spacing w:after="0" w:line="250" w:lineRule="exact"/>
        <w:rPr>
          <w:sz w:val="20"/>
          <w:szCs w:val="20"/>
          <w:color w:val="auto"/>
        </w:rPr>
      </w:pPr>
    </w:p>
    <w:p>
      <w:pPr>
        <w:ind w:firstLine="1288"/>
        <w:spacing w:after="0" w:line="262" w:lineRule="auto"/>
        <w:tabs>
          <w:tab w:leader="none" w:pos="157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acquired in connection with such Acquisition is a Similar Business and if acquired using the proceeds of Loans hereunder, is not a Hostile Acquisition;</w:t>
      </w:r>
    </w:p>
    <w:p>
      <w:pPr>
        <w:spacing w:after="0" w:line="205" w:lineRule="exact"/>
        <w:rPr>
          <w:rFonts w:ascii="Times New Roman" w:cs="Times New Roman" w:eastAsia="Times New Roman" w:hAnsi="Times New Roman"/>
          <w:sz w:val="20"/>
          <w:szCs w:val="20"/>
          <w:color w:val="auto"/>
        </w:rPr>
      </w:pPr>
    </w:p>
    <w:p>
      <w:pPr>
        <w:jc w:val="both"/>
        <w:ind w:firstLine="1288"/>
        <w:spacing w:after="0" w:line="250" w:lineRule="auto"/>
        <w:tabs>
          <w:tab w:leader="none" w:pos="155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immediately after giving effect (including giving effect on a pro forma basis) to such Acquisition and any Indebtedness incurred or assumed in connection therewith, (i) each of the representations and warranties in the Loan Documents is true and correct in all material respects (or, of such representation or warranty is qualified by materiality, in all respects) (except any such representation or warranty which relates to a specified prior date, which representation and warranty shall be true and correct in all material respects (or, of such representation or warranty is qualified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9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materiality, in all respects) as of such prior date) and (ii) no Event of Default then exists or would result therefrom;</w:t>
      </w:r>
    </w:p>
    <w:p>
      <w:pPr>
        <w:spacing w:after="0" w:line="250" w:lineRule="exact"/>
        <w:rPr>
          <w:sz w:val="20"/>
          <w:szCs w:val="20"/>
          <w:color w:val="auto"/>
        </w:rPr>
      </w:pPr>
    </w:p>
    <w:p>
      <w:pPr>
        <w:jc w:val="both"/>
        <w:ind w:firstLine="1288"/>
        <w:spacing w:after="0" w:line="249" w:lineRule="auto"/>
        <w:tabs>
          <w:tab w:leader="none" w:pos="16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not less than ten (10) days prior to such Acquisition, the Borrower has provided the Administrative Agent (i) notice of such Acquisition and (ii) to the extent prepared and available in connection with such Acquisition, a copy of all business and financial information reasonably requested by the Administrative Agent including pro forma financial statements and statements of cash flow;</w:t>
      </w:r>
    </w:p>
    <w:p>
      <w:pPr>
        <w:spacing w:after="0" w:line="219" w:lineRule="exact"/>
        <w:rPr>
          <w:rFonts w:ascii="Times New Roman" w:cs="Times New Roman" w:eastAsia="Times New Roman" w:hAnsi="Times New Roman"/>
          <w:sz w:val="20"/>
          <w:szCs w:val="20"/>
          <w:color w:val="auto"/>
        </w:rPr>
      </w:pPr>
    </w:p>
    <w:p>
      <w:pPr>
        <w:jc w:val="both"/>
        <w:ind w:firstLine="1288"/>
        <w:spacing w:after="0" w:line="250" w:lineRule="auto"/>
        <w:tabs>
          <w:tab w:leader="none" w:pos="157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Acquisition, the Borrower shall be in compliance with the financial covenant set forth in Section 6.12 (giving effect to any Acquisition Holiday that the Borrower is permitted to elect and does so elect to apply the next succeeding fiscal quarter with respect to such Acquisition), recomputed as of the last day of the most recently completed fiscal quarter of the Borrower for which Financial Statements have been delivered under Section 5.01(a) or (b) (or, prior to the delivery of any such Financial Statements, ending with the last fiscal quarter included in the financial statements referred to in Section 3.04(a)), as if such Acquisition (and any related incurrence or assumption of Indebtedness) had occurred on the first day of such fiscal quarter;</w:t>
      </w:r>
    </w:p>
    <w:p>
      <w:pPr>
        <w:spacing w:after="0" w:line="217" w:lineRule="exact"/>
        <w:rPr>
          <w:rFonts w:ascii="Times New Roman" w:cs="Times New Roman" w:eastAsia="Times New Roman" w:hAnsi="Times New Roman"/>
          <w:sz w:val="20"/>
          <w:szCs w:val="20"/>
          <w:color w:val="auto"/>
        </w:rPr>
      </w:pPr>
    </w:p>
    <w:p>
      <w:pPr>
        <w:jc w:val="both"/>
        <w:ind w:firstLine="1288"/>
        <w:spacing w:after="0" w:line="246" w:lineRule="auto"/>
        <w:tabs>
          <w:tab w:leader="none" w:pos="157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consideration paid or payable (including without limitation, all transaction costs, any management fees, assumed Indebtedness and liabilities incurred, assumed or reflected on a consolidated balance sheet of the Borrower and its Subsidiaries after giving effect to such Acquisition and the maximum amount (to the extent such maximum amount is stated, and if not stated, then the reasonably anticipated amount) of all earn-out obligations and other deferred payments), in respect of all Permitted Acquisitions of Excluded Subsidiaries that do not become Loan Parties and Excluded Property shall not exceed, during the term of this Agreement, the greater of $10,500,000 and 35%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26" w:lineRule="exact"/>
        <w:rPr>
          <w:rFonts w:ascii="Times New Roman" w:cs="Times New Roman" w:eastAsia="Times New Roman" w:hAnsi="Times New Roman"/>
          <w:sz w:val="20"/>
          <w:szCs w:val="20"/>
          <w:color w:val="auto"/>
        </w:rPr>
      </w:pPr>
    </w:p>
    <w:p>
      <w:pPr>
        <w:ind w:left="1540" w:hanging="252"/>
        <w:spacing w:after="0"/>
        <w:tabs>
          <w:tab w:leader="none" w:pos="15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immediately after giving effect to such Acquisition, Liquidity shall not be less than $10,000,000;</w:t>
      </w:r>
    </w:p>
    <w:p>
      <w:pPr>
        <w:spacing w:after="0" w:line="237" w:lineRule="exact"/>
        <w:rPr>
          <w:rFonts w:ascii="Times New Roman" w:cs="Times New Roman" w:eastAsia="Times New Roman" w:hAnsi="Times New Roman"/>
          <w:sz w:val="20"/>
          <w:szCs w:val="20"/>
          <w:color w:val="auto"/>
        </w:rPr>
      </w:pPr>
    </w:p>
    <w:p>
      <w:pPr>
        <w:ind w:firstLine="1288"/>
        <w:spacing w:after="0" w:line="275" w:lineRule="auto"/>
        <w:tabs>
          <w:tab w:leader="none" w:pos="157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actions required to be taken with respect to any newly acquired or formed Subsidiary of a Loan Party required under Section 5.13 shall have been taken; and</w:t>
      </w:r>
    </w:p>
    <w:p>
      <w:pPr>
        <w:spacing w:after="0" w:line="193" w:lineRule="exact"/>
        <w:rPr>
          <w:rFonts w:ascii="Times New Roman" w:cs="Times New Roman" w:eastAsia="Times New Roman" w:hAnsi="Times New Roman"/>
          <w:sz w:val="20"/>
          <w:szCs w:val="20"/>
          <w:color w:val="auto"/>
        </w:rPr>
      </w:pPr>
    </w:p>
    <w:p>
      <w:pPr>
        <w:ind w:firstLine="1288"/>
        <w:spacing w:after="0" w:line="262" w:lineRule="auto"/>
        <w:tabs>
          <w:tab w:leader="none" w:pos="161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the final executed documentation relating to such Acquisition promptly following the consummation thereof.</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37" w:lineRule="exact"/>
        <w:rPr>
          <w:sz w:val="20"/>
          <w:szCs w:val="20"/>
          <w:color w:val="auto"/>
        </w:rPr>
      </w:pPr>
    </w:p>
    <w:p>
      <w:pPr>
        <w:ind w:firstLine="1288"/>
        <w:spacing w:after="0" w:line="275" w:lineRule="auto"/>
        <w:tabs>
          <w:tab w:leader="none" w:pos="154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yet due, which are not more than thirty (30) days past due or remain payable without penalty or are being contested in compliance with Section 5.04;</w:t>
      </w:r>
    </w:p>
    <w:p>
      <w:pPr>
        <w:spacing w:after="0" w:line="193" w:lineRule="exact"/>
        <w:rPr>
          <w:rFonts w:ascii="Times New Roman" w:cs="Times New Roman" w:eastAsia="Times New Roman" w:hAnsi="Times New Roman"/>
          <w:sz w:val="20"/>
          <w:szCs w:val="20"/>
          <w:color w:val="auto"/>
        </w:rPr>
      </w:pPr>
    </w:p>
    <w:p>
      <w:pPr>
        <w:ind w:firstLine="1288"/>
        <w:spacing w:after="0" w:line="262" w:lineRule="auto"/>
        <w:tabs>
          <w:tab w:leader="none" w:pos="15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9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overdue by more than ninety (90) days or remain payable without penalty or are being contested in compliance with Section 5.04;</w:t>
      </w:r>
    </w:p>
    <w:p>
      <w:pPr>
        <w:spacing w:after="0" w:line="250" w:lineRule="exact"/>
        <w:rPr>
          <w:sz w:val="20"/>
          <w:szCs w:val="20"/>
          <w:color w:val="auto"/>
        </w:rPr>
      </w:pPr>
    </w:p>
    <w:p>
      <w:pPr>
        <w:ind w:firstLine="1288"/>
        <w:spacing w:after="0" w:line="262" w:lineRule="auto"/>
        <w:tabs>
          <w:tab w:leader="none" w:pos="15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205" w:lineRule="exact"/>
        <w:rPr>
          <w:rFonts w:ascii="Times New Roman" w:cs="Times New Roman" w:eastAsia="Times New Roman" w:hAnsi="Times New Roman"/>
          <w:sz w:val="20"/>
          <w:szCs w:val="20"/>
          <w:color w:val="auto"/>
        </w:rPr>
      </w:pPr>
    </w:p>
    <w:p>
      <w:pPr>
        <w:ind w:firstLine="1288"/>
        <w:spacing w:after="0" w:line="262" w:lineRule="auto"/>
        <w:tabs>
          <w:tab w:leader="none" w:pos="157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to secure the performance of bids, trade contracts, leases, statutory obligations, surety and appeal bonds, performance bonds and other obligations of a like nature, in each case in the ordinary course of business;</w:t>
      </w:r>
    </w:p>
    <w:p>
      <w:pPr>
        <w:spacing w:after="0" w:line="205" w:lineRule="exact"/>
        <w:rPr>
          <w:rFonts w:ascii="Times New Roman" w:cs="Times New Roman" w:eastAsia="Times New Roman" w:hAnsi="Times New Roman"/>
          <w:sz w:val="20"/>
          <w:szCs w:val="20"/>
          <w:color w:val="auto"/>
        </w:rPr>
      </w:pPr>
    </w:p>
    <w:p>
      <w:pPr>
        <w:ind w:left="1560" w:hanging="272"/>
        <w:spacing w:after="0"/>
        <w:tabs>
          <w:tab w:leader="none" w:pos="15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 and</w:t>
      </w:r>
    </w:p>
    <w:p>
      <w:pPr>
        <w:spacing w:after="0" w:line="250" w:lineRule="exact"/>
        <w:rPr>
          <w:rFonts w:ascii="Times New Roman" w:cs="Times New Roman" w:eastAsia="Times New Roman" w:hAnsi="Times New Roman"/>
          <w:sz w:val="20"/>
          <w:szCs w:val="20"/>
          <w:color w:val="auto"/>
        </w:rPr>
      </w:pPr>
    </w:p>
    <w:p>
      <w:pPr>
        <w:jc w:val="both"/>
        <w:ind w:firstLine="1288"/>
        <w:spacing w:after="0" w:line="256" w:lineRule="auto"/>
        <w:tabs>
          <w:tab w:leader="none" w:pos="153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except with respect to clause (e)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37" w:lineRule="exact"/>
        <w:rPr>
          <w:sz w:val="20"/>
          <w:szCs w:val="20"/>
          <w:color w:val="auto"/>
        </w:rPr>
      </w:pPr>
    </w:p>
    <w:p>
      <w:pPr>
        <w:jc w:val="both"/>
        <w:ind w:firstLine="1288"/>
        <w:spacing w:after="0" w:line="256" w:lineRule="auto"/>
        <w:tabs>
          <w:tab w:leader="none" w:pos="154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211" w:lineRule="exact"/>
        <w:rPr>
          <w:rFonts w:ascii="Times New Roman" w:cs="Times New Roman" w:eastAsia="Times New Roman" w:hAnsi="Times New Roman"/>
          <w:sz w:val="20"/>
          <w:szCs w:val="20"/>
          <w:color w:val="auto"/>
        </w:rPr>
      </w:pPr>
    </w:p>
    <w:p>
      <w:pPr>
        <w:ind w:firstLine="1288"/>
        <w:spacing w:after="0" w:line="275" w:lineRule="auto"/>
        <w:tabs>
          <w:tab w:leader="none" w:pos="155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365 days from the date of acquisition thereof and having, at such date of acquisition, the highest credit rating obtainable from S&amp;P or from Moody’s;</w:t>
      </w:r>
    </w:p>
    <w:p>
      <w:pPr>
        <w:spacing w:after="0" w:line="180" w:lineRule="exact"/>
        <w:rPr>
          <w:rFonts w:ascii="Times New Roman" w:cs="Times New Roman" w:eastAsia="Times New Roman" w:hAnsi="Times New Roman"/>
          <w:sz w:val="20"/>
          <w:szCs w:val="20"/>
          <w:color w:val="auto"/>
        </w:rPr>
      </w:pPr>
    </w:p>
    <w:p>
      <w:pPr>
        <w:jc w:val="both"/>
        <w:ind w:firstLine="1288"/>
        <w:spacing w:after="0" w:line="254" w:lineRule="auto"/>
        <w:tabs>
          <w:tab w:leader="none" w:pos="15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200" w:lineRule="exact"/>
        <w:rPr>
          <w:rFonts w:ascii="Times New Roman" w:cs="Times New Roman" w:eastAsia="Times New Roman" w:hAnsi="Times New Roman"/>
          <w:sz w:val="20"/>
          <w:szCs w:val="20"/>
          <w:color w:val="auto"/>
        </w:rPr>
      </w:pPr>
    </w:p>
    <w:p>
      <w:pPr>
        <w:ind w:firstLine="1288"/>
        <w:spacing w:after="0" w:line="275" w:lineRule="auto"/>
        <w:tabs>
          <w:tab w:leader="none" w:pos="155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93" w:lineRule="exact"/>
        <w:rPr>
          <w:rFonts w:ascii="Times New Roman" w:cs="Times New Roman" w:eastAsia="Times New Roman" w:hAnsi="Times New Roman"/>
          <w:sz w:val="20"/>
          <w:szCs w:val="20"/>
          <w:color w:val="auto"/>
        </w:rPr>
      </w:pPr>
    </w:p>
    <w:p>
      <w:pPr>
        <w:ind w:firstLine="1288"/>
        <w:spacing w:after="0" w:line="317" w:lineRule="auto"/>
        <w:tabs>
          <w:tab w:leader="none" w:pos="15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w:t>
      </w:r>
    </w:p>
    <w:p>
      <w:pPr>
        <w:spacing w:after="0" w:line="160"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98" w:right="339" w:bottom="1440" w:gutter="0" w:footer="0" w:header="0"/>
        </w:sectPr>
      </w:pPr>
    </w:p>
    <w:bookmarkStart w:id="70" w:name="page71"/>
    <w:bookmarkEnd w:id="70"/>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6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21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has the meaning assigned to such term in Section 5.01(e).</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it in Section 9.21.</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1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w:t>
      </w:r>
    </w:p>
    <w:p>
      <w:pPr>
        <w:spacing w:after="0" w:line="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5:00 a.m. (Chicago time) on the day that is two Business Days preceding the date of such setting, (2) if the RFR for such Benchmark is Daily Simple SOFR, then four Business Days prior to such setting or (3) if such Benchmark is none of the Term SOFR Rate or Daily Simple SOFR, the time determined by the Administrative Agent in its reasonable discretion.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has the meaning assigned to such term in Section 6.01(f).</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98" w:right="339" w:bottom="1440" w:gutter="0" w:footer="0" w:header="0"/>
        </w:sectPr>
      </w:pPr>
    </w:p>
    <w:bookmarkStart w:id="71" w:name="page72"/>
    <w:bookmarkEnd w:id="71"/>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80"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Federal Reserve Board, as in effect from time to time and all official rulings and interpretations thereunder or thereof.</w:t>
      </w:r>
    </w:p>
    <w:p>
      <w:pPr>
        <w:spacing w:after="0" w:line="180"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9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has the meaning assigned to such term in Section 3.24(a).</w:t>
      </w:r>
    </w:p>
    <w:p>
      <w:pPr>
        <w:spacing w:after="0" w:line="237" w:lineRule="exact"/>
        <w:rPr>
          <w:sz w:val="20"/>
          <w:szCs w:val="20"/>
          <w:color w:val="auto"/>
        </w:rPr>
      </w:pPr>
    </w:p>
    <w:p>
      <w:pPr>
        <w:jc w:val="both"/>
        <w:ind w:firstLine="640"/>
        <w:spacing w:after="0" w:line="3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4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20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21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the Adjusted Term SOFR Rate, and (ii) with respect to any RFR Borrowing, Adjusted Daily Simple SOFR, as applicable.</w:t>
      </w:r>
    </w:p>
    <w:p>
      <w:pPr>
        <w:spacing w:after="0" w:line="205"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subject to Section 2.20: (a) at any time prior to the earlier of the Loans becoming due and payable pursuant to Article VII or the Revolving Commitments terminating or expiring, Lenders having Revolving Exposures and Unfunded Revolving Commitments representing more than 50% of the sum of the Aggregate Revolving Exposure and aggregate Unfunded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declaring the Loans to be due and payable pursuant to Article VII, the Unfunded Revolving Commitment of each Lender shall be deemed to be zero in determining the Required Lenders; and (b) for all purposes after the Loans become due and payable pursuant to Article VII or the Revolving Commitments expire or terminate, Lenders having Revolving Exposures representing more than 50% of the sum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be determined on the basis of its Revolving Exposure excluding such excess amount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“Required Lenders” shall at all times include at least two unaffiliated Lenders.</w:t>
      </w:r>
    </w:p>
    <w:p>
      <w:pPr>
        <w:spacing w:after="0" w:line="22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98"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20"/>
          <w:szCs w:val="20"/>
          <w:color w:val="auto"/>
        </w:rPr>
        <w:t>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21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president, Financial Officer or other executive officer of the Borrower.</w:t>
      </w:r>
    </w:p>
    <w:p>
      <w:pPr>
        <w:spacing w:after="0" w:line="250"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as the case may be, (i)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 or (ii) the payment of any management, advisory, transaction services, monitoring, bonus or similar fees, howsoever designated, or the payment of any costs, expenses and indemnities under any management, advisory, monitoring or similar agreement.</w:t>
      </w:r>
    </w:p>
    <w:p>
      <w:pPr>
        <w:spacing w:after="0" w:line="17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each Lender, the amount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opposite such Lender’s name as a “Revolving Commitment”, or in the Assignment and Assumption or other documentation or record (as such term is defined in Section 9-102(a)(70) of the New York UCC) as provided in Section 9.04(b)(ii)(C), pursuant to which such Lender shall have assumed its Revolving Commitment pursuant to the terms hereof, as applicable, as such Revolving Commitment may be reduced or increased from time to time pursuant to (a) Section 2.09 and (b) assignments by or to such Lender pursuant to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no time shall the Revolving Exposure of any Lender exceed its Revolving Commitment. The initial aggregate amount of the Lenders’ Revolving Commitments is $150,000,000.</w:t>
      </w:r>
    </w:p>
    <w:p>
      <w:pPr>
        <w:spacing w:after="0" w:line="20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means July 29, 2027 (if the same is a Business Day, or if not then the immediately next succeeding Business Day), or any earlier date on which the Revolving Commitments are reduced to zero or otherwise terminated pursuant to the terms hereof.</w:t>
      </w:r>
    </w:p>
    <w:p>
      <w:pPr>
        <w:spacing w:after="0" w:line="211"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aggregate outstanding principal amount of such Lender’s Revolving Loans and its LC Exposure and its Swingline Exposure at such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w:t>
      </w:r>
    </w:p>
    <w:p>
      <w:pPr>
        <w:spacing w:after="0" w:line="25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Daily Simple SOFR (excluding, for the avoidance of doubt, any ABR Loan or Borrowing).</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has the meaning assigned to such term in Section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98" w:right="339" w:bottom="1440" w:gutter="0" w:footer="0" w:header="0"/>
        </w:sectPr>
      </w:pPr>
    </w:p>
    <w:bookmarkStart w:id="73" w:name="page74"/>
    <w:bookmarkEnd w:id="73"/>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the so-called Donetsk People’s Republic, the so- called Luhansk People’s Republic, the Crimea Region of Ukraine, Cuba, Iran, North Korea and Syria).</w:t>
      </w:r>
    </w:p>
    <w:p>
      <w:pPr>
        <w:spacing w:after="0" w:line="211"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w:t>
      </w:r>
    </w:p>
    <w:p>
      <w:pPr>
        <w:spacing w:after="0" w:line="2" w:lineRule="exact"/>
        <w:rPr>
          <w:sz w:val="20"/>
          <w:szCs w:val="20"/>
          <w:color w:val="auto"/>
        </w:rPr>
      </w:pPr>
    </w:p>
    <w:p>
      <w:pPr>
        <w:ind w:firstLine="7"/>
        <w:spacing w:after="0" w:line="247" w:lineRule="auto"/>
        <w:tabs>
          <w:tab w:leader="none" w:pos="26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owned or controlled by any such Person or Persons described in the foregoing clauses (a) or (b), or (d) any Person otherwise the subject of any Sanctions.</w:t>
      </w:r>
    </w:p>
    <w:p>
      <w:pPr>
        <w:spacing w:after="0" w:line="220"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Her Majesty’s Treasury of the United Kingdom or other relevant sanctions authority.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U.S.</w:t>
      </w:r>
    </w:p>
    <w:p>
      <w:pPr>
        <w:spacing w:after="0" w:line="23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Banking Services Obligations and Swap Agreement Obligations owing to one or more Lenders or their respective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21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Pledge and Security Agreement (including any and all supplements thereto), dated as of the date hereof, among the Loan Parties and the Administrative Agent, for the benefit of the Administrative Agent and the other Secured Parties, as the same may be amended, restated, supplemented or otherwise modified from time to time.</w:t>
      </w:r>
    </w:p>
    <w:p>
      <w:pPr>
        <w:spacing w:after="0" w:line="21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shall mean any business conducted or proposed to be conducted by the Loan Parties or any business that is similar, reasonably related, synergistic, incidental, complementary or ancillary thereto or reasonable extensions, developments or expansions of such businesses or lines of business.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98" w:right="339" w:bottom="1440" w:gutter="0" w:footer="0" w:header="0"/>
        </w:sectPr>
      </w:pPr>
    </w:p>
    <w:bookmarkStart w:id="74" w:name="page75"/>
    <w:bookmarkEnd w:id="74"/>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assigned to it under the definition of Daily Simple SOFR.</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Ancillary Obligations</w:t>
      </w:r>
      <w:r>
        <w:rPr>
          <w:rFonts w:ascii="Times New Roman" w:cs="Times New Roman" w:eastAsia="Times New Roman" w:hAnsi="Times New Roman"/>
          <w:sz w:val="20"/>
          <w:szCs w:val="20"/>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in respect of any Swap Agreement Obligations or any Banking Services Obligations.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has the meaning assigned to such term in Section 2.18(f).</w:t>
      </w:r>
    </w:p>
    <w:p>
      <w:pPr>
        <w:spacing w:after="0" w:line="23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the payment of which is subordinated to payment of the Secured Obligations in a manner reasonably satisfactory to the Administrative Agent.</w:t>
      </w:r>
    </w:p>
    <w:p>
      <w:pPr>
        <w:spacing w:after="0" w:line="193"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Borrower or of any other Loan Party, as applicable.</w:t>
      </w:r>
    </w:p>
    <w:p>
      <w:pPr>
        <w:spacing w:after="0" w:line="23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xml:space="preserve">” means the Borrower’s Material Subsidiaries party hereto as Subsidiary Guarantors as of the Effective Date and any other Material Subsidiary that becomes a party to this Agreement pursuant to a Joinder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Excluded Subsidiary constitute a Subsidiary Guarantor.</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it in Section 9.21.</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98" w:right="339" w:bottom="1440" w:gutter="0" w:footer="0" w:header="0"/>
        </w:sectPr>
      </w:pPr>
    </w:p>
    <w:bookmarkStart w:id="75" w:name="page76"/>
    <w:bookmarkEnd w:id="75"/>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 Obligations</w:t>
      </w:r>
      <w:r>
        <w:rPr>
          <w:rFonts w:ascii="Times New Roman" w:cs="Times New Roman" w:eastAsia="Times New Roman" w:hAnsi="Times New Roman"/>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spacing w:after="0" w:line="21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211"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22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Chase (or any of its designated branch offices or affiliates), in its capacity as lender of Swingline Loans hereunder. Any consent required of the Administrative Agent or the Issuing Bank shall be deemed to be required of the Swingline Lender and any consent given by Chase in its capacity as Administrative Agent or Issuing Bank shall be deemed given by Chase in its capacity as Swingline Lender as well.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23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91"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Adjusted Term SOFR Rate.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50" w:lineRule="exact"/>
        <w:rPr>
          <w:sz w:val="20"/>
          <w:szCs w:val="20"/>
          <w:color w:val="auto"/>
        </w:rPr>
      </w:pPr>
    </w:p>
    <w:p>
      <w:pPr>
        <w:jc w:val="both"/>
        <w:ind w:firstLine="640"/>
        <w:spacing w:after="0" w:line="29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98" w:right="339" w:bottom="1440" w:gutter="0" w:footer="0" w:header="0"/>
        </w:sectPr>
      </w:pPr>
    </w:p>
    <w:bookmarkStart w:id="76" w:name="page77"/>
    <w:bookmarkEnd w:id="76"/>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on any date, the ratio of (a) the positive amount by which (i) Consolidated Total Funded Indebtedness on such date </w:t>
      </w:r>
      <w:r>
        <w:rPr>
          <w:rFonts w:ascii="Times New Roman" w:cs="Times New Roman" w:eastAsia="Times New Roman" w:hAnsi="Times New Roman"/>
          <w:sz w:val="20"/>
          <w:szCs w:val="20"/>
          <w:i w:val="1"/>
          <w:iCs w:val="1"/>
          <w:color w:val="auto"/>
        </w:rPr>
        <w:t>exceeds</w:t>
      </w:r>
      <w:r>
        <w:rPr>
          <w:rFonts w:ascii="Times New Roman" w:cs="Times New Roman" w:eastAsia="Times New Roman" w:hAnsi="Times New Roman"/>
          <w:sz w:val="20"/>
          <w:szCs w:val="20"/>
          <w:color w:val="auto"/>
        </w:rPr>
        <w:t xml:space="preserve"> (ii) Unrestricted Cash on such date in an aggregate amount not to exceed $30,000,000; provided that until the 90th day following the Effective Date, clause (b) of the definition of Unrestricted Cash shall not apply) to (b) Consolidated EBITDA for the period of four consecutive fiscal quarters ended on or most recently prior to such date.</w:t>
      </w:r>
    </w:p>
    <w:p>
      <w:pPr>
        <w:spacing w:after="0" w:line="201" w:lineRule="exact"/>
        <w:rPr>
          <w:sz w:val="20"/>
          <w:szCs w:val="20"/>
          <w:color w:val="auto"/>
        </w:rPr>
      </w:pPr>
    </w:p>
    <w:p>
      <w:pPr>
        <w:jc w:val="both"/>
        <w:ind w:firstLine="640"/>
        <w:spacing w:after="0" w:line="3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3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Daily Simple SOFR or the Alternate Base Rate.</w:t>
      </w:r>
    </w:p>
    <w:p>
      <w:pPr>
        <w:spacing w:after="0" w:line="191"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5"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205"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Revolving Commitment</w:t>
      </w:r>
      <w:r>
        <w:rPr>
          <w:rFonts w:ascii="Times New Roman" w:cs="Times New Roman" w:eastAsia="Times New Roman" w:hAnsi="Times New Roman"/>
          <w:sz w:val="20"/>
          <w:szCs w:val="20"/>
          <w:color w:val="auto"/>
        </w:rPr>
        <w:t xml:space="preserve">” means, with respect to each Lender at any time, the Revolving Commitment of such Lender at such time,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its Revolving Exposure at such time.</w:t>
      </w:r>
    </w:p>
    <w:p>
      <w:pPr>
        <w:spacing w:after="0" w:line="18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97" w:right="339" w:bottom="1440" w:gutter="0" w:footer="0" w:header="0"/>
        </w:sectPr>
      </w:pPr>
    </w:p>
    <w:bookmarkStart w:id="77" w:name="page78"/>
    <w:bookmarkEnd w:id="77"/>
    <w:p>
      <w:pPr>
        <w:jc w:val="both"/>
        <w:spacing w:after="0" w:line="275" w:lineRule="auto"/>
        <w:rPr>
          <w:sz w:val="20"/>
          <w:szCs w:val="20"/>
          <w:color w:val="auto"/>
        </w:rPr>
      </w:pPr>
      <w:r>
        <w:rPr>
          <w:rFonts w:ascii="Times New Roman" w:cs="Times New Roman" w:eastAsia="Times New Roman" w:hAnsi="Times New Roman"/>
          <w:sz w:val="20"/>
          <w:szCs w:val="20"/>
          <w:color w:val="auto"/>
        </w:rPr>
        <w:t>other obligation (including any guarantee) that is contingent in nature at such time; or (iii) an obligation to provide collateral to secure any of the foregoing types of obligations.</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means, as of any date of determination, an amount equal to the aggregate amount of the Loan Parties’ unrestricted cash and Permitted Investments that is (a) on deposit with one or more financial institutions in the U.S., (b) maintained in an account that is subject to a deposit account control agreement in favor of the Administrative Agent and (c) not encumbered by or subject to any other Lien, setoff, counterclaim, recoupment, defense or other right in favor of any Person (other than (i) a Lien securing the Secured Obligations, and (ii) banker’s liens relating to the establishment of depository relations in the ordinary course and not given in connection with the issuance of indebtedness).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3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it in Section 9.21.</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250"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VSC</w:t>
      </w:r>
      <w:r>
        <w:rPr>
          <w:rFonts w:ascii="Times New Roman" w:cs="Times New Roman" w:eastAsia="Times New Roman" w:hAnsi="Times New Roman"/>
          <w:sz w:val="20"/>
          <w:szCs w:val="20"/>
          <w:color w:val="auto"/>
        </w:rPr>
        <w:t>” means Vericel Securities Corporation, a Massachusetts corporation.</w:t>
      </w:r>
    </w:p>
    <w:p>
      <w:pPr>
        <w:spacing w:after="0" w:line="25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20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0" w:lineRule="exact"/>
        <w:rPr>
          <w:sz w:val="20"/>
          <w:szCs w:val="20"/>
          <w:color w:val="auto"/>
        </w:rPr>
      </w:pPr>
    </w:p>
    <w:p>
      <w:pPr>
        <w:jc w:val="both"/>
        <w:ind w:left="80" w:firstLine="640"/>
        <w:spacing w:after="0" w:line="256"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xml:space="preserve"> For purposes of this Agreement, Loans may be classified and referred to by Class (e.g., a “Revolving Loan”) or by Type (e.g., a “Term Benchmark Loan”) or by Class and Type (e.g., a “Term Benchmark Revolving Loan”). Borrowings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98" w:right="339" w:bottom="1440" w:gutter="0" w:footer="0" w:header="0"/>
        </w:sectPr>
      </w:pPr>
    </w:p>
    <w:bookmarkStart w:id="78" w:name="page79"/>
    <w:bookmarkEnd w:id="78"/>
    <w:p>
      <w:pPr>
        <w:jc w:val="both"/>
        <w:spacing w:after="0" w:line="275" w:lineRule="auto"/>
        <w:rPr>
          <w:sz w:val="20"/>
          <w:szCs w:val="20"/>
          <w:color w:val="auto"/>
        </w:rPr>
      </w:pPr>
      <w:r>
        <w:rPr>
          <w:rFonts w:ascii="Times New Roman" w:cs="Times New Roman" w:eastAsia="Times New Roman" w:hAnsi="Times New Roman"/>
          <w:sz w:val="20"/>
          <w:szCs w:val="20"/>
          <w:color w:val="auto"/>
        </w:rPr>
        <w:t>may be classified and referred to by Class (e.g., a “Revolving Borrowing”) or by Type (e.g., a “Term Benchmark Borrowing”) or by Class and Type (e.g., a “Term Benchmark Revolving Borrowing”).</w:t>
      </w:r>
    </w:p>
    <w:p>
      <w:pPr>
        <w:spacing w:after="0" w:line="180"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w:t>
      </w:r>
      <w:r>
        <w:rPr>
          <w:rFonts w:ascii="Times New Roman" w:cs="Times New Roman" w:eastAsia="Times New Roman" w:hAnsi="Times New Roman"/>
          <w:sz w:val="20"/>
          <w:szCs w:val="20"/>
          <w:color w:val="auto"/>
        </w:rPr>
        <w:t>.</w:t>
      </w:r>
    </w:p>
    <w:p>
      <w:pPr>
        <w:spacing w:after="0" w:line="5" w:lineRule="exact"/>
        <w:rPr>
          <w:sz w:val="20"/>
          <w:szCs w:val="20"/>
          <w:color w:val="auto"/>
        </w:rPr>
      </w:pPr>
    </w:p>
    <w:p>
      <w:pPr>
        <w:jc w:val="both"/>
        <w:ind w:left="80" w:firstLine="647"/>
        <w:spacing w:after="0" w:line="245" w:lineRule="auto"/>
        <w:tabs>
          <w:tab w:leader="none" w:pos="10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under Financial Accounting Standards Board Accounting Standards Codification 470-20 or 2015-03 (or any other Accounting Standards Codification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60"/>
          </w:cols>
          <w:pgMar w:left="400" w:top="1398" w:right="339" w:bottom="1440" w:gutter="0" w:footer="0" w:header="0"/>
        </w:sectPr>
      </w:pPr>
    </w:p>
    <w:bookmarkStart w:id="79" w:name="page80"/>
    <w:bookmarkEnd w:id="79"/>
    <w:p>
      <w:pPr>
        <w:ind w:left="160"/>
        <w:spacing w:after="0" w:line="275" w:lineRule="auto"/>
        <w:rPr>
          <w:sz w:val="20"/>
          <w:szCs w:val="20"/>
          <w:color w:val="auto"/>
        </w:rPr>
      </w:pPr>
      <w:r>
        <w:rPr>
          <w:rFonts w:ascii="Times New Roman" w:cs="Times New Roman" w:eastAsia="Times New Roman" w:hAnsi="Times New Roman"/>
          <w:sz w:val="20"/>
          <w:szCs w:val="20"/>
          <w:color w:val="auto"/>
        </w:rPr>
        <w:t>Accounting Standard having a similar result or effect) to value any such Indebtedness in a reduced or bifurcated manner as described therein, and such Indebtedness shall at all times be valued at the full stated principal amount thereof.</w:t>
      </w:r>
    </w:p>
    <w:p>
      <w:pPr>
        <w:spacing w:after="0" w:line="180" w:lineRule="exact"/>
        <w:rPr>
          <w:sz w:val="20"/>
          <w:szCs w:val="20"/>
          <w:color w:val="auto"/>
        </w:rPr>
      </w:pPr>
    </w:p>
    <w:p>
      <w:pPr>
        <w:jc w:val="both"/>
        <w:ind w:firstLine="647"/>
        <w:spacing w:after="0" w:line="250" w:lineRule="auto"/>
        <w:tabs>
          <w:tab w:leader="none" w:pos="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20"/>
          <w:szCs w:val="20"/>
          <w:u w:val="single" w:color="auto"/>
          <w:color w:val="auto"/>
        </w:rPr>
        <w:t>FAS 842”</w:t>
      </w:r>
      <w:r>
        <w:rPr>
          <w:rFonts w:ascii="Times New Roman" w:cs="Times New Roman" w:eastAsia="Times New Roman" w:hAnsi="Times New Roman"/>
          <w:sz w:val="20"/>
          <w:szCs w:val="20"/>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21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 Forma Adjustments</w:t>
      </w:r>
      <w:r>
        <w:rPr>
          <w:rFonts w:ascii="Times New Roman" w:cs="Times New Roman" w:eastAsia="Times New Roman" w:hAnsi="Times New Roman"/>
          <w:sz w:val="18"/>
          <w:szCs w:val="18"/>
          <w:color w:val="auto"/>
        </w:rPr>
        <w:t>. (a) To the extent the Borrower or any Subsidiary (i) makes any acquisition permitted pursuant to Section 6.04 or Disposition of assets outside the ordinary course of business permitted by Section 6.05 during the period of four fiscal quarters of the Borrower most recently ended or (ii) consummates any transaction that requires any pro forma calculation as a condition thereto or in connection therewith under the terms of this Agreement, then, in each case, (A) the Total Net Leverage Ratio shall be calculated after giving pro forma effect thereto (including pro forma adjustments based off of the definition of “Consolidated EBITDA” but not to exceed the amounts permitted in such definition), as if such acquisition, such Disposition or such other transaction (and any related incurrence, repayment or assumption of Indebtedness) had occurred in the first day of such four-quarter period, (B) unless otherwise expressly required hereunder, such pro forma calculation shall be determined by reference to the financial statements for the period of four consecutive fiscal quarters ended on or most recently prior to such calculation for which financial statements have been delivered to the Administrative Agent pursuant to Section 5.01(a) or (b) (or, if prior to the date of the delivery of the first financial statements to be delivered pursuant to Section 5.01(a) or (b), the most recent financial statements referred to in Section 3.04(a)) and (C) any such calculation made by reference to, or requiring pro forma compliance with, any of the financial covenants shall be made by reference to the applicable financial covenant levels required under Section 6.12 for the quarter during which such acquisition, 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 Agreement to the contrary, to the extent any Indebtedness is incurred or assumed in connection with any transaction permitted hereunder, any pro forma determination of the Total Net Leverage Ratio or compliance with the financial covenant required to be made under this Agreement in connection with such transaction shall be made without including the proceeds of such incurred or assumed Indebtedness as Unrestricted Cash.</w:t>
      </w:r>
    </w:p>
    <w:p>
      <w:pPr>
        <w:spacing w:after="0" w:line="200" w:lineRule="exact"/>
        <w:rPr>
          <w:sz w:val="20"/>
          <w:szCs w:val="20"/>
          <w:color w:val="auto"/>
        </w:rPr>
      </w:pPr>
    </w:p>
    <w:p>
      <w:pPr>
        <w:spacing w:after="0" w:line="225" w:lineRule="exact"/>
        <w:rPr>
          <w:sz w:val="20"/>
          <w:szCs w:val="20"/>
          <w:color w:val="auto"/>
        </w:rPr>
      </w:pPr>
    </w:p>
    <w:p>
      <w:pPr>
        <w:ind w:left="920" w:hanging="273"/>
        <w:spacing w:after="0"/>
        <w:tabs>
          <w:tab w:leader="none" w:pos="9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action being taken in connection with a Limited Condition Transaction, for purposes of:</w:t>
      </w:r>
    </w:p>
    <w:p>
      <w:pPr>
        <w:spacing w:after="0" w:line="250" w:lineRule="exact"/>
        <w:rPr>
          <w:rFonts w:ascii="Times New Roman" w:cs="Times New Roman" w:eastAsia="Times New Roman" w:hAnsi="Times New Roman"/>
          <w:sz w:val="20"/>
          <w:szCs w:val="20"/>
          <w:color w:val="auto"/>
        </w:rPr>
      </w:pPr>
    </w:p>
    <w:p>
      <w:pPr>
        <w:ind w:left="640" w:firstLine="648"/>
        <w:spacing w:after="0" w:line="275" w:lineRule="auto"/>
        <w:tabs>
          <w:tab w:leader="none" w:pos="152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which requires the calculation of any financial ratio or test, including the Total Net Leverage Ratio;</w:t>
      </w:r>
    </w:p>
    <w:p>
      <w:pPr>
        <w:spacing w:after="0" w:line="180" w:lineRule="exact"/>
        <w:rPr>
          <w:rFonts w:ascii="Times New Roman" w:cs="Times New Roman" w:eastAsia="Times New Roman" w:hAnsi="Times New Roman"/>
          <w:sz w:val="20"/>
          <w:szCs w:val="20"/>
          <w:color w:val="auto"/>
        </w:rPr>
      </w:pPr>
    </w:p>
    <w:p>
      <w:pPr>
        <w:ind w:left="640" w:firstLine="648"/>
        <w:spacing w:after="0" w:line="275" w:lineRule="auto"/>
        <w:tabs>
          <w:tab w:leader="none" w:pos="157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availability under baskets set forth in this Agreement (including baskets measured as a percentage of Consolidated EBITDA or Consolidated Total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97" w:right="339" w:bottom="1440" w:gutter="0" w:footer="0" w:header="0"/>
        </w:sectPr>
      </w:pPr>
    </w:p>
    <w:bookmarkStart w:id="80" w:name="page81"/>
    <w:bookmarkEnd w:id="80"/>
    <w:p>
      <w:pPr>
        <w:ind w:left="1280"/>
        <w:spacing w:after="0"/>
        <w:rPr>
          <w:sz w:val="20"/>
          <w:szCs w:val="20"/>
          <w:color w:val="auto"/>
        </w:rPr>
      </w:pPr>
      <w:r>
        <w:rPr>
          <w:rFonts w:ascii="Times New Roman" w:cs="Times New Roman" w:eastAsia="Times New Roman" w:hAnsi="Times New Roman"/>
          <w:sz w:val="20"/>
          <w:szCs w:val="20"/>
          <w:color w:val="auto"/>
        </w:rPr>
        <w:t>(iii) determining the accuracy of any representation or warranty or the existence of any Default or Event of Default,</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of whether any such action is permitted hereunder shall be deemed to be the date the definitive agreement for such Limited Condition Transaction is entered into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giving pro forma effect to the Limited Condition Transaction, the Borrower or any of its Subsidiaries would have been permitted to take such action on the relevant LCT Test Date in compliance with such ratio, test or basket or other provision, such ratio, test or basket shall be deemed to have been complied with. For the avoidance of doubt, if the Borrower has made an LCT Election and any of the ratios, tests or baskets or other provision for which compliance was determined or tested as of the LCT Test Date would have failed to have been satisfied as a result of fluctuations in any such ratio, test or basket or other provision, including due to fluctuations in Consolidated EBITDA, Consolidated Interest Expense or Consolidated Total Assets, at or prior to the consummation of the relevant transaction or action, such baskets, tests or ratios will not be deemed to have failed to have been satisfied as a result of such fluctuations. If the Borrower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agreement or date for redemption, repurchase, defeasance, satisfaction and discharge or repayment specified in an irrevocable notice for such Limited Condition Transaction is terminated, expires or passes, as applicable, without consummation of such Limited Condition Transaction (a “</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assuming such Limited Condition Transaction and other transactions in connection therewith have been consummated.</w:t>
      </w:r>
    </w:p>
    <w:p>
      <w:pPr>
        <w:spacing w:after="0" w:line="213"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12"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97" w:right="339" w:bottom="1440" w:gutter="0" w:footer="0" w:header="0"/>
        </w:sectPr>
      </w:pPr>
    </w:p>
    <w:bookmarkStart w:id="81" w:name="page82"/>
    <w:bookmarkEnd w:id="81"/>
    <w:p>
      <w:pPr>
        <w:jc w:val="both"/>
        <w:spacing w:after="0" w:line="273" w:lineRule="auto"/>
        <w:rPr>
          <w:sz w:val="20"/>
          <w:szCs w:val="20"/>
          <w:color w:val="auto"/>
        </w:rPr>
      </w:pPr>
      <w:r>
        <w:rPr>
          <w:rFonts w:ascii="Times New Roman" w:cs="Times New Roman" w:eastAsia="Times New Roman" w:hAnsi="Times New Roman"/>
          <w:sz w:val="18"/>
          <w:szCs w:val="18"/>
          <w:color w:val="auto"/>
        </w:rPr>
        <w:t>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 w:lineRule="exact"/>
        <w:rPr>
          <w:sz w:val="20"/>
          <w:szCs w:val="20"/>
          <w:color w:val="auto"/>
        </w:rPr>
      </w:pPr>
    </w:p>
    <w:p>
      <w:pPr>
        <w:jc w:val="both"/>
        <w:ind w:firstLine="640"/>
        <w:spacing w:after="0" w:line="245"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Unless otherwise specified herein, the amount of a Letter of Credit at any time shall be deemed to be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23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1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ARTICLE II</w:t>
      </w:r>
    </w:p>
    <w:p>
      <w:pPr>
        <w:spacing w:after="0" w:line="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Subject to the terms and conditions set forth herein, each Lender severally (and not jointly) 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subject to the terms and conditions set forth herein, the Borrower may borrow, prepay and reborrow Revolving Loans.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53" w:lineRule="auto"/>
        <w:tabs>
          <w:tab w:leader="none" w:pos="91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Commitments of the Lenders are several and no Lender shall be responsible for any other Lender’s failure to make Loans as required. Any Swingline Loan shall be made in accordance with the procedures set forth in Section 2.05.</w:t>
      </w:r>
    </w:p>
    <w:p>
      <w:pPr>
        <w:spacing w:after="0" w:line="202" w:lineRule="exact"/>
        <w:rPr>
          <w:rFonts w:ascii="Times New Roman" w:cs="Times New Roman" w:eastAsia="Times New Roman" w:hAnsi="Times New Roman"/>
          <w:sz w:val="20"/>
          <w:szCs w:val="20"/>
          <w:color w:val="auto"/>
        </w:rPr>
      </w:pPr>
    </w:p>
    <w:p>
      <w:pPr>
        <w:jc w:val="both"/>
        <w:ind w:firstLine="647"/>
        <w:spacing w:after="0" w:line="253" w:lineRule="auto"/>
        <w:tabs>
          <w:tab w:leader="none" w:pos="93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2.14,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202" w:lineRule="exact"/>
        <w:rPr>
          <w:rFonts w:ascii="Times New Roman" w:cs="Times New Roman" w:eastAsia="Times New Roman" w:hAnsi="Times New Roman"/>
          <w:sz w:val="20"/>
          <w:szCs w:val="20"/>
          <w:color w:val="auto"/>
        </w:rPr>
      </w:pPr>
    </w:p>
    <w:p>
      <w:pPr>
        <w:jc w:val="both"/>
        <w:ind w:firstLine="647"/>
        <w:spacing w:after="0" w:line="282" w:lineRule="auto"/>
        <w:tabs>
          <w:tab w:leader="none" w:pos="9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$500,000 and not less than $1,000,000. At the time that each ABR Borrowing or RFR Borrowing is made, such Borrowing shall be in an aggregate amount that is an integral multiple of $250,000 and not less than $500,000;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$250,000 and not less than $500,000.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eight (8) Term Benchmark Borrowings and RFR Borrowings outstanding.</w:t>
      </w:r>
    </w:p>
    <w:p>
      <w:pPr>
        <w:spacing w:after="0" w:line="178" w:lineRule="exact"/>
        <w:rPr>
          <w:rFonts w:ascii="Times New Roman" w:cs="Times New Roman" w:eastAsia="Times New Roman" w:hAnsi="Times New Roman"/>
          <w:sz w:val="18"/>
          <w:szCs w:val="18"/>
          <w:color w:val="auto"/>
        </w:rPr>
      </w:pPr>
    </w:p>
    <w:p>
      <w:pPr>
        <w:ind w:right="20" w:firstLine="647"/>
        <w:spacing w:after="0" w:line="275" w:lineRule="auto"/>
        <w:tabs>
          <w:tab w:leader="none" w:pos="9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To request a Borrowing, the Borrower shall notify the Administrative Agent of such request by submitting a Borrowing Request signed by a Responsible Officer of the Borrower or through any Electronic System, if arrangements for doing so have been approved by the Administrative Agent, (a) in the case of a Term Benchmark Borrowing, not later than 12:00 noon, New York City time, three Business Days before the date of the proposed Borrowing or (b) in the case of an ABR Borrowing, not later than 12:00 noon, New York City time, on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2.06(e) may be given not later than 9:00 a.m., New York City time, on the date of the proposed Borrowing. Each such Borrowing Request shall be irrevocable. Each such Borrowing Request shall specify the following information in compliance with Section 2.01:</w:t>
      </w:r>
    </w:p>
    <w:p>
      <w:pPr>
        <w:spacing w:after="0" w:line="205" w:lineRule="exact"/>
        <w:rPr>
          <w:sz w:val="20"/>
          <w:szCs w:val="20"/>
          <w:color w:val="auto"/>
        </w:rPr>
      </w:pPr>
    </w:p>
    <w:p>
      <w:pPr>
        <w:ind w:left="880" w:hanging="233"/>
        <w:spacing w:after="0"/>
        <w:tabs>
          <w:tab w:leader="none" w:pos="8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the requested Borrowing;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2"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98" w:right="339" w:bottom="1440" w:gutter="0" w:footer="0" w:header="0"/>
        </w:sectPr>
      </w:pPr>
    </w:p>
    <w:bookmarkStart w:id="83" w:name="page84"/>
    <w:bookmarkEnd w:id="83"/>
    <w:p>
      <w:pPr>
        <w:ind w:left="940" w:hanging="293"/>
        <w:spacing w:after="0"/>
        <w:tabs>
          <w:tab w:leader="none" w:pos="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50" w:lineRule="exact"/>
        <w:rPr>
          <w:rFonts w:ascii="Times New Roman" w:cs="Times New Roman" w:eastAsia="Times New Roman" w:hAnsi="Times New Roman"/>
          <w:sz w:val="20"/>
          <w:szCs w:val="20"/>
          <w:color w:val="auto"/>
        </w:rPr>
      </w:pPr>
    </w:p>
    <w:p>
      <w:pPr>
        <w:ind w:left="980" w:hanging="333"/>
        <w:spacing w:after="0"/>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or a Term Benchmark Borrowing;</w:t>
      </w:r>
    </w:p>
    <w:p>
      <w:pPr>
        <w:spacing w:after="0" w:line="237" w:lineRule="exact"/>
        <w:rPr>
          <w:sz w:val="20"/>
          <w:szCs w:val="20"/>
          <w:color w:val="auto"/>
        </w:rPr>
      </w:pPr>
    </w:p>
    <w:p>
      <w:pPr>
        <w:ind w:left="640" w:right="960" w:firstLine="7"/>
        <w:spacing w:after="0" w:line="275" w:lineRule="auto"/>
        <w:tabs>
          <w:tab w:leader="none" w:pos="97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80" w:lineRule="exact"/>
        <w:rPr>
          <w:sz w:val="20"/>
          <w:szCs w:val="20"/>
          <w:color w:val="auto"/>
        </w:rPr>
      </w:pPr>
    </w:p>
    <w:p>
      <w:pPr>
        <w:ind w:left="640" w:firstLine="7"/>
        <w:spacing w:after="0" w:line="275" w:lineRule="auto"/>
        <w:tabs>
          <w:tab w:leader="none" w:pos="91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to which funds are to be disbursed, which shall comply with the requirements of Section 2.07, and a breakdown of the separate wires comprising such Borrowing.</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Notwithstanding the foregoing, in no event shall the Borrower be permitted to elect an RFR Loan (it being understood and agreed that Adjusted Daily Simple SOFR shall only apply to the extent provided in Sections 2.14(a) and 2.14(f)).</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6" w:lineRule="auto"/>
        <w:tabs>
          <w:tab w:leader="none" w:pos="92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from time to time during the Availability Period, the Swingline Lender may agree, but shall have no obligation, to make Swingline Loans in dollars to the Borrower, in an aggregate principal amount at any time outstanding that will not result in (i) the aggregate principal amount of outstanding Swingline Loans exceeding $5,000,000, (ii) the Swingline Lender’s Revolving Exposure exceeding its Revolving Commitment, or (iii) the Aggregate Revolving Exposure exceeding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submit a written notice to the Administrative Agent of such request by fax or through any Electronic System, if arrangements for doing so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New York City time, on the requested date of such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98" w:right="339" w:bottom="1440" w:gutter="0" w:footer="0" w:header="0"/>
        </w:sectPr>
      </w:pPr>
    </w:p>
    <w:bookmarkStart w:id="84" w:name="page85"/>
    <w:bookmarkEnd w:id="84"/>
    <w:p>
      <w:pPr>
        <w:jc w:val="both"/>
        <w:ind w:firstLine="647"/>
        <w:spacing w:after="0" w:line="276" w:lineRule="auto"/>
        <w:tabs>
          <w:tab w:leader="none" w:pos="9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Administrative Agent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11:00 a.m., New York City time, on a Business Day no later than 4:00 p.m., New York City time on such Business Day and if received after</w:t>
      </w:r>
    </w:p>
    <w:p>
      <w:pPr>
        <w:jc w:val="both"/>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11:00 a.m., New York City time, “on a Business Day” shall mean no later than 9:00 a.m., New York City time on the immediately succeeding Business Day), to pay to the Administrative Agent in dollars,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in dollars of immediately available funds, in the same manner as provided in Section 2.07 with respect to Revolving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jc w:val="both"/>
        <w:ind w:firstLine="647"/>
        <w:spacing w:after="0" w:line="246" w:lineRule="auto"/>
        <w:tabs>
          <w:tab w:leader="none" w:pos="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5" w:lineRule="exact"/>
        <w:rPr>
          <w:rFonts w:ascii="Times New Roman" w:cs="Times New Roman" w:eastAsia="Times New Roman" w:hAnsi="Times New Roman"/>
          <w:sz w:val="20"/>
          <w:szCs w:val="20"/>
          <w:color w:val="auto"/>
        </w:rPr>
      </w:pPr>
    </w:p>
    <w:p>
      <w:pPr>
        <w:ind w:firstLine="647"/>
        <w:spacing w:after="0" w:line="247" w:lineRule="auto"/>
        <w:tabs>
          <w:tab w:leader="none" w:pos="91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98" w:right="339" w:bottom="1440" w:gutter="0" w:footer="0" w:header="0"/>
        </w:sectPr>
      </w:pPr>
    </w:p>
    <w:bookmarkStart w:id="85" w:name="page86"/>
    <w:bookmarkEnd w:id="85"/>
    <w:p>
      <w:pPr>
        <w:spacing w:after="0" w:line="275" w:lineRule="auto"/>
        <w:rPr>
          <w:sz w:val="20"/>
          <w:szCs w:val="20"/>
          <w:color w:val="auto"/>
        </w:rPr>
      </w:pPr>
      <w:r>
        <w:rPr>
          <w:rFonts w:ascii="Times New Roman" w:cs="Times New Roman" w:eastAsia="Times New Roman" w:hAnsi="Times New Roman"/>
          <w:sz w:val="20"/>
          <w:szCs w:val="20"/>
          <w:color w:val="auto"/>
        </w:rPr>
        <w:t>Administrative Agent, the Borrower and the Lenders, in which case, the Swingline Lender shall be replaced in accordance with Section 2.05(c) above.</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6" w:lineRule="auto"/>
        <w:tabs>
          <w:tab w:leader="none" w:pos="90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Borrower may request the Issuing Bank to issue Letters of Credit denominated in dollars as the applicant thereof for the support of its or its Subsidiaries’ obligations, in a form reasonably acceptable to the Issuing Bank, at any time and from time to time during the Availability Period.</w:t>
      </w:r>
    </w:p>
    <w:p>
      <w:pPr>
        <w:spacing w:after="0" w:line="211" w:lineRule="exact"/>
        <w:rPr>
          <w:rFonts w:ascii="Times New Roman" w:cs="Times New Roman" w:eastAsia="Times New Roman" w:hAnsi="Times New Roman"/>
          <w:sz w:val="20"/>
          <w:szCs w:val="20"/>
          <w:color w:val="auto"/>
        </w:rPr>
      </w:pPr>
    </w:p>
    <w:p>
      <w:pPr>
        <w:jc w:val="both"/>
        <w:ind w:firstLine="647"/>
        <w:spacing w:after="0" w:line="274" w:lineRule="auto"/>
        <w:tabs>
          <w:tab w:leader="none" w:pos="9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To request the issuance of a Letter of Credit (or the amendment or extension of an outstanding Letter of Credit), the Borrower shall hand deliver or fax (or transmit through any Electronic System, if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$15,000,000, (ii) no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set forth in clauses (i) through (iii) of this Section 2.06(b). All Existing Letters of Credit shall be deemed to have been issued pursuant hereto, and from and after the Effective Date shall be subject to and governed by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Issuing Bank shall not be under any obligation to issue any Letter of Credit if:</w:t>
      </w:r>
    </w:p>
    <w:p>
      <w:pPr>
        <w:spacing w:after="0" w:line="237" w:lineRule="exact"/>
        <w:rPr>
          <w:sz w:val="20"/>
          <w:szCs w:val="20"/>
          <w:color w:val="auto"/>
        </w:rPr>
      </w:pPr>
    </w:p>
    <w:p>
      <w:pPr>
        <w:jc w:val="both"/>
        <w:ind w:firstLine="1128"/>
        <w:spacing w:after="0" w:line="263" w:lineRule="auto"/>
        <w:tabs>
          <w:tab w:leader="none" w:pos="136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97" w:right="339" w:bottom="1440" w:gutter="0" w:footer="0" w:header="0"/>
        </w:sectPr>
      </w:pPr>
    </w:p>
    <w:bookmarkStart w:id="86" w:name="page87"/>
    <w:bookmarkEnd w:id="86"/>
    <w:p>
      <w:pPr>
        <w:jc w:val="both"/>
        <w:spacing w:after="0" w:line="250" w:lineRule="auto"/>
        <w:rPr>
          <w:sz w:val="20"/>
          <w:szCs w:val="20"/>
          <w:color w:val="auto"/>
        </w:rPr>
      </w:pPr>
      <w:r>
        <w:rPr>
          <w:rFonts w:ascii="Times New Roman" w:cs="Times New Roman" w:eastAsia="Times New Roman" w:hAnsi="Times New Roman"/>
          <w:sz w:val="20"/>
          <w:szCs w:val="20"/>
          <w:color w:val="auto"/>
        </w:rPr>
        <w:t>force of law) from any Governmental Authority with jurisdiction over the Issuing Bank shall prohibit, request or require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w:t>
      </w:r>
    </w:p>
    <w:p>
      <w:pPr>
        <w:spacing w:after="0" w:line="2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(ii) the issuance of such Letter of Credit would violate one or more policies of the Issuing Bank applicable to letters of credit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w:t>
      </w:r>
    </w:p>
    <w:p>
      <w:pPr>
        <w:spacing w:after="0" w:line="223" w:lineRule="exact"/>
        <w:rPr>
          <w:sz w:val="20"/>
          <w:szCs w:val="20"/>
          <w:color w:val="auto"/>
        </w:rPr>
      </w:pPr>
    </w:p>
    <w:p>
      <w:pPr>
        <w:jc w:val="both"/>
        <w:ind w:firstLine="647"/>
        <w:spacing w:after="0" w:line="250" w:lineRule="auto"/>
        <w:tabs>
          <w:tab w:leader="none" w:pos="90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provide for the extension thereof for additional one-year periods (which shall in no event extend beyond the date referred to in clause (ii) above).</w:t>
      </w:r>
    </w:p>
    <w:p>
      <w:pPr>
        <w:spacing w:after="0" w:line="217" w:lineRule="exact"/>
        <w:rPr>
          <w:rFonts w:ascii="Times New Roman" w:cs="Times New Roman" w:eastAsia="Times New Roman" w:hAnsi="Times New Roman"/>
          <w:sz w:val="20"/>
          <w:szCs w:val="20"/>
          <w:color w:val="auto"/>
        </w:rPr>
      </w:pPr>
    </w:p>
    <w:p>
      <w:pPr>
        <w:jc w:val="both"/>
        <w:ind w:firstLine="647"/>
        <w:spacing w:after="0" w:line="247" w:lineRule="auto"/>
        <w:tabs>
          <w:tab w:leader="none" w:pos="93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including after the Revolving Credit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211" w:lineRule="exact"/>
        <w:rPr>
          <w:rFonts w:ascii="Times New Roman" w:cs="Times New Roman" w:eastAsia="Times New Roman" w:hAnsi="Times New Roman"/>
          <w:sz w:val="20"/>
          <w:szCs w:val="20"/>
          <w:color w:val="auto"/>
        </w:rPr>
      </w:pPr>
    </w:p>
    <w:p>
      <w:pPr>
        <w:jc w:val="both"/>
        <w:ind w:firstLine="647"/>
        <w:spacing w:after="0" w:line="248" w:lineRule="auto"/>
        <w:tabs>
          <w:tab w:leader="none" w:pos="90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Issuing Bank shall make any LC Disbursement in respect of a Letter of Credit, the Borrower shall reimburse such LC Disbursement by paying to the Administrative Agent an amount equal to such LC Disbursement not later than 11:00 a.m., New York City time, on (i) the Business Day that the Borrower receives notice of such LC Disbursement, if such notice is received prior to 12:00 noon, New York City time, on the day of receipt, or (ii) the Business Day immediately following the day that the Borrower receives such notice, if such notice is received after 12:00 noon, New York City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LC Disbursement is greater than or equal to $1,000,000, the Borrower may, subject to the conditions to borrowing set forth herein, request in accordance with Section 2.03 or 2.05 that such payment be financed with an ABR Revolving Borrowing or Swingline Loan in an equivalent amount of such LC Disbursement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98" w:right="339" w:bottom="1440" w:gutter="0" w:footer="0" w:header="0"/>
        </w:sectPr>
      </w:pPr>
    </w:p>
    <w:bookmarkStart w:id="87" w:name="page88"/>
    <w:bookmarkEnd w:id="87"/>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w:t>
      </w:r>
    </w:p>
    <w:p>
      <w:pPr>
        <w:spacing w:after="0" w:line="210" w:lineRule="exact"/>
        <w:rPr>
          <w:sz w:val="20"/>
          <w:szCs w:val="20"/>
          <w:color w:val="auto"/>
        </w:rPr>
      </w:pPr>
    </w:p>
    <w:p>
      <w:pPr>
        <w:jc w:val="both"/>
        <w:ind w:firstLine="647"/>
        <w:spacing w:after="0" w:line="276" w:lineRule="auto"/>
        <w:tabs>
          <w:tab w:leader="none" w:pos="8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w:t>
      </w:r>
    </w:p>
    <w:p>
      <w:pPr>
        <w:jc w:val="both"/>
        <w:ind w:firstLine="7"/>
        <w:spacing w:after="0" w:line="245" w:lineRule="auto"/>
        <w:tabs>
          <w:tab w:leader="none" w:pos="35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reasonable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29" w:lineRule="exact"/>
        <w:rPr>
          <w:rFonts w:ascii="Times New Roman" w:cs="Times New Roman" w:eastAsia="Times New Roman" w:hAnsi="Times New Roman"/>
          <w:sz w:val="20"/>
          <w:szCs w:val="20"/>
          <w:color w:val="auto"/>
        </w:rPr>
      </w:pPr>
    </w:p>
    <w:p>
      <w:pPr>
        <w:jc w:val="both"/>
        <w:ind w:firstLine="647"/>
        <w:spacing w:after="0" w:line="256" w:lineRule="auto"/>
        <w:tabs>
          <w:tab w:leader="none" w:pos="91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The Issuing Bank for any Letter of Credit shall, within the time allowed by applicable law or the specific terms of such Letter of Credit following its receipt thereof, examine all documents purporting to represent a demand for payment under a Letter of Credit.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98"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Issuing Bank shall promptly after such examination notify the Administrative Agent and the Borrower by telephone (confirmed by fax or through Electronic Systems)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Issuing Bank and the Lenders with respect to any such LC Disbursement.</w:t>
      </w:r>
    </w:p>
    <w:p>
      <w:pPr>
        <w:spacing w:after="0" w:line="201" w:lineRule="exact"/>
        <w:rPr>
          <w:sz w:val="20"/>
          <w:szCs w:val="20"/>
          <w:color w:val="auto"/>
        </w:rPr>
      </w:pPr>
    </w:p>
    <w:p>
      <w:pPr>
        <w:jc w:val="both"/>
        <w:ind w:firstLine="647"/>
        <w:spacing w:after="0" w:line="250" w:lineRule="auto"/>
        <w:tabs>
          <w:tab w:leader="none" w:pos="957"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204"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and Resignation of the Issuing Bank</w:t>
      </w:r>
      <w:r>
        <w:rPr>
          <w:rFonts w:ascii="Times New Roman" w:cs="Times New Roman" w:eastAsia="Times New Roman" w:hAnsi="Times New Roman"/>
          <w:sz w:val="20"/>
          <w:szCs w:val="20"/>
          <w:color w:val="auto"/>
        </w:rPr>
        <w:t>.</w:t>
      </w:r>
    </w:p>
    <w:p>
      <w:pPr>
        <w:spacing w:after="0" w:line="24" w:lineRule="exact"/>
        <w:rPr>
          <w:rFonts w:ascii="Times New Roman" w:cs="Times New Roman" w:eastAsia="Times New Roman" w:hAnsi="Times New Roman"/>
          <w:sz w:val="20"/>
          <w:szCs w:val="20"/>
          <w:color w:val="auto"/>
        </w:rPr>
      </w:pPr>
    </w:p>
    <w:p>
      <w:pPr>
        <w:jc w:val="both"/>
        <w:ind w:firstLine="567"/>
        <w:spacing w:after="0" w:line="245" w:lineRule="auto"/>
        <w:tabs>
          <w:tab w:leader="none" w:pos="80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the replaced Issuing Bank under this Agreement with respect to Letters of Credit to be issued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226" w:lineRule="exact"/>
        <w:rPr>
          <w:rFonts w:ascii="Times New Roman" w:cs="Times New Roman" w:eastAsia="Times New Roman" w:hAnsi="Times New Roman"/>
          <w:sz w:val="20"/>
          <w:szCs w:val="20"/>
          <w:color w:val="auto"/>
        </w:rPr>
      </w:pPr>
    </w:p>
    <w:p>
      <w:pPr>
        <w:jc w:val="both"/>
        <w:ind w:firstLine="567"/>
        <w:spacing w:after="0" w:line="256" w:lineRule="auto"/>
        <w:tabs>
          <w:tab w:leader="none" w:pos="85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the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98" w:lineRule="exact"/>
        <w:rPr>
          <w:rFonts w:ascii="Times New Roman" w:cs="Times New Roman" w:eastAsia="Times New Roman" w:hAnsi="Times New Roman"/>
          <w:sz w:val="20"/>
          <w:szCs w:val="20"/>
          <w:color w:val="auto"/>
        </w:rPr>
      </w:pPr>
    </w:p>
    <w:p>
      <w:pPr>
        <w:jc w:val="both"/>
        <w:ind w:firstLine="647"/>
        <w:spacing w:after="0" w:line="248" w:lineRule="auto"/>
        <w:tabs>
          <w:tab w:leader="none" w:pos="87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in dollars equal to 103% of the amount of the LC Exposure as of such date plus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98" w:right="339" w:bottom="1440" w:gutter="0" w:footer="0" w:header="0"/>
        </w:sectPr>
      </w:pPr>
    </w:p>
    <w:bookmarkStart w:id="89" w:name="page90"/>
    <w:bookmarkEnd w:id="8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into the LC Collateral Account an amount in cash equal to 103% of such LC Exposure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231" w:lineRule="exact"/>
        <w:rPr>
          <w:sz w:val="20"/>
          <w:szCs w:val="20"/>
          <w:color w:val="auto"/>
        </w:rPr>
      </w:pPr>
    </w:p>
    <w:p>
      <w:pPr>
        <w:jc w:val="both"/>
        <w:ind w:firstLine="647"/>
        <w:spacing w:after="0" w:line="246" w:lineRule="auto"/>
        <w:tabs>
          <w:tab w:leader="none" w:pos="9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Bank Reports to the Administrative Agent</w:t>
      </w:r>
      <w:r>
        <w:rPr>
          <w:rFonts w:ascii="Times New Roman" w:cs="Times New Roman" w:eastAsia="Times New Roman" w:hAnsi="Times New Roman"/>
          <w:sz w:val="20"/>
          <w:szCs w:val="20"/>
          <w:color w:val="auto"/>
        </w:rPr>
        <w:t>. In the event Chase is not the only Issuing Bank, and unless otherwise agreed by the Administrative Agent, each Issuing Bank other than Chase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22" w:lineRule="exact"/>
        <w:rPr>
          <w:rFonts w:ascii="Times New Roman" w:cs="Times New Roman" w:eastAsia="Times New Roman" w:hAnsi="Times New Roman"/>
          <w:sz w:val="20"/>
          <w:szCs w:val="20"/>
          <w:color w:val="auto"/>
        </w:rPr>
      </w:pPr>
    </w:p>
    <w:p>
      <w:pPr>
        <w:jc w:val="both"/>
        <w:ind w:firstLine="647"/>
        <w:spacing w:after="0" w:line="248"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98" w:right="339" w:bottom="1440" w:gutter="0" w:footer="0" w:header="0"/>
        </w:sectPr>
      </w:pPr>
    </w:p>
    <w:bookmarkStart w:id="90" w:name="page91"/>
    <w:bookmarkEnd w:id="90"/>
    <w:p>
      <w:pPr>
        <w:spacing w:after="0" w:line="275" w:lineRule="auto"/>
        <w:rPr>
          <w:sz w:val="20"/>
          <w:szCs w:val="20"/>
          <w:color w:val="auto"/>
        </w:rPr>
      </w:pPr>
      <w:r>
        <w:rPr>
          <w:rFonts w:ascii="Times New Roman" w:cs="Times New Roman" w:eastAsia="Times New Roman" w:hAnsi="Times New Roman"/>
          <w:sz w:val="20"/>
          <w:szCs w:val="20"/>
          <w:color w:val="auto"/>
        </w:rPr>
        <w:t>that the issuance of such Letters of Credit for its Subsidiaries inures to the benefit of the Borrower, and that the Borrower’s business derives substantial benefits from the businesses of such Subsidiaries.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jc w:val="both"/>
        <w:ind w:firstLine="727"/>
        <w:spacing w:after="0" w:line="245" w:lineRule="auto"/>
        <w:tabs>
          <w:tab w:leader="none" w:pos="9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Loan to be made by such Lender hereunder on the proposed date thereof solely by wire transfer of immediately available funds by 2:00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Section 2.05. The Administrative Agent will make such Loans available to the Borrower by promptly crediting the funds so received in the aforesaid account of the Administrative Agent to the Funding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Issuing Bank.</w:t>
      </w:r>
    </w:p>
    <w:p>
      <w:pPr>
        <w:spacing w:after="0" w:line="223" w:lineRule="exact"/>
        <w:rPr>
          <w:rFonts w:ascii="Times New Roman" w:cs="Times New Roman" w:eastAsia="Times New Roman" w:hAnsi="Times New Roman"/>
          <w:sz w:val="20"/>
          <w:szCs w:val="20"/>
          <w:color w:val="auto"/>
        </w:rPr>
      </w:pPr>
    </w:p>
    <w:p>
      <w:pPr>
        <w:jc w:val="both"/>
        <w:ind w:firstLine="727"/>
        <w:spacing w:after="0" w:line="246" w:lineRule="auto"/>
        <w:tabs>
          <w:tab w:leader="none" w:pos="100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jc w:val="both"/>
        <w:ind w:firstLine="647"/>
        <w:spacing w:after="0" w:line="245" w:lineRule="auto"/>
        <w:tabs>
          <w:tab w:leader="none" w:pos="91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23" w:lineRule="exact"/>
        <w:rPr>
          <w:rFonts w:ascii="Times New Roman" w:cs="Times New Roman" w:eastAsia="Times New Roman" w:hAnsi="Times New Roman"/>
          <w:sz w:val="20"/>
          <w:szCs w:val="20"/>
          <w:color w:val="auto"/>
        </w:rPr>
      </w:pPr>
    </w:p>
    <w:p>
      <w:pPr>
        <w:jc w:val="both"/>
        <w:ind w:firstLine="647"/>
        <w:spacing w:after="0" w:line="254" w:lineRule="auto"/>
        <w:tabs>
          <w:tab w:leader="none" w:pos="9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if arrangements for doing so have been approved by the Administrative Agent, by the time that a Borrowing Request would be required under Section 2.03 if the Borrower were requesting a Borrowing of the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9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color w:val="auto"/>
        </w:rPr>
        <w:t>resulting from such election to be made on the effective date of such election. Each such Interest Election Request shall be irrevocable.</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Notwithstanding any contrary provision herein, this Section shall not be construed to permit the Borrower to (i) elect an Interest Period for Term Benchmark Loans that does not comply with Section 2.02(d), or (ii) elect Adjusted Daily Simple SOFR (it being understood and agreed that Adjusted Daily Simple SOFR shall only apply to the extent provided in Sections 2.14(a) and 2.14(f)).</w:t>
      </w:r>
    </w:p>
    <w:p>
      <w:pPr>
        <w:spacing w:after="0" w:line="198" w:lineRule="exact"/>
        <w:rPr>
          <w:sz w:val="20"/>
          <w:szCs w:val="20"/>
          <w:color w:val="auto"/>
        </w:rPr>
      </w:pPr>
    </w:p>
    <w:p>
      <w:pPr>
        <w:ind w:firstLine="567"/>
        <w:spacing w:after="0" w:line="275" w:lineRule="auto"/>
        <w:tabs>
          <w:tab w:leader="none" w:pos="826"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Interest Election Request (including requests submitted through any Electronic System) shall specify the following information in compliance with Section 2.02:</w:t>
      </w:r>
    </w:p>
    <w:p>
      <w:pPr>
        <w:spacing w:after="0" w:line="193" w:lineRule="exact"/>
        <w:rPr>
          <w:rFonts w:ascii="Times New Roman" w:cs="Times New Roman" w:eastAsia="Times New Roman" w:hAnsi="Times New Roman"/>
          <w:sz w:val="20"/>
          <w:szCs w:val="20"/>
          <w:color w:val="auto"/>
        </w:rPr>
      </w:pPr>
    </w:p>
    <w:p>
      <w:pPr>
        <w:jc w:val="both"/>
        <w:ind w:left="960" w:hanging="416"/>
        <w:spacing w:after="0" w:line="256" w:lineRule="auto"/>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98" w:lineRule="exact"/>
        <w:rPr>
          <w:rFonts w:ascii="Times New Roman" w:cs="Times New Roman" w:eastAsia="Times New Roman" w:hAnsi="Times New Roman"/>
          <w:sz w:val="20"/>
          <w:szCs w:val="20"/>
          <w:color w:val="auto"/>
        </w:rPr>
      </w:pPr>
    </w:p>
    <w:p>
      <w:pPr>
        <w:ind w:left="960" w:hanging="470"/>
        <w:spacing w:after="0"/>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50" w:lineRule="exact"/>
        <w:rPr>
          <w:rFonts w:ascii="Times New Roman" w:cs="Times New Roman" w:eastAsia="Times New Roman" w:hAnsi="Times New Roman"/>
          <w:sz w:val="20"/>
          <w:szCs w:val="20"/>
          <w:color w:val="auto"/>
        </w:rPr>
      </w:pPr>
    </w:p>
    <w:p>
      <w:pPr>
        <w:ind w:left="960" w:hanging="524"/>
        <w:spacing w:after="0"/>
        <w:tabs>
          <w:tab w:leader="none" w:pos="9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or a Term Benchmark Borrowing; and</w:t>
      </w:r>
    </w:p>
    <w:p>
      <w:pPr>
        <w:spacing w:after="0" w:line="250" w:lineRule="exact"/>
        <w:rPr>
          <w:rFonts w:ascii="Times New Roman" w:cs="Times New Roman" w:eastAsia="Times New Roman" w:hAnsi="Times New Roman"/>
          <w:sz w:val="20"/>
          <w:szCs w:val="20"/>
          <w:color w:val="auto"/>
        </w:rPr>
      </w:pPr>
    </w:p>
    <w:p>
      <w:pPr>
        <w:ind w:left="960" w:hanging="514"/>
        <w:spacing w:after="0" w:line="262" w:lineRule="auto"/>
        <w:tabs>
          <w:tab w:leader="none" w:pos="94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Borrower shall be deemed to have selected an Interest Period of one month’s duration.</w:t>
      </w:r>
    </w:p>
    <w:p>
      <w:pPr>
        <w:spacing w:after="0" w:line="205" w:lineRule="exact"/>
        <w:rPr>
          <w:sz w:val="20"/>
          <w:szCs w:val="20"/>
          <w:color w:val="auto"/>
        </w:rPr>
      </w:pPr>
    </w:p>
    <w:p>
      <w:pPr>
        <w:ind w:firstLine="727"/>
        <w:spacing w:after="0" w:line="275" w:lineRule="auto"/>
        <w:tabs>
          <w:tab w:leader="none" w:pos="102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80" w:lineRule="exact"/>
        <w:rPr>
          <w:rFonts w:ascii="Times New Roman" w:cs="Times New Roman" w:eastAsia="Times New Roman" w:hAnsi="Times New Roman"/>
          <w:sz w:val="20"/>
          <w:szCs w:val="20"/>
          <w:color w:val="auto"/>
        </w:rPr>
      </w:pPr>
    </w:p>
    <w:p>
      <w:pPr>
        <w:jc w:val="both"/>
        <w:ind w:firstLine="727"/>
        <w:spacing w:after="0" w:line="250" w:lineRule="auto"/>
        <w:tabs>
          <w:tab w:leader="none" w:pos="98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and RFR Borrowing shall be converted to an ABR Borrowing at the end of the Interest Period applicable thereto.</w:t>
      </w:r>
    </w:p>
    <w:p>
      <w:pPr>
        <w:spacing w:after="0" w:line="204"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Termination and Reduction of Revolving Commitments; Increase in Revolving Commitments; 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840" w:hanging="273"/>
        <w:spacing w:after="0"/>
        <w:tabs>
          <w:tab w:leader="none" w:pos="8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all the Revolving Commitments shall terminate on the Revolving Credit Maturity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97" w:right="339" w:bottom="1440" w:gutter="0" w:footer="0" w:header="0"/>
        </w:sectPr>
      </w:pPr>
    </w:p>
    <w:bookmarkStart w:id="92" w:name="page93"/>
    <w:bookmarkEnd w:id="92"/>
    <w:p>
      <w:pPr>
        <w:ind w:left="840" w:hanging="273"/>
        <w:spacing w:after="0"/>
        <w:tabs>
          <w:tab w:leader="none" w:pos="8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terminate the Revolving Commitments upon the Payment in Full of the Secured Obligations.</w:t>
      </w:r>
    </w:p>
    <w:p>
      <w:pPr>
        <w:spacing w:after="0" w:line="250" w:lineRule="exact"/>
        <w:rPr>
          <w:rFonts w:ascii="Times New Roman" w:cs="Times New Roman" w:eastAsia="Times New Roman" w:hAnsi="Times New Roman"/>
          <w:sz w:val="20"/>
          <w:szCs w:val="20"/>
          <w:color w:val="auto"/>
        </w:rPr>
      </w:pPr>
    </w:p>
    <w:p>
      <w:pPr>
        <w:jc w:val="both"/>
        <w:ind w:firstLine="567"/>
        <w:spacing w:after="0" w:line="250" w:lineRule="auto"/>
        <w:tabs>
          <w:tab w:leader="none" w:pos="8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and from time to time reduce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shall be in an amount that is an integral multiple of $1,000,000 and not less than $5,000,000 and (ii) the Borrower shall not terminate or reduce the Revolving Commitments if, after giving effect to any concurrent prepayment of the Revolving Loans in accordance with Section 2.11, (x) the Aggregate Revolving Exposure would exceed the aggregate Revolving Commitments or (y) the Revolving Exposure of any Lender would exceed the Revolving Commitment of such Lender.</w:t>
      </w:r>
    </w:p>
    <w:p>
      <w:pPr>
        <w:spacing w:after="0" w:line="216" w:lineRule="exact"/>
        <w:rPr>
          <w:rFonts w:ascii="Times New Roman" w:cs="Times New Roman" w:eastAsia="Times New Roman" w:hAnsi="Times New Roman"/>
          <w:sz w:val="20"/>
          <w:szCs w:val="20"/>
          <w:color w:val="auto"/>
        </w:rPr>
      </w:pPr>
    </w:p>
    <w:p>
      <w:pPr>
        <w:jc w:val="both"/>
        <w:ind w:firstLine="567"/>
        <w:spacing w:after="0" w:line="246" w:lineRule="auto"/>
        <w:tabs>
          <w:tab w:leader="none" w:pos="86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Commitments under paragraph (b) or (c) of this Section at least three (3) Business Days prior to the effective date of such termination or reduction (or such shorter time as may be agreed to by the Administrative Agent),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226" w:lineRule="exact"/>
        <w:rPr>
          <w:rFonts w:ascii="Times New Roman" w:cs="Times New Roman" w:eastAsia="Times New Roman" w:hAnsi="Times New Roman"/>
          <w:sz w:val="20"/>
          <w:szCs w:val="20"/>
          <w:color w:val="auto"/>
        </w:rPr>
      </w:pPr>
    </w:p>
    <w:p>
      <w:pPr>
        <w:jc w:val="both"/>
        <w:ind w:firstLine="807"/>
        <w:spacing w:after="0" w:line="276" w:lineRule="auto"/>
        <w:tabs>
          <w:tab w:leader="none" w:pos="108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to increase the Revolving Commitments or enter into one or more tranches of term loans or increases to any then existing tranches of term loans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in each case by obtaining additional Revolving Commitments or participations in such Incremental Term Loans, either from one or more of the Lenders or another lending institution (other than any Ineligible Institution), provided that (i) any such request for an increase or tranche of Incremental Term Loans shall be in a minimum amount of $10,000,000, (ii) after giving effect thereto, the sum of the total of the additional Revolving Commitments and Incremental Term Loans does not exceed the greater of (x) $30,000,000 and (y) 100%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date of the delivery of the first financial statements to be delivered pursuant to Section 5.01(a) or (b), the most recent financial statements referred to in Section 3.04(a)), (iii) the Administrative Agent and, only in the case of any increase in the Revolving Commitments, the Swingline Lender and the Issuing Bank have approved the identity of any such new Lender, such approvals not to be unreasonably withheld, (iv) any such new Lender assumes all of the rights and obligations of a “Lender” hereunder, and (v) the procedures described in Section 2.09(f) have been satisfied. Nothing contained in this Section 2.09 shall constitute, or otherwise be deemed to be, a commitment on the part of any Lender to increase its Revolving Commitment or participate in any tranche of Incremental Term Loans hereunder at any time.</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firstLine="807"/>
        <w:spacing w:after="0" w:line="254" w:lineRule="auto"/>
        <w:tabs>
          <w:tab w:leader="none" w:pos="104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precedent to such an increase of the Revolving Commitments or tranche of Incremental Term Loans, the Borrower shall deliver to the Administrative Agent (i) a certificate of each Loan Party signed by an authorized officer of such Loan Party (A) certifying and attaching the resolutions adopted by the board of directors of such Loan Party approving or consenting to such increase or tranche, and (B) in the case of the Borrower, certifying that, before and after giving effect to such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98"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0"/>
          <w:szCs w:val="20"/>
          <w:color w:val="auto"/>
        </w:rPr>
        <w:t>tranche,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or Event of Default exists and (3) the Borrower is in compliance (on a pro forma basis) with the covenant contained in Section 6.12 (which calculations shall assume that such increase of the Revolving Commitments is fully drawn or such tranche of Incremental Term Loans is fully funded, as the case may be) and (ii) legal opinions and documents consistent with those delivered on the Effective Date, to the extent reasonably requested by the Administrative Agent.</w:t>
      </w:r>
    </w:p>
    <w:p>
      <w:pPr>
        <w:spacing w:after="0" w:line="217" w:lineRule="exact"/>
        <w:rPr>
          <w:sz w:val="20"/>
          <w:szCs w:val="20"/>
          <w:color w:val="auto"/>
        </w:rPr>
      </w:pPr>
    </w:p>
    <w:p>
      <w:pPr>
        <w:jc w:val="both"/>
        <w:ind w:firstLine="807"/>
        <w:spacing w:after="0" w:line="274" w:lineRule="auto"/>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of any such increase or tranche of Incremental Term Loans,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except in the case of any Incremental Term Loans, the Borrower shall be deemed to have repaid and reborrowed all outstanding Revolving Loans as of the date of any increase (or addition) in the Revolving Commitments (with such reborrowing to consist of the Types of Revolving Loans, with related Interest Periods if applicable, specified by the Borrower to the Administrative Agent). The deemed payments made pursuant to clause (ii) of the immediately preceding sentence shall be accompanied by payment of all accrued interest on the amount prepaid and, to the extent applicable, shall be subject to indemnification by the Borrower pursuant to the provisions of Section 2.16. The Incremental Term Loans (x) shall rank pari passu in right of payment with the Revolving Loans, (y) shall not mature earlier than the Revolving Credit Maturity Date in effect at such time (but may have amortization prior to such date so long as the weighted average life to maturity of any Incremental Term Loans shall be no shorter than the remaining weighted average life to maturity of any other Incremental Term Loans (if any) outstanding at such time) and (z) shall be treated substantially the same as (and in any event no more favorably than)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terms and conditions applicable to any tranche of Incremental Term Loans maturing after the Revolving Credit Maturity Date in effect at such time may provide for material additional or different financial or other covenants or prepayment requirements applicable only during periods after the Revolving Credit Maturity Date and</w:t>
      </w:r>
    </w:p>
    <w:p>
      <w:pPr>
        <w:spacing w:after="0" w:line="21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Term Loans may be priced differently than the Revolving Loans.</w:t>
      </w:r>
    </w:p>
    <w:p>
      <w:pPr>
        <w:spacing w:after="0" w:line="222" w:lineRule="exact"/>
        <w:rPr>
          <w:rFonts w:ascii="Times New Roman" w:cs="Times New Roman" w:eastAsia="Times New Roman" w:hAnsi="Times New Roman"/>
          <w:sz w:val="20"/>
          <w:szCs w:val="20"/>
          <w:color w:val="auto"/>
        </w:rPr>
      </w:pPr>
    </w:p>
    <w:p>
      <w:pPr>
        <w:jc w:val="both"/>
        <w:ind w:firstLine="807"/>
        <w:spacing w:after="0" w:line="281"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conditions, any Incremental Term Loans or increase in the Revolving Commitments may be made hereunder pursuant to an amendment or restatement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of this Agreement and, as appropriate, the other Loan Documents, executed by the Borrower, each Lender participating in such tranche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Incremental Term Loans and increase in the Revolving Commitments. Within a reasonable time after the effective date of any increase or addition, the Administrative Agent shall, and is hereby authorized and directed to, revise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such increase or addition and shall distribute such revised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each of the Lenders and the Borrower, whereupon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9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 xml:space="preserve">revised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shall replace the old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become part of this Agreement.</w:t>
      </w:r>
    </w:p>
    <w:p>
      <w:pPr>
        <w:spacing w:after="0" w:line="250" w:lineRule="exact"/>
        <w:rPr>
          <w:sz w:val="20"/>
          <w:szCs w:val="20"/>
          <w:color w:val="auto"/>
        </w:rPr>
      </w:pPr>
    </w:p>
    <w:p>
      <w:pPr>
        <w:jc w:val="both"/>
        <w:ind w:firstLine="807"/>
        <w:spacing w:after="0" w:line="250" w:lineRule="auto"/>
        <w:tabs>
          <w:tab w:leader="none" w:pos="105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increase of the Revolving Commitments or Incremental Term Loans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“know your customer” and anti-money laundering rules and regulations, including without limitation, the USA PATRIOT Act.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727"/>
        <w:spacing w:after="0" w:line="288" w:lineRule="auto"/>
        <w:tabs>
          <w:tab w:leader="none" w:pos="9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unconditionally promises to pay in dollars (i) to the Administrative Agent for the account of each Lender the then unpaid principal amount of each Revolving Loan on the Revolving Credit Maturity Date, and (ii) to the Swingline Lender the then unpaid principal amount of each Swingline Loan on the earlier of the Revolving Credit Maturity Date and the fifth Business Day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172" w:lineRule="exact"/>
        <w:rPr>
          <w:rFonts w:ascii="Times New Roman" w:cs="Times New Roman" w:eastAsia="Times New Roman" w:hAnsi="Times New Roman"/>
          <w:sz w:val="18"/>
          <w:szCs w:val="18"/>
          <w:color w:val="auto"/>
        </w:rPr>
      </w:pPr>
    </w:p>
    <w:p>
      <w:pPr>
        <w:jc w:val="both"/>
        <w:ind w:firstLine="727"/>
        <w:spacing w:after="0" w:line="256" w:lineRule="auto"/>
        <w:tabs>
          <w:tab w:leader="none" w:pos="102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11" w:lineRule="exact"/>
        <w:rPr>
          <w:rFonts w:ascii="Times New Roman" w:cs="Times New Roman" w:eastAsia="Times New Roman" w:hAnsi="Times New Roman"/>
          <w:sz w:val="20"/>
          <w:szCs w:val="20"/>
          <w:color w:val="auto"/>
        </w:rPr>
      </w:pPr>
    </w:p>
    <w:p>
      <w:pPr>
        <w:jc w:val="both"/>
        <w:ind w:firstLine="727"/>
        <w:spacing w:after="0" w:line="254" w:lineRule="auto"/>
        <w:tabs>
          <w:tab w:leader="none" w:pos="99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rFonts w:ascii="Times New Roman" w:cs="Times New Roman" w:eastAsia="Times New Roman" w:hAnsi="Times New Roman"/>
          <w:sz w:val="20"/>
          <w:szCs w:val="20"/>
          <w:color w:val="auto"/>
        </w:rPr>
      </w:pPr>
    </w:p>
    <w:p>
      <w:pPr>
        <w:jc w:val="both"/>
        <w:ind w:firstLine="727"/>
        <w:spacing w:after="0" w:line="256" w:lineRule="auto"/>
        <w:tabs>
          <w:tab w:leader="none" w:pos="10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Obligations.</w:t>
      </w:r>
    </w:p>
    <w:p>
      <w:pPr>
        <w:spacing w:after="0" w:line="211" w:lineRule="exact"/>
        <w:rPr>
          <w:rFonts w:ascii="Times New Roman" w:cs="Times New Roman" w:eastAsia="Times New Roman" w:hAnsi="Times New Roman"/>
          <w:sz w:val="20"/>
          <w:szCs w:val="20"/>
          <w:color w:val="auto"/>
        </w:rPr>
      </w:pPr>
    </w:p>
    <w:p>
      <w:pPr>
        <w:jc w:val="both"/>
        <w:ind w:firstLine="727"/>
        <w:spacing w:after="0" w:line="291" w:lineRule="auto"/>
        <w:tabs>
          <w:tab w:leader="none" w:pos="10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firstLine="647"/>
        <w:spacing w:after="0" w:line="275" w:lineRule="auto"/>
        <w:tabs>
          <w:tab w:leader="none" w:pos="91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and from time to time to prepay any Borrowing in whole or in part, subject to prior notice in accordance with paragraph (c) of this Section and, if applicable, payment of any break funding expenses under Section 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97" w:right="339" w:bottom="1440" w:gutter="0" w:footer="0" w:header="0"/>
        </w:sectPr>
      </w:pPr>
    </w:p>
    <w:bookmarkStart w:id="95" w:name="page96"/>
    <w:bookmarkEnd w:id="95"/>
    <w:p>
      <w:pPr>
        <w:jc w:val="both"/>
        <w:ind w:firstLine="647"/>
        <w:spacing w:after="0" w:line="250" w:lineRule="auto"/>
        <w:tabs>
          <w:tab w:leader="none" w:pos="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and on such occasion that the Aggregate Revolving Exposure exceeds the aggregate Revolving Commitments, the Borrower shall prepay the Revolving Loans, LC Exposure and/or Swingline Loans (or, if no such Borrowings are outstanding, deposit cash collateral in the LC Collateral Account in an aggregate amount equal to such excess, in accordance with Section 2.06(j)) in an aggregate principal amount sufficient to cause the aggregate principal amount of all Revolving Exposures to be less than or equal to the aggregate Revolving Commitments.</w:t>
      </w:r>
    </w:p>
    <w:p>
      <w:pPr>
        <w:spacing w:after="0" w:line="216" w:lineRule="exact"/>
        <w:rPr>
          <w:rFonts w:ascii="Times New Roman" w:cs="Times New Roman" w:eastAsia="Times New Roman" w:hAnsi="Times New Roman"/>
          <w:sz w:val="20"/>
          <w:szCs w:val="20"/>
          <w:color w:val="auto"/>
        </w:rPr>
      </w:pPr>
    </w:p>
    <w:p>
      <w:pPr>
        <w:jc w:val="both"/>
        <w:ind w:firstLine="647"/>
        <w:spacing w:after="0" w:line="246" w:lineRule="auto"/>
        <w:tabs>
          <w:tab w:leader="none" w:pos="9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(and, in the case of prepayment of a Swingline Loan, the Swingline Lender) by fax or through any Electronic System, if arrangements for doing so have been approved by the Administrative Agent, of any prepayment under this Section: (i) in the case of prepayment of a Term Benchmark Borrowing, not later than 12:00 noon, New York City time, three (3) Business Days before the date of prepayment, (ii) in the case of an RFR Borrowing, not later than 12:00 noon, New York City time, five (5) Business Days before the date of prepayment, (iii) in the case of prepayment of an ABR Revolving Borrowing (other than a Swingline Loan), not later than 12:00 noon, New York City time, on the date of prepayment or (iv)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807"/>
        <w:spacing w:after="0" w:line="248" w:lineRule="auto"/>
        <w:tabs>
          <w:tab w:leader="none" w:pos="107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to the Administrative Agent a commitment fee for the account of each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provided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Commitment fees accrued through and including the last day of March, June, September and December of each year shall be payable in arrears on the thirtieth (30th) day following such last day and on the date on which the Revolving Commitments terminate, commencing on the first such date to occur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last day of each period but excluding the date on which the Revolving Commitments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98" w:right="339" w:bottom="1440" w:gutter="0" w:footer="0" w:header="0"/>
        </w:sectPr>
      </w:pPr>
    </w:p>
    <w:bookmarkStart w:id="96" w:name="page97"/>
    <w:bookmarkEnd w:id="96"/>
    <w:p>
      <w:pPr>
        <w:jc w:val="both"/>
        <w:ind w:firstLine="807"/>
        <w:spacing w:after="0" w:line="246" w:lineRule="auto"/>
        <w:tabs>
          <w:tab w:leader="none" w:pos="108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(i) to the Administrative Agent for the account of each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 shall accrue at the rate or rates per annum separately agreed upon between the Borrower and the Issuing Bank on the daily maximum stated amount then available to be drawn under each outstanding Letter of Credit,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or extension of any Letter of Credit and other processing fees, and other standard costs and charges, of the Issuing Bank relating to Letters of Credit as from time to time in effect. Participation fees and fronting fees accrued through and including the last day of each March, June, September and December of each year shall be payable on the thirtieth (30th)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22" w:lineRule="exact"/>
        <w:rPr>
          <w:rFonts w:ascii="Times New Roman" w:cs="Times New Roman" w:eastAsia="Times New Roman" w:hAnsi="Times New Roman"/>
          <w:sz w:val="20"/>
          <w:szCs w:val="20"/>
          <w:color w:val="auto"/>
        </w:rPr>
      </w:pPr>
    </w:p>
    <w:p>
      <w:pPr>
        <w:ind w:firstLine="647"/>
        <w:spacing w:after="0" w:line="275" w:lineRule="auto"/>
        <w:tabs>
          <w:tab w:leader="none" w:pos="9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80" w:lineRule="exact"/>
        <w:rPr>
          <w:rFonts w:ascii="Times New Roman" w:cs="Times New Roman" w:eastAsia="Times New Roman" w:hAnsi="Times New Roman"/>
          <w:sz w:val="20"/>
          <w:szCs w:val="20"/>
          <w:color w:val="auto"/>
        </w:rPr>
      </w:pPr>
    </w:p>
    <w:p>
      <w:pPr>
        <w:jc w:val="both"/>
        <w:ind w:firstLine="647"/>
        <w:spacing w:after="0" w:line="256" w:lineRule="auto"/>
        <w:tabs>
          <w:tab w:leader="none" w:pos="91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2.13. Interest</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firstLine="647"/>
        <w:spacing w:after="0" w:line="262" w:lineRule="auto"/>
        <w:tabs>
          <w:tab w:leader="none" w:pos="90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ABR Borrowing (including each Swingline Loan) shall bear interest at the Alternate Base Rate plus the Applicable Rate.</w:t>
      </w:r>
    </w:p>
    <w:p>
      <w:pPr>
        <w:spacing w:after="0" w:line="205" w:lineRule="exact"/>
        <w:rPr>
          <w:rFonts w:ascii="Times New Roman" w:cs="Times New Roman" w:eastAsia="Times New Roman" w:hAnsi="Times New Roman"/>
          <w:sz w:val="20"/>
          <w:szCs w:val="20"/>
          <w:color w:val="auto"/>
        </w:rPr>
      </w:pPr>
    </w:p>
    <w:p>
      <w:pPr>
        <w:ind w:firstLine="647"/>
        <w:spacing w:after="0" w:line="262" w:lineRule="auto"/>
        <w:tabs>
          <w:tab w:leader="none" w:pos="9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Term Benchmark Borrowing shall bear interest at the Adjusted Term SOFR Rate for the Interest Period in effect for such Borrowing plus the Applicable Rate.</w:t>
      </w:r>
    </w:p>
    <w:p>
      <w:pPr>
        <w:spacing w:after="0" w:line="205"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RFR Loan shall bear interest at a rate per annum equal to the Adjusted Daily Simple SOFR plus the Applicable Rate.</w:t>
      </w:r>
    </w:p>
    <w:p>
      <w:pPr>
        <w:spacing w:after="0" w:line="250" w:lineRule="exact"/>
        <w:rPr>
          <w:rFonts w:ascii="Times New Roman" w:cs="Times New Roman" w:eastAsia="Times New Roman" w:hAnsi="Times New Roman"/>
          <w:sz w:val="20"/>
          <w:szCs w:val="20"/>
          <w:color w:val="auto"/>
        </w:rPr>
      </w:pPr>
    </w:p>
    <w:p>
      <w:pPr>
        <w:jc w:val="both"/>
        <w:ind w:firstLine="647"/>
        <w:spacing w:after="0" w:line="256" w:lineRule="auto"/>
        <w:tabs>
          <w:tab w:leader="none" w:pos="93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during the occurrence and continuance of an Event of Default pursuant to any of clauses (a), (b), (h), (i) or (j) of Article VII, all Loans shall bear interest at 2% plus the rate otherwise applicable to such Loans as provided in the preceding paragraphs of this Section. For the avoidance of doubt, any amount owing pursuant to this clause (d) shall be payable on demand.</w:t>
      </w:r>
    </w:p>
    <w:p>
      <w:pPr>
        <w:spacing w:after="0" w:line="198" w:lineRule="exact"/>
        <w:rPr>
          <w:rFonts w:ascii="Times New Roman" w:cs="Times New Roman" w:eastAsia="Times New Roman" w:hAnsi="Times New Roman"/>
          <w:sz w:val="20"/>
          <w:szCs w:val="20"/>
          <w:color w:val="auto"/>
        </w:rPr>
      </w:pPr>
    </w:p>
    <w:p>
      <w:pPr>
        <w:ind w:firstLine="647"/>
        <w:spacing w:after="0" w:line="275" w:lineRule="auto"/>
        <w:tabs>
          <w:tab w:leader="none" w:pos="94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interest on each Loan shall be payable in arrears on each Interest Payment Date for such Loan and, in the case of Revolving Loans, upon termination of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97" w:right="339" w:bottom="1440" w:gutter="0" w:footer="0" w:header="0"/>
        </w:sectPr>
      </w:pPr>
    </w:p>
    <w:bookmarkStart w:id="97" w:name="page98"/>
    <w:bookmarkEnd w:id="97"/>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17" w:lineRule="exact"/>
        <w:rPr>
          <w:sz w:val="20"/>
          <w:szCs w:val="20"/>
          <w:color w:val="auto"/>
        </w:rPr>
      </w:pPr>
    </w:p>
    <w:p>
      <w:pPr>
        <w:jc w:val="both"/>
        <w:ind w:firstLine="647"/>
        <w:spacing w:after="0" w:line="250" w:lineRule="auto"/>
        <w:tabs>
          <w:tab w:leader="none" w:pos="91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Daily Simple SOFR or Daily Simple SOFR shall be determined by the Administrative Agent, and such determination shall be conclusive absent manifest error.</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2.14. Alternate Rate of Interest</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Subject to clauses (b), (c), (d), (e) and (f) of this Section 2.14, if:</w:t>
      </w:r>
    </w:p>
    <w:p>
      <w:pPr>
        <w:spacing w:after="0" w:line="223" w:lineRule="exact"/>
        <w:rPr>
          <w:sz w:val="20"/>
          <w:szCs w:val="20"/>
          <w:color w:val="auto"/>
        </w:rPr>
      </w:pPr>
    </w:p>
    <w:p>
      <w:pPr>
        <w:jc w:val="both"/>
        <w:ind w:firstLine="647"/>
        <w:spacing w:after="0" w:line="253" w:lineRule="auto"/>
        <w:tabs>
          <w:tab w:leader="none" w:pos="8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or the Term SOFR Rate (including, without limitation, because the Term SOFR Reference Rate is not available or published on a current basis), for such Interest Period or (B) at any time, that adequate and reasonable means do not exist for ascertaining the applicable Adjusted Daily Simple SOFR or Daily Simple SOFR for an RFR Loan; or</w:t>
      </w:r>
    </w:p>
    <w:p>
      <w:pPr>
        <w:spacing w:after="0" w:line="202" w:lineRule="exact"/>
        <w:rPr>
          <w:rFonts w:ascii="Times New Roman" w:cs="Times New Roman" w:eastAsia="Times New Roman" w:hAnsi="Times New Roman"/>
          <w:sz w:val="20"/>
          <w:szCs w:val="20"/>
          <w:color w:val="auto"/>
        </w:rPr>
      </w:pPr>
    </w:p>
    <w:p>
      <w:pPr>
        <w:jc w:val="both"/>
        <w:ind w:firstLine="647"/>
        <w:spacing w:after="0" w:line="253" w:lineRule="auto"/>
        <w:tabs>
          <w:tab w:leader="none" w:pos="93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that the Adjusted Term SOFR Rate for the applicable Interest Period will not adequately and fairly reflect the cost to such Lenders (or Lender) of making or maintaining their Loans (or Loan) included in such Borrowing for such Interest Period, or (B) at any time, the applicable Adjusted Daily Simple SOFR for an RFR Loan will not adequately and fairly reflect the cost to such Lenders (or Lender) of making or maintaining their Loans (or its Loan) included in such Borrowing;</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Borrower and the Lenders through any Electronic System as provided in Section 9.01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(1) an RFR Borrowing so long as the Adjusted Daily Simple SOFR is not also the subject of Section 2.14(a)(i) or</w:t>
      </w:r>
    </w:p>
    <w:p>
      <w:pPr>
        <w:spacing w:after="0" w:line="3" w:lineRule="exact"/>
        <w:rPr>
          <w:sz w:val="20"/>
          <w:szCs w:val="20"/>
          <w:color w:val="auto"/>
        </w:rPr>
      </w:pPr>
    </w:p>
    <w:p>
      <w:pPr>
        <w:ind w:firstLine="7"/>
        <w:spacing w:after="0" w:line="253"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or (2) an ABR Borrowing if the Adjusted Daily Simple SOFR also is the subject of Section 2.14(a)(i) or (ii) above, and (B) any outstanding RFR Borrowing shall be converted to an ABR Borrowing at such time. Furthermore,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98" w:right="339" w:bottom="1440" w:gutter="0" w:footer="0" w:header="0"/>
        </w:sectPr>
      </w:pPr>
    </w:p>
    <w:bookmarkStart w:id="98" w:name="page99"/>
    <w:bookmarkEnd w:id="98"/>
    <w:p>
      <w:pPr>
        <w:jc w:val="both"/>
        <w:spacing w:after="0" w:line="280" w:lineRule="auto"/>
        <w:rPr>
          <w:sz w:val="20"/>
          <w:szCs w:val="20"/>
          <w:color w:val="auto"/>
        </w:rPr>
      </w:pPr>
      <w:r>
        <w:rPr>
          <w:rFonts w:ascii="Times New Roman" w:cs="Times New Roman" w:eastAsia="Times New Roman" w:hAnsi="Times New Roman"/>
          <w:sz w:val="18"/>
          <w:szCs w:val="18"/>
          <w:color w:val="auto"/>
        </w:rPr>
        <w:t>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2.14(a)(i) or (ii) above or (y) an ABR Loan if the Adjusted Daily Simple SOFR also is the subject of Section 2.14(a)(i) or (ii) above, on such day, and (2) any RFR Loan shall on and from such day be converted by the Administrative Agent to, and shall constitute an ABR Loan.</w:t>
      </w:r>
    </w:p>
    <w:p>
      <w:pPr>
        <w:spacing w:after="0" w:line="200" w:lineRule="exact"/>
        <w:rPr>
          <w:sz w:val="20"/>
          <w:szCs w:val="20"/>
          <w:color w:val="auto"/>
        </w:rPr>
      </w:pPr>
    </w:p>
    <w:p>
      <w:pPr>
        <w:spacing w:after="0" w:line="216" w:lineRule="exact"/>
        <w:rPr>
          <w:sz w:val="20"/>
          <w:szCs w:val="20"/>
          <w:color w:val="auto"/>
        </w:rPr>
      </w:pPr>
    </w:p>
    <w:p>
      <w:pPr>
        <w:jc w:val="both"/>
        <w:ind w:firstLine="647"/>
        <w:spacing w:after="0" w:line="247" w:lineRule="auto"/>
        <w:tabs>
          <w:tab w:leader="none" w:pos="92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15" w:lineRule="exact"/>
        <w:rPr>
          <w:rFonts w:ascii="Times New Roman" w:cs="Times New Roman" w:eastAsia="Times New Roman" w:hAnsi="Times New Roman"/>
          <w:sz w:val="20"/>
          <w:szCs w:val="20"/>
          <w:color w:val="auto"/>
        </w:rPr>
      </w:pPr>
    </w:p>
    <w:p>
      <w:pPr>
        <w:jc w:val="both"/>
        <w:ind w:firstLine="647"/>
        <w:spacing w:after="0" w:line="254" w:lineRule="auto"/>
        <w:tabs>
          <w:tab w:leader="none" w:pos="91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13" w:lineRule="exact"/>
        <w:rPr>
          <w:rFonts w:ascii="Times New Roman" w:cs="Times New Roman" w:eastAsia="Times New Roman" w:hAnsi="Times New Roman"/>
          <w:sz w:val="20"/>
          <w:szCs w:val="20"/>
          <w:color w:val="auto"/>
        </w:rPr>
      </w:pPr>
    </w:p>
    <w:p>
      <w:pPr>
        <w:jc w:val="both"/>
        <w:ind w:firstLine="647"/>
        <w:spacing w:after="0" w:line="278" w:lineRule="auto"/>
        <w:tabs>
          <w:tab w:leader="none" w:pos="93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and the Lenders of (i) any occurrence of a Benchmark Transition Event, (ii) the implementation of any Benchmark Replacement, (iii) the effectiveness of any Benchmark Replacement Conforming Changes,</w:t>
      </w:r>
    </w:p>
    <w:p>
      <w:pPr>
        <w:spacing w:after="0" w:line="1" w:lineRule="exact"/>
        <w:rPr>
          <w:rFonts w:ascii="Times New Roman" w:cs="Times New Roman" w:eastAsia="Times New Roman" w:hAnsi="Times New Roman"/>
          <w:sz w:val="18"/>
          <w:szCs w:val="18"/>
          <w:color w:val="auto"/>
        </w:rPr>
      </w:pPr>
    </w:p>
    <w:p>
      <w:pPr>
        <w:jc w:val="both"/>
        <w:ind w:firstLine="7"/>
        <w:spacing w:after="0" w:line="246" w:lineRule="auto"/>
        <w:tabs>
          <w:tab w:leader="none" w:pos="3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98" w:right="339" w:bottom="1440" w:gutter="0" w:footer="0" w:header="0"/>
        </w:sectPr>
      </w:pPr>
    </w:p>
    <w:bookmarkStart w:id="99" w:name="page100"/>
    <w:bookmarkEnd w:id="99"/>
    <w:p>
      <w:pPr>
        <w:spacing w:after="0" w:line="275" w:lineRule="auto"/>
        <w:rPr>
          <w:sz w:val="20"/>
          <w:szCs w:val="20"/>
          <w:color w:val="auto"/>
        </w:rPr>
      </w:pPr>
      <w:r>
        <w:rPr>
          <w:rFonts w:ascii="Times New Roman" w:cs="Times New Roman" w:eastAsia="Times New Roman" w:hAnsi="Times New Roman"/>
          <w:sz w:val="20"/>
          <w:szCs w:val="20"/>
          <w:color w:val="auto"/>
        </w:rPr>
        <w:t>their sole discretion and without consent from any other party to this Agreement or any other Loan Document, except, in each case, as expressly required pursuant to this Section 2.14.</w:t>
      </w:r>
    </w:p>
    <w:p>
      <w:pPr>
        <w:spacing w:after="0" w:line="180" w:lineRule="exact"/>
        <w:rPr>
          <w:sz w:val="20"/>
          <w:szCs w:val="20"/>
          <w:color w:val="auto"/>
        </w:rPr>
      </w:pPr>
    </w:p>
    <w:p>
      <w:pPr>
        <w:jc w:val="both"/>
        <w:ind w:firstLine="647"/>
        <w:spacing w:after="0" w:line="247" w:lineRule="auto"/>
        <w:tabs>
          <w:tab w:leader="none" w:pos="92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(in consultation with the Borrower)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(in consultation with the Borrower) modify the definition of “Interest Period” for all Benchmark settings at or after such time to reinstate such previously removed tenor.</w:t>
      </w:r>
    </w:p>
    <w:p>
      <w:pPr>
        <w:spacing w:after="0" w:line="225" w:lineRule="exact"/>
        <w:rPr>
          <w:rFonts w:ascii="Times New Roman" w:cs="Times New Roman" w:eastAsia="Times New Roman" w:hAnsi="Times New Roman"/>
          <w:sz w:val="20"/>
          <w:szCs w:val="20"/>
          <w:color w:val="auto"/>
        </w:rPr>
      </w:pPr>
    </w:p>
    <w:p>
      <w:pPr>
        <w:jc w:val="both"/>
        <w:ind w:firstLine="647"/>
        <w:spacing w:after="0" w:line="276" w:lineRule="auto"/>
        <w:tabs>
          <w:tab w:leader="none" w:pos="8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with respect to any Relevant Rate, (i) in the case of a Term Benchmark Borrowing,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 an RFR Borrowing so long as the Adjusted Daily Simple SOFR is not the subject of a Benchmark Transition Event or (B) an ABR Borrowing if the Adjusted Daily Simple SOFR is the subject of a Benchmark Transition Event, and (ii) in the case of any outstanding RFR Borrowing, such Borrowing shall on and from such day be converted by the Administrative Agent to, and shall constitute, an ABR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2.15. Increased Costs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If any Change in Law shall:</w:t>
      </w:r>
    </w:p>
    <w:p>
      <w:pPr>
        <w:spacing w:after="0" w:line="237" w:lineRule="exact"/>
        <w:rPr>
          <w:sz w:val="20"/>
          <w:szCs w:val="20"/>
          <w:color w:val="auto"/>
        </w:rPr>
      </w:pPr>
    </w:p>
    <w:p>
      <w:pPr>
        <w:jc w:val="both"/>
        <w:ind w:firstLine="647"/>
        <w:spacing w:after="0" w:line="263" w:lineRule="auto"/>
        <w:tabs>
          <w:tab w:leader="none" w:pos="8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97" w:right="339" w:bottom="1440" w:gutter="0" w:footer="0" w:header="0"/>
        </w:sectPr>
      </w:pPr>
    </w:p>
    <w:bookmarkStart w:id="100" w:name="page101"/>
    <w:bookmarkEnd w:id="100"/>
    <w:p>
      <w:pPr>
        <w:spacing w:after="0" w:line="198" w:lineRule="exact"/>
        <w:rPr>
          <w:sz w:val="20"/>
          <w:szCs w:val="20"/>
          <w:color w:val="auto"/>
        </w:rPr>
      </w:pPr>
    </w:p>
    <w:p>
      <w:pPr>
        <w:ind w:firstLine="647"/>
        <w:spacing w:after="0" w:line="275" w:lineRule="auto"/>
        <w:tabs>
          <w:tab w:leader="none" w:pos="95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Issuing Bank or the applicable interbank market any other condition, cost or expense (other than Taxes) affecting this Agreement or Loans made by such Lender or any Letter of Credit or participation therein; or</w:t>
      </w:r>
    </w:p>
    <w:p>
      <w:pPr>
        <w:spacing w:after="0" w:line="180" w:lineRule="exact"/>
        <w:rPr>
          <w:rFonts w:ascii="Times New Roman" w:cs="Times New Roman" w:eastAsia="Times New Roman" w:hAnsi="Times New Roman"/>
          <w:sz w:val="20"/>
          <w:szCs w:val="20"/>
          <w:color w:val="auto"/>
        </w:rPr>
      </w:pPr>
    </w:p>
    <w:p>
      <w:pPr>
        <w:jc w:val="both"/>
        <w:ind w:firstLine="647"/>
        <w:spacing w:after="0" w:line="256" w:lineRule="auto"/>
        <w:tabs>
          <w:tab w:leader="none" w:pos="101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90" w:lineRule="exact"/>
        <w:rPr>
          <w:sz w:val="20"/>
          <w:szCs w:val="20"/>
          <w:color w:val="auto"/>
        </w:rPr>
      </w:pPr>
    </w:p>
    <w:p>
      <w:pPr>
        <w:jc w:val="both"/>
        <w:ind w:firstLine="647"/>
        <w:spacing w:after="0" w:line="246" w:lineRule="auto"/>
        <w:tabs>
          <w:tab w:leader="none" w:pos="9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226" w:lineRule="exact"/>
        <w:rPr>
          <w:rFonts w:ascii="Times New Roman" w:cs="Times New Roman" w:eastAsia="Times New Roman" w:hAnsi="Times New Roman"/>
          <w:sz w:val="20"/>
          <w:szCs w:val="20"/>
          <w:color w:val="auto"/>
        </w:rPr>
      </w:pPr>
    </w:p>
    <w:p>
      <w:pPr>
        <w:jc w:val="both"/>
        <w:ind w:firstLine="647"/>
        <w:spacing w:after="0" w:line="254" w:lineRule="auto"/>
        <w:tabs>
          <w:tab w:leader="none" w:pos="92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days after receipt thereof.</w:t>
      </w:r>
    </w:p>
    <w:p>
      <w:pPr>
        <w:spacing w:after="0" w:line="200" w:lineRule="exact"/>
        <w:rPr>
          <w:rFonts w:ascii="Times New Roman" w:cs="Times New Roman" w:eastAsia="Times New Roman" w:hAnsi="Times New Roman"/>
          <w:sz w:val="20"/>
          <w:szCs w:val="20"/>
          <w:color w:val="auto"/>
        </w:rPr>
      </w:pPr>
    </w:p>
    <w:p>
      <w:pPr>
        <w:jc w:val="both"/>
        <w:ind w:firstLine="647"/>
        <w:spacing w:after="0" w:line="250" w:lineRule="auto"/>
        <w:tabs>
          <w:tab w:leader="none" w:pos="91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2.16. Break Funding Payments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8" w:lineRule="auto"/>
        <w:tabs>
          <w:tab w:leader="none" w:pos="9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Loans that are not RFR Loans, in the event of (i) the payment of any principal of any Term Benchmark Loan other than on the last day of an Interest Period applicable thereto (including as a result of an Event of Default or as a result of any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or (iv) the assignment of any Term Benchmark Loan other than on the last day of the Interest Period applicable thereto as a result of a request by the Borrower pursuant to Section 2.19 or 9.02(d), then, in any such event, the Borrower shall compensate each Lender for the loss, cost and expense attributable to such event.</w:t>
      </w:r>
    </w:p>
    <w:p>
      <w:pPr>
        <w:spacing w:after="0" w:line="206" w:lineRule="exact"/>
        <w:rPr>
          <w:rFonts w:ascii="Times New Roman" w:cs="Times New Roman" w:eastAsia="Times New Roman" w:hAnsi="Times New Roman"/>
          <w:sz w:val="20"/>
          <w:szCs w:val="20"/>
          <w:color w:val="auto"/>
        </w:rPr>
      </w:pPr>
    </w:p>
    <w:p>
      <w:pPr>
        <w:jc w:val="both"/>
        <w:ind w:firstLine="647"/>
        <w:spacing w:after="0" w:line="250" w:lineRule="auto"/>
        <w:tabs>
          <w:tab w:leader="none" w:pos="92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2.09(d) and is revoked in accordance therewith), or (iii) the assignment of any RFR Loan other than on the Interest Payment Date applicable thereto as a result of a request by the Borrower pursuant to Section 2.19 or 9.02(d), then, in any such event, the Borrower shall compensate each Lender for the loss, cost and expense attributable to such event.</w:t>
      </w:r>
    </w:p>
    <w:p>
      <w:pPr>
        <w:spacing w:after="0" w:line="217" w:lineRule="exact"/>
        <w:rPr>
          <w:rFonts w:ascii="Times New Roman" w:cs="Times New Roman" w:eastAsia="Times New Roman" w:hAnsi="Times New Roman"/>
          <w:sz w:val="20"/>
          <w:szCs w:val="20"/>
          <w:color w:val="auto"/>
        </w:rPr>
      </w:pPr>
    </w:p>
    <w:p>
      <w:pPr>
        <w:jc w:val="both"/>
        <w:ind w:firstLine="647"/>
        <w:spacing w:after="0" w:line="256" w:lineRule="auto"/>
        <w:tabs>
          <w:tab w:leader="none" w:pos="90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ten (10) days after receipt thereof.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2.17. Taxes</w:t>
      </w:r>
      <w:r>
        <w:rPr>
          <w:rFonts w:ascii="Times New Roman" w:cs="Times New Roman" w:eastAsia="Times New Roman" w:hAnsi="Times New Roman"/>
          <w:sz w:val="20"/>
          <w:szCs w:val="20"/>
          <w:color w:val="auto"/>
        </w:rPr>
        <w:t>.</w:t>
      </w:r>
    </w:p>
    <w:p>
      <w:pPr>
        <w:spacing w:after="0" w:line="19" w:lineRule="exact"/>
        <w:rPr>
          <w:sz w:val="20"/>
          <w:szCs w:val="20"/>
          <w:color w:val="auto"/>
        </w:rPr>
      </w:pPr>
    </w:p>
    <w:p>
      <w:pPr>
        <w:jc w:val="both"/>
        <w:ind w:firstLine="647"/>
        <w:spacing w:after="0" w:line="245" w:lineRule="auto"/>
        <w:tabs>
          <w:tab w:leader="none" w:pos="916" w:val="left"/>
        </w:tabs>
        <w:numPr>
          <w:ilvl w:val="0"/>
          <w:numId w:val="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Withholding of Taxes; Gross-Up; Payments Free of Taxes</w:t>
      </w:r>
      <w:r>
        <w:rPr>
          <w:rFonts w:ascii="Times New Roman" w:cs="Times New Roman" w:eastAsia="Times New Roman" w:hAnsi="Times New Roman"/>
          <w:sz w:val="20"/>
          <w:szCs w:val="20"/>
          <w:color w:val="auto"/>
        </w:rPr>
        <w:t>. Any and all payments by or on account of any obligation of any Loan Party under any Loan Document (including, without limitation, the Secured Obligations and Guaranteed Obligations of each Loan Party)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226" w:lineRule="exact"/>
        <w:rPr>
          <w:rFonts w:ascii="Times New Roman" w:cs="Times New Roman" w:eastAsia="Times New Roman" w:hAnsi="Times New Roman"/>
          <w:sz w:val="20"/>
          <w:szCs w:val="20"/>
          <w:u w:val="single" w:color="auto"/>
          <w:color w:val="auto"/>
        </w:rPr>
      </w:pPr>
    </w:p>
    <w:p>
      <w:pPr>
        <w:ind w:firstLine="647"/>
        <w:spacing w:after="0" w:line="262" w:lineRule="auto"/>
        <w:tabs>
          <w:tab w:leader="none" w:pos="923" w:val="left"/>
        </w:tabs>
        <w:numPr>
          <w:ilvl w:val="0"/>
          <w:numId w:val="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 of Other Taxes by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205" w:lineRule="exact"/>
        <w:rPr>
          <w:rFonts w:ascii="Times New Roman" w:cs="Times New Roman" w:eastAsia="Times New Roman" w:hAnsi="Times New Roman"/>
          <w:sz w:val="20"/>
          <w:szCs w:val="20"/>
          <w:u w:val="single" w:color="auto"/>
          <w:color w:val="auto"/>
        </w:rPr>
      </w:pPr>
    </w:p>
    <w:p>
      <w:pPr>
        <w:jc w:val="both"/>
        <w:ind w:firstLine="647"/>
        <w:spacing w:after="0" w:line="256" w:lineRule="auto"/>
        <w:tabs>
          <w:tab w:leader="none" w:pos="911" w:val="left"/>
        </w:tabs>
        <w:numPr>
          <w:ilvl w:val="0"/>
          <w:numId w:val="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98" w:right="339" w:bottom="1440" w:gutter="0" w:footer="0" w:header="0"/>
        </w:sectPr>
      </w:pPr>
    </w:p>
    <w:bookmarkStart w:id="102" w:name="page103"/>
    <w:bookmarkEnd w:id="102"/>
    <w:p>
      <w:pPr>
        <w:spacing w:after="0" w:line="275" w:lineRule="auto"/>
        <w:rPr>
          <w:sz w:val="20"/>
          <w:szCs w:val="20"/>
          <w:color w:val="auto"/>
        </w:rPr>
      </w:pPr>
      <w:r>
        <w:rPr>
          <w:rFonts w:ascii="Times New Roman" w:cs="Times New Roman" w:eastAsia="Times New Roman" w:hAnsi="Times New Roman"/>
          <w:sz w:val="20"/>
          <w:szCs w:val="20"/>
          <w:color w:val="auto"/>
        </w:rPr>
        <w:t>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647"/>
        <w:spacing w:after="0" w:line="250" w:lineRule="auto"/>
        <w:tabs>
          <w:tab w:leader="none" w:pos="931"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204" w:lineRule="exact"/>
        <w:rPr>
          <w:rFonts w:ascii="Times New Roman" w:cs="Times New Roman" w:eastAsia="Times New Roman" w:hAnsi="Times New Roman"/>
          <w:sz w:val="20"/>
          <w:szCs w:val="20"/>
          <w:u w:val="single" w:color="auto"/>
          <w:color w:val="auto"/>
        </w:rPr>
      </w:pPr>
    </w:p>
    <w:p>
      <w:pPr>
        <w:jc w:val="both"/>
        <w:ind w:firstLine="647"/>
        <w:spacing w:after="0" w:line="247" w:lineRule="auto"/>
        <w:tabs>
          <w:tab w:leader="none" w:pos="943"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225" w:lineRule="exact"/>
        <w:rPr>
          <w:rFonts w:ascii="Times New Roman" w:cs="Times New Roman" w:eastAsia="Times New Roman" w:hAnsi="Times New Roman"/>
          <w:sz w:val="20"/>
          <w:szCs w:val="20"/>
          <w:u w:val="single" w:color="auto"/>
          <w:color w:val="auto"/>
        </w:rPr>
      </w:pPr>
    </w:p>
    <w:p>
      <w:pPr>
        <w:ind w:left="900" w:hanging="253"/>
        <w:spacing w:after="0"/>
        <w:tabs>
          <w:tab w:leader="none" w:pos="900"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7" w:lineRule="auto"/>
        <w:tabs>
          <w:tab w:leader="none" w:pos="8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 (A),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5" w:lineRule="exact"/>
        <w:rPr>
          <w:rFonts w:ascii="Times New Roman" w:cs="Times New Roman" w:eastAsia="Times New Roman" w:hAnsi="Times New Roman"/>
          <w:sz w:val="20"/>
          <w:szCs w:val="20"/>
          <w:color w:val="auto"/>
        </w:rPr>
      </w:pPr>
    </w:p>
    <w:p>
      <w:pPr>
        <w:ind w:left="940" w:hanging="293"/>
        <w:spacing w:after="0"/>
        <w:tabs>
          <w:tab w:leader="none" w:pos="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97" w:right="339" w:bottom="1440" w:gutter="0" w:footer="0" w:header="0"/>
        </w:sectPr>
      </w:pPr>
    </w:p>
    <w:bookmarkStart w:id="103" w:name="page104"/>
    <w:bookmarkEnd w:id="103"/>
    <w:p>
      <w:pPr>
        <w:ind w:right="160" w:firstLine="647"/>
        <w:spacing w:after="0" w:line="283" w:lineRule="auto"/>
        <w:tabs>
          <w:tab w:leader="none" w:pos="9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90" w:lineRule="exact"/>
        <w:rPr>
          <w:rFonts w:ascii="Times New Roman" w:cs="Times New Roman" w:eastAsia="Times New Roman" w:hAnsi="Times New Roman"/>
          <w:sz w:val="18"/>
          <w:szCs w:val="18"/>
          <w:color w:val="auto"/>
        </w:rPr>
      </w:pPr>
    </w:p>
    <w:p>
      <w:pPr>
        <w:ind w:right="20" w:firstLine="647"/>
        <w:spacing w:after="0" w:line="247" w:lineRule="auto"/>
        <w:tabs>
          <w:tab w:leader="none" w:pos="95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24" w:lineRule="exact"/>
        <w:rPr>
          <w:rFonts w:ascii="Times New Roman" w:cs="Times New Roman" w:eastAsia="Times New Roman" w:hAnsi="Times New Roman"/>
          <w:sz w:val="20"/>
          <w:szCs w:val="20"/>
          <w:color w:val="auto"/>
        </w:rPr>
      </w:pPr>
    </w:p>
    <w:p>
      <w:pPr>
        <w:jc w:val="both"/>
        <w:ind w:left="640" w:firstLine="648"/>
        <w:spacing w:after="0" w:line="278" w:lineRule="auto"/>
        <w:tabs>
          <w:tab w:leader="none" w:pos="15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w:t>
      </w:r>
    </w:p>
    <w:p>
      <w:pPr>
        <w:spacing w:after="0" w:line="2" w:lineRule="exact"/>
        <w:rPr>
          <w:rFonts w:ascii="Times New Roman" w:cs="Times New Roman" w:eastAsia="Times New Roman" w:hAnsi="Times New Roman"/>
          <w:sz w:val="18"/>
          <w:szCs w:val="18"/>
          <w:color w:val="auto"/>
        </w:rPr>
      </w:pPr>
    </w:p>
    <w:p>
      <w:pPr>
        <w:jc w:val="both"/>
        <w:ind w:left="6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06" w:lineRule="exact"/>
        <w:rPr>
          <w:rFonts w:ascii="Times New Roman" w:cs="Times New Roman" w:eastAsia="Times New Roman" w:hAnsi="Times New Roman"/>
          <w:sz w:val="18"/>
          <w:szCs w:val="18"/>
          <w:color w:val="auto"/>
        </w:rPr>
      </w:pPr>
    </w:p>
    <w:p>
      <w:pPr>
        <w:ind w:left="640" w:firstLine="648"/>
        <w:spacing w:after="0" w:line="275" w:lineRule="auto"/>
        <w:tabs>
          <w:tab w:leader="none" w:pos="157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80" w:lineRule="exact"/>
        <w:rPr>
          <w:rFonts w:ascii="Times New Roman" w:cs="Times New Roman" w:eastAsia="Times New Roman" w:hAnsi="Times New Roman"/>
          <w:sz w:val="20"/>
          <w:szCs w:val="20"/>
          <w:color w:val="auto"/>
        </w:rPr>
      </w:pPr>
    </w:p>
    <w:p>
      <w:pPr>
        <w:jc w:val="both"/>
        <w:ind w:left="640" w:firstLine="648"/>
        <w:spacing w:after="0" w:line="253" w:lineRule="auto"/>
        <w:tabs>
          <w:tab w:leader="none" w:pos="157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an executed copy of IRS Form W-8BEN or IRS Form W-8BEN-E, as applicable; or</w:t>
      </w:r>
    </w:p>
    <w:p>
      <w:pPr>
        <w:spacing w:after="0" w:line="202" w:lineRule="exact"/>
        <w:rPr>
          <w:rFonts w:ascii="Times New Roman" w:cs="Times New Roman" w:eastAsia="Times New Roman" w:hAnsi="Times New Roman"/>
          <w:sz w:val="20"/>
          <w:szCs w:val="20"/>
          <w:color w:val="auto"/>
        </w:rPr>
      </w:pPr>
    </w:p>
    <w:p>
      <w:pPr>
        <w:jc w:val="both"/>
        <w:ind w:left="640" w:firstLine="648"/>
        <w:spacing w:after="0" w:line="250" w:lineRule="auto"/>
        <w:tabs>
          <w:tab w:leader="none" w:pos="156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 or IRS Form W-8BEN-E, as applicable, a U.S. Tax Compliance Certificate substantially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D-3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D-4</w:t>
      </w:r>
      <w:r>
        <w:rPr>
          <w:rFonts w:ascii="Times New Roman" w:cs="Times New Roman" w:eastAsia="Times New Roman" w:hAnsi="Times New Roman"/>
          <w:sz w:val="20"/>
          <w:szCs w:val="20"/>
          <w:color w:val="auto"/>
        </w:rPr>
        <w:t xml:space="preserve">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98" w:right="339" w:bottom="1440" w:gutter="0" w:footer="0" w:header="0"/>
        </w:sectPr>
      </w:pPr>
    </w:p>
    <w:bookmarkStart w:id="104" w:name="page105"/>
    <w:bookmarkEnd w:id="104"/>
    <w:p>
      <w:pPr>
        <w:ind w:right="20" w:firstLine="647"/>
        <w:spacing w:after="0" w:line="250" w:lineRule="auto"/>
        <w:tabs>
          <w:tab w:leader="none" w:pos="95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17" w:lineRule="exact"/>
        <w:rPr>
          <w:rFonts w:ascii="Times New Roman" w:cs="Times New Roman" w:eastAsia="Times New Roman" w:hAnsi="Times New Roman"/>
          <w:sz w:val="20"/>
          <w:szCs w:val="20"/>
          <w:color w:val="auto"/>
        </w:rPr>
      </w:pPr>
    </w:p>
    <w:p>
      <w:pPr>
        <w:ind w:right="40" w:firstLine="647"/>
        <w:spacing w:after="0" w:line="246" w:lineRule="auto"/>
        <w:tabs>
          <w:tab w:leader="none" w:pos="96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27" w:lineRule="exact"/>
        <w:rPr>
          <w:sz w:val="20"/>
          <w:szCs w:val="20"/>
          <w:color w:val="auto"/>
        </w:rPr>
      </w:pPr>
    </w:p>
    <w:p>
      <w:pPr>
        <w:ind w:firstLine="640"/>
        <w:spacing w:after="0" w:line="333"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3" w:lineRule="exact"/>
        <w:rPr>
          <w:sz w:val="20"/>
          <w:szCs w:val="20"/>
          <w:color w:val="auto"/>
        </w:rPr>
      </w:pPr>
    </w:p>
    <w:p>
      <w:pPr>
        <w:jc w:val="both"/>
        <w:ind w:firstLine="647"/>
        <w:spacing w:after="0" w:line="247" w:lineRule="auto"/>
        <w:tabs>
          <w:tab w:leader="none" w:pos="921"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208" w:lineRule="exact"/>
        <w:rPr>
          <w:rFonts w:ascii="Times New Roman" w:cs="Times New Roman" w:eastAsia="Times New Roman" w:hAnsi="Times New Roman"/>
          <w:sz w:val="20"/>
          <w:szCs w:val="20"/>
          <w:u w:val="single" w:color="auto"/>
          <w:color w:val="auto"/>
        </w:rPr>
      </w:pPr>
    </w:p>
    <w:p>
      <w:pPr>
        <w:jc w:val="both"/>
        <w:ind w:firstLine="647"/>
        <w:spacing w:after="0" w:line="263" w:lineRule="auto"/>
        <w:tabs>
          <w:tab w:leader="none" w:pos="917"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98" w:right="339" w:bottom="1440" w:gutter="0" w:footer="0" w:header="0"/>
        </w:sectPr>
      </w:pPr>
    </w:p>
    <w:bookmarkStart w:id="105" w:name="page106"/>
    <w:bookmarkEnd w:id="105"/>
    <w:p>
      <w:pPr>
        <w:spacing w:after="0" w:line="198" w:lineRule="exact"/>
        <w:rPr>
          <w:sz w:val="20"/>
          <w:szCs w:val="20"/>
          <w:color w:val="auto"/>
        </w:rPr>
      </w:pPr>
    </w:p>
    <w:p>
      <w:pPr>
        <w:ind w:left="880" w:hanging="233"/>
        <w:spacing w:after="0"/>
        <w:tabs>
          <w:tab w:leader="none" w:pos="880" w:val="left"/>
        </w:tabs>
        <w:numPr>
          <w:ilvl w:val="0"/>
          <w:numId w:val="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“applicable law” includes FATCA.</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2.18. Payments Generally; Allocation of Proceeds; Sharing of Set-offs</w:t>
      </w:r>
      <w:r>
        <w:rPr>
          <w:rFonts w:ascii="Times New Roman" w:cs="Times New Roman" w:eastAsia="Times New Roman" w:hAnsi="Times New Roman"/>
          <w:sz w:val="20"/>
          <w:szCs w:val="20"/>
          <w:color w:val="auto"/>
        </w:rPr>
        <w:t>.</w:t>
      </w:r>
    </w:p>
    <w:p>
      <w:pPr>
        <w:spacing w:after="0" w:line="19" w:lineRule="exact"/>
        <w:rPr>
          <w:sz w:val="20"/>
          <w:szCs w:val="20"/>
          <w:color w:val="auto"/>
        </w:rPr>
      </w:pPr>
    </w:p>
    <w:p>
      <w:pPr>
        <w:jc w:val="both"/>
        <w:ind w:firstLine="647"/>
        <w:spacing w:after="0" w:line="275" w:lineRule="auto"/>
        <w:tabs>
          <w:tab w:leader="none" w:pos="9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make each payment or prepayment required to be made by it hereunder (whether of principal, interest, fees or reimbursement of LC Disbursements, or of amounts payable under Sections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 Dearborn St., Chicago IL 60603,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7" w:lineRule="exact"/>
        <w:rPr>
          <w:rFonts w:ascii="Times New Roman" w:cs="Times New Roman" w:eastAsia="Times New Roman" w:hAnsi="Times New Roman"/>
          <w:sz w:val="18"/>
          <w:szCs w:val="18"/>
          <w:color w:val="auto"/>
        </w:rPr>
      </w:pPr>
    </w:p>
    <w:p>
      <w:pPr>
        <w:jc w:val="both"/>
        <w:ind w:firstLine="647"/>
        <w:spacing w:after="0" w:line="275" w:lineRule="auto"/>
        <w:tabs>
          <w:tab w:leader="none" w:pos="9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in each case,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the Swingline Lender and the Issuing Bank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Loan Parties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2.22, ratably,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other Secured Obligation due to the Administrative Agent or any Lender from the Borrower or any other Loan Party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any remainder shall be for the account of the Loan Parties.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thereto, or (ii) in the event, and only to the extent, that there are no outstanding ABR Loans and, in any such event, the Borrower shall pay the break funding payment required in accordance with Section 2.16.</w:t>
      </w:r>
    </w:p>
    <w:p>
      <w:pPr>
        <w:spacing w:after="0" w:line="206" w:lineRule="exact"/>
        <w:rPr>
          <w:rFonts w:ascii="Times New Roman" w:cs="Times New Roman" w:eastAsia="Times New Roman" w:hAnsi="Times New Roman"/>
          <w:sz w:val="18"/>
          <w:szCs w:val="18"/>
          <w:color w:val="auto"/>
        </w:rPr>
      </w:pPr>
    </w:p>
    <w:p>
      <w:pPr>
        <w:ind w:right="20" w:firstLine="6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the foregoing, Secured Obligations arising under Banking Services Obligations or Swap Agreement Obligations shall be excluded from the application described above and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75" w:lineRule="auto"/>
        <w:rPr>
          <w:sz w:val="20"/>
          <w:szCs w:val="20"/>
          <w:color w:val="auto"/>
        </w:rPr>
      </w:pPr>
      <w:r>
        <w:rPr>
          <w:rFonts w:ascii="Times New Roman" w:cs="Times New Roman" w:eastAsia="Times New Roman" w:hAnsi="Times New Roman"/>
          <w:sz w:val="20"/>
          <w:szCs w:val="20"/>
          <w:color w:val="auto"/>
        </w:rPr>
        <w:t xml:space="preserve">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80" w:lineRule="exact"/>
        <w:rPr>
          <w:sz w:val="20"/>
          <w:szCs w:val="20"/>
          <w:color w:val="auto"/>
        </w:rPr>
      </w:pPr>
    </w:p>
    <w:p>
      <w:pPr>
        <w:jc w:val="both"/>
        <w:ind w:firstLine="647"/>
        <w:spacing w:after="0" w:line="277" w:lineRule="auto"/>
        <w:tabs>
          <w:tab w:leader="none" w:pos="9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Borrower,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may be deducted from any deposit account of the Borrower maintained with the Administrative Agent. Upon any such election by the Borrower as provided in the preceding sentence,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if not paid when due hereunder or any other amount due under the Loan Documents. Nothing in this Section 2.18(c) shall limit any right of setoff of the Administrative Agent or the Lenders arising under the Loan Documents (including Section 9.08 of this Agreement) or other applicable law.</w:t>
      </w:r>
    </w:p>
    <w:p>
      <w:pPr>
        <w:spacing w:after="0" w:line="200" w:lineRule="exact"/>
        <w:rPr>
          <w:rFonts w:ascii="Times New Roman" w:cs="Times New Roman" w:eastAsia="Times New Roman" w:hAnsi="Times New Roman"/>
          <w:sz w:val="18"/>
          <w:szCs w:val="18"/>
          <w:color w:val="auto"/>
        </w:rPr>
      </w:pPr>
    </w:p>
    <w:p>
      <w:pPr>
        <w:jc w:val="both"/>
        <w:ind w:firstLine="647"/>
        <w:spacing w:after="0" w:line="246" w:lineRule="auto"/>
        <w:tabs>
          <w:tab w:leader="none" w:pos="92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17" w:lineRule="exact"/>
        <w:rPr>
          <w:rFonts w:ascii="Times New Roman" w:cs="Times New Roman" w:eastAsia="Times New Roman" w:hAnsi="Times New Roman"/>
          <w:sz w:val="20"/>
          <w:szCs w:val="20"/>
          <w:color w:val="auto"/>
        </w:rPr>
      </w:pPr>
    </w:p>
    <w:p>
      <w:pPr>
        <w:jc w:val="both"/>
        <w:ind w:firstLine="647"/>
        <w:spacing w:after="0" w:line="250" w:lineRule="auto"/>
        <w:tabs>
          <w:tab w:leader="none" w:pos="9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prior to any date on which any payment is due to the Administrative Agent for the account of the relevant Lenders or the Issuing Bank pursuant to the terms hereof or any other Loan Document (including any date that is fixed for prepayment by notice from the Borrower to the Administrative Agent pursuant to Section 2.11(f)),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 as the case may be, the amount due.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97" w:right="339" w:bottom="1440" w:gutter="0" w:footer="0" w:header="0"/>
        </w:sectPr>
      </w:pPr>
    </w:p>
    <w:bookmarkStart w:id="107" w:name="page108"/>
    <w:bookmarkEnd w:id="107"/>
    <w:p>
      <w:pPr>
        <w:jc w:val="both"/>
        <w:spacing w:after="0" w:line="250" w:lineRule="auto"/>
        <w:rPr>
          <w:sz w:val="20"/>
          <w:szCs w:val="20"/>
          <w:color w:val="auto"/>
        </w:rPr>
      </w:pPr>
      <w:r>
        <w:rPr>
          <w:rFonts w:ascii="Times New Roman" w:cs="Times New Roman" w:eastAsia="Times New Roman" w:hAnsi="Times New Roman"/>
          <w:sz w:val="20"/>
          <w:szCs w:val="20"/>
          <w:color w:val="auto"/>
        </w:rPr>
        <w:t>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217" w:lineRule="exact"/>
        <w:rPr>
          <w:sz w:val="20"/>
          <w:szCs w:val="20"/>
          <w:color w:val="auto"/>
        </w:rPr>
      </w:pPr>
    </w:p>
    <w:p>
      <w:pPr>
        <w:jc w:val="both"/>
        <w:ind w:firstLine="647"/>
        <w:spacing w:after="0" w:line="248" w:lineRule="auto"/>
        <w:tabs>
          <w:tab w:leader="none" w:pos="89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from time to time provide the Borrower with account statements or invoices with respect to any of the Secured Obligations (the “</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2.19. Mitigation Obligations; Replacement of Lenders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50" w:lineRule="auto"/>
        <w:tabs>
          <w:tab w:leader="none" w:pos="91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4" w:lineRule="exact"/>
        <w:rPr>
          <w:rFonts w:ascii="Times New Roman" w:cs="Times New Roman" w:eastAsia="Times New Roman" w:hAnsi="Times New Roman"/>
          <w:sz w:val="20"/>
          <w:szCs w:val="20"/>
          <w:color w:val="auto"/>
        </w:rPr>
      </w:pPr>
    </w:p>
    <w:p>
      <w:pPr>
        <w:jc w:val="both"/>
        <w:ind w:firstLine="647"/>
        <w:spacing w:after="0" w:line="248" w:lineRule="auto"/>
        <w:tabs>
          <w:tab w:leader="none" w:pos="92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(other than any Ineligible Institution)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98" w:right="339" w:bottom="1440" w:gutter="0" w:footer="0" w:header="0"/>
        </w:sectPr>
      </w:pPr>
    </w:p>
    <w:bookmarkStart w:id="108" w:name="page109"/>
    <w:bookmarkEnd w:id="108"/>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2.20. 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fees shall cease to accrue on the unfunded portion of the Revolving Commitment of such Defaulting Lender pursuant to Section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2.12(a);</w:t>
      </w:r>
    </w:p>
    <w:p>
      <w:pPr>
        <w:spacing w:after="0" w:line="223" w:lineRule="exact"/>
        <w:rPr>
          <w:sz w:val="20"/>
          <w:szCs w:val="20"/>
          <w:color w:val="auto"/>
        </w:rPr>
      </w:pPr>
    </w:p>
    <w:p>
      <w:pPr>
        <w:jc w:val="both"/>
        <w:ind w:firstLine="647"/>
        <w:spacing w:after="0" w:line="246" w:lineRule="auto"/>
        <w:tabs>
          <w:tab w:leader="none" w:pos="92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Bank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LC Exposure with respect to such Defaulting Lender 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98"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0"/>
          <w:szCs w:val="20"/>
          <w:color w:val="auto"/>
        </w:rPr>
        <w:t>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17" w:lineRule="exact"/>
        <w:rPr>
          <w:sz w:val="20"/>
          <w:szCs w:val="20"/>
          <w:color w:val="auto"/>
        </w:rPr>
      </w:pPr>
    </w:p>
    <w:p>
      <w:pPr>
        <w:jc w:val="both"/>
        <w:ind w:firstLine="647"/>
        <w:spacing w:after="0" w:line="250" w:lineRule="auto"/>
        <w:tabs>
          <w:tab w:leader="none" w:pos="91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216"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37" w:lineRule="exact"/>
        <w:rPr>
          <w:rFonts w:ascii="Times New Roman" w:cs="Times New Roman" w:eastAsia="Times New Roman" w:hAnsi="Times New Roman"/>
          <w:sz w:val="20"/>
          <w:szCs w:val="20"/>
          <w:color w:val="auto"/>
        </w:rPr>
      </w:pPr>
    </w:p>
    <w:p>
      <w:pPr>
        <w:jc w:val="both"/>
        <w:ind w:left="640" w:firstLine="648"/>
        <w:spacing w:after="0" w:line="253" w:lineRule="auto"/>
        <w:tabs>
          <w:tab w:leader="none" w:pos="155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202" w:lineRule="exact"/>
        <w:rPr>
          <w:rFonts w:ascii="Times New Roman" w:cs="Times New Roman" w:eastAsia="Times New Roman" w:hAnsi="Times New Roman"/>
          <w:sz w:val="20"/>
          <w:szCs w:val="20"/>
          <w:color w:val="auto"/>
        </w:rPr>
      </w:pPr>
    </w:p>
    <w:p>
      <w:pPr>
        <w:jc w:val="both"/>
        <w:ind w:left="640" w:firstLine="648"/>
        <w:spacing w:after="0" w:line="250" w:lineRule="auto"/>
        <w:tabs>
          <w:tab w:leader="none" w:pos="157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clause (i) above cannot, or can only partially, be effected, the Borrower shall within one (1) 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216" w:lineRule="exact"/>
        <w:rPr>
          <w:rFonts w:ascii="Times New Roman" w:cs="Times New Roman" w:eastAsia="Times New Roman" w:hAnsi="Times New Roman"/>
          <w:sz w:val="20"/>
          <w:szCs w:val="20"/>
          <w:color w:val="auto"/>
        </w:rPr>
      </w:pPr>
    </w:p>
    <w:p>
      <w:pPr>
        <w:jc w:val="both"/>
        <w:ind w:left="640" w:firstLine="648"/>
        <w:spacing w:after="0" w:line="256" w:lineRule="auto"/>
        <w:tabs>
          <w:tab w:leader="none" w:pos="162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211" w:lineRule="exact"/>
        <w:rPr>
          <w:rFonts w:ascii="Times New Roman" w:cs="Times New Roman" w:eastAsia="Times New Roman" w:hAnsi="Times New Roman"/>
          <w:sz w:val="20"/>
          <w:szCs w:val="20"/>
          <w:color w:val="auto"/>
        </w:rPr>
      </w:pPr>
    </w:p>
    <w:p>
      <w:pPr>
        <w:jc w:val="both"/>
        <w:ind w:left="640" w:firstLine="648"/>
        <w:spacing w:after="0" w:line="256" w:lineRule="auto"/>
        <w:tabs>
          <w:tab w:leader="none" w:pos="16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211" w:lineRule="exact"/>
        <w:rPr>
          <w:rFonts w:ascii="Times New Roman" w:cs="Times New Roman" w:eastAsia="Times New Roman" w:hAnsi="Times New Roman"/>
          <w:sz w:val="20"/>
          <w:szCs w:val="20"/>
          <w:color w:val="auto"/>
        </w:rPr>
      </w:pPr>
    </w:p>
    <w:p>
      <w:pPr>
        <w:jc w:val="both"/>
        <w:ind w:left="640" w:firstLine="648"/>
        <w:spacing w:after="0" w:line="249" w:lineRule="auto"/>
        <w:tabs>
          <w:tab w:leader="none" w:pos="157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98" w:right="339" w:bottom="1440" w:gutter="0" w:footer="0" w:header="0"/>
        </w:sectPr>
      </w:pPr>
    </w:p>
    <w:bookmarkStart w:id="110" w:name="page111"/>
    <w:bookmarkEnd w:id="110"/>
    <w:p>
      <w:pPr>
        <w:spacing w:after="0" w:line="198" w:lineRule="exact"/>
        <w:rPr>
          <w:sz w:val="20"/>
          <w:szCs w:val="20"/>
          <w:color w:val="auto"/>
        </w:rPr>
      </w:pPr>
    </w:p>
    <w:p>
      <w:pPr>
        <w:jc w:val="both"/>
        <w:ind w:firstLine="647"/>
        <w:spacing w:after="0" w:line="248" w:lineRule="auto"/>
        <w:tabs>
          <w:tab w:leader="none" w:pos="92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2" w:lineRule="exact"/>
        <w:rPr>
          <w:rFonts w:ascii="Times New Roman" w:cs="Times New Roman" w:eastAsia="Times New Roman" w:hAnsi="Times New Roman"/>
          <w:sz w:val="20"/>
          <w:szCs w:val="20"/>
          <w:color w:val="auto"/>
        </w:rPr>
      </w:pPr>
    </w:p>
    <w:p>
      <w:pPr>
        <w:ind w:left="1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w:t>
      </w:r>
    </w:p>
    <w:p>
      <w:pPr>
        <w:spacing w:after="0" w:line="4" w:lineRule="exact"/>
        <w:rPr>
          <w:rFonts w:ascii="Times New Roman" w:cs="Times New Roman" w:eastAsia="Times New Roman" w:hAnsi="Times New Roman"/>
          <w:sz w:val="20"/>
          <w:szCs w:val="20"/>
          <w:color w:val="auto"/>
        </w:rPr>
      </w:pPr>
    </w:p>
    <w:p>
      <w:pPr>
        <w:jc w:val="both"/>
        <w:ind w:firstLine="6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2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217"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2.21. Returned Payments</w:t>
      </w:r>
      <w:r>
        <w:rPr>
          <w:rFonts w:ascii="Times New Roman" w:cs="Times New Roman" w:eastAsia="Times New Roman" w:hAnsi="Times New Roman"/>
          <w:sz w:val="20"/>
          <w:szCs w:val="20"/>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22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2.22. Banking Services and Swap Agreements</w:t>
      </w:r>
      <w:r>
        <w:rPr>
          <w:rFonts w:ascii="Times New Roman" w:cs="Times New Roman" w:eastAsia="Times New Roman" w:hAnsi="Times New Roman"/>
          <w:sz w:val="20"/>
          <w:szCs w:val="20"/>
          <w:color w:val="auto"/>
        </w:rPr>
        <w:t>. Each Lender or Affiliate thereof providing Banking Services for, or having Swap Agreements with, any Loan Party or any Subsidiary shall deliver to the Administrative Agent, promptly after entering into such Banking Services or Swap Agreements, written notice setting forth the aggregate amount of all Banking Services Obligations and Swap Agreement Obligations of such Loan Party or Subsidiary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50" w:lineRule="auto"/>
        <w:rPr>
          <w:sz w:val="20"/>
          <w:szCs w:val="20"/>
          <w:color w:val="auto"/>
        </w:rPr>
      </w:pPr>
      <w:r>
        <w:rPr>
          <w:rFonts w:ascii="Times New Roman" w:cs="Times New Roman" w:eastAsia="Times New Roman" w:hAnsi="Times New Roman"/>
          <w:sz w:val="20"/>
          <w:szCs w:val="20"/>
          <w:color w:val="auto"/>
        </w:rPr>
        <w:t>to the Administrative Agent shall be used in determining which tier of the waterfall, contained in Section 2.18(b), such Banking Services Obligations and/or Swap Agreement Obligations will be placed. For the avoidance of doubt, so long as Chase or its Affiliate is the Administrative Agent, neither Chase nor any of its Affiliates providing Banking Services for, or having Swap Agreements with, any Loan Party or any Subsidiary of a Loan Party shall be required to provide any notice described in this Section 2.22 in respect of such Banking Services or Swap Agreements.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 (and where applicable, agrees):</w:t>
      </w:r>
    </w:p>
    <w:p>
      <w:pPr>
        <w:spacing w:after="0" w:line="22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3.01. Organization; Powers</w:t>
      </w:r>
      <w:r>
        <w:rPr>
          <w:rFonts w:ascii="Times New Roman" w:cs="Times New Roman" w:eastAsia="Times New Roman" w:hAnsi="Times New Roman"/>
          <w:sz w:val="20"/>
          <w:szCs w:val="20"/>
          <w:color w:val="auto"/>
        </w:rPr>
        <w:t>.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0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3.02. Authorization; Enforceability</w:t>
      </w:r>
      <w:r>
        <w:rPr>
          <w:rFonts w:ascii="Times New Roman" w:cs="Times New Roman" w:eastAsia="Times New Roman" w:hAnsi="Times New Roman"/>
          <w:sz w:val="20"/>
          <w:szCs w:val="20"/>
          <w:color w:val="auto"/>
        </w:rPr>
        <w:t>. The Transactions are within each Loan Party’s corporate or other organizational powers and have been duly authorized by all necessary corporate or other organizational actions.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subject to general principles of equity, regardless of whether considered in a proceeding in equity or at law, subject to implied covenants of good faith and fair dealing and any equivalent foreign laws, rules and regulations as they relate to pledges of equity in or in Indebtedness owed by Foreign Subsidiaries.</w:t>
      </w:r>
    </w:p>
    <w:p>
      <w:pPr>
        <w:spacing w:after="0" w:line="204" w:lineRule="exact"/>
        <w:rPr>
          <w:sz w:val="20"/>
          <w:szCs w:val="20"/>
          <w:color w:val="auto"/>
        </w:rPr>
      </w:pPr>
    </w:p>
    <w:p>
      <w:pPr>
        <w:jc w:val="both"/>
        <w:ind w:firstLine="6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3.03. 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Material Indebtedness binding upon any Loan Party or any Subsidiary or the assets of any Loan Party or any Subsidiary, or give rise to a right thereunder to require any payment to be made by any Loan Party or any Subsidiary, and (d) will not result in the creation or imposition of, or other requirement to create, any Lien on any asset of any Loan Party or any Subsidiary, except Liens created pursuant to the Loan Documents.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3.04. Financial Condition; No Material Adverse Change</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0" w:lineRule="auto"/>
        <w:tabs>
          <w:tab w:leader="none" w:pos="91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heretofore furnished to the Lenders its consolidated balance sheet and statements of income, stockholders equity and cash flows (i) as of and for the fiscal year ended December 31, 2021, reported on by PriceWaterhouseCoopers LLP, independent public accountants, and (ii) as of and for the fiscal quarter and the portion of the fiscal year ended March 31, 2022, certified by its Financial Officer. Such financial statements present fairly, in all material respects, the financial position and results of operations and cash flows of the Borrower and its consolidated Subsidiaries as of such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97" w:right="339" w:bottom="1440" w:gutter="0" w:footer="0" w:header="0"/>
        </w:sectPr>
      </w:pPr>
    </w:p>
    <w:bookmarkStart w:id="112" w:name="page113"/>
    <w:bookmarkEnd w:id="112"/>
    <w:p>
      <w:pPr>
        <w:spacing w:after="0" w:line="275" w:lineRule="auto"/>
        <w:rPr>
          <w:sz w:val="20"/>
          <w:szCs w:val="20"/>
          <w:color w:val="auto"/>
        </w:rPr>
      </w:pPr>
      <w:r>
        <w:rPr>
          <w:rFonts w:ascii="Times New Roman" w:cs="Times New Roman" w:eastAsia="Times New Roman" w:hAnsi="Times New Roman"/>
          <w:sz w:val="20"/>
          <w:szCs w:val="20"/>
          <w:color w:val="auto"/>
        </w:rPr>
        <w:t>and for such periods in accordance with GAAP, subject to normal year end audit adjustments and the absence of footnotes in the case of the statements referred to in clause (ii) above.</w:t>
      </w:r>
    </w:p>
    <w:p>
      <w:pPr>
        <w:spacing w:after="0" w:line="180" w:lineRule="exact"/>
        <w:rPr>
          <w:sz w:val="20"/>
          <w:szCs w:val="20"/>
          <w:color w:val="auto"/>
        </w:rPr>
      </w:pPr>
    </w:p>
    <w:p>
      <w:pPr>
        <w:ind w:firstLine="647"/>
        <w:spacing w:after="0" w:line="275" w:lineRule="auto"/>
        <w:tabs>
          <w:tab w:leader="none" w:pos="9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December 31, 2021.</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3.05. Properties</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jc w:val="both"/>
        <w:ind w:firstLine="647"/>
        <w:spacing w:after="0" w:line="246" w:lineRule="auto"/>
        <w:tabs>
          <w:tab w:leader="none" w:pos="93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this Agreement,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sets forth the address of each parcel of real property that is a material leased location or Material Real Property. Each of the Loan Parties and each Subsidiary has good and indefeasible title to, or valid leasehold interests in, all of its real and personal property, free of all Liens other than those permitted by Section 6.02 and defects in title that do not materially interfere with its ability to conduct its business as currently conducted or to utilize such properties and assets for their intended purposes in each instance, necessary or used in the ordinary conduct of their respective businesses.</w:t>
      </w:r>
    </w:p>
    <w:p>
      <w:pPr>
        <w:spacing w:after="0" w:line="221" w:lineRule="exact"/>
        <w:rPr>
          <w:rFonts w:ascii="Times New Roman" w:cs="Times New Roman" w:eastAsia="Times New Roman" w:hAnsi="Times New Roman"/>
          <w:sz w:val="20"/>
          <w:szCs w:val="20"/>
          <w:color w:val="auto"/>
        </w:rPr>
      </w:pPr>
    </w:p>
    <w:p>
      <w:pPr>
        <w:jc w:val="both"/>
        <w:ind w:firstLine="647"/>
        <w:spacing w:after="0" w:line="250" w:lineRule="auto"/>
        <w:tabs>
          <w:tab w:leader="none" w:pos="95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and each Subsidiary owns, or is licensed to use, all trademarks, tradenames, copyrights, patents and other intellectual property reasonably necessary to conduct its business as currently conducted. A correct and complete list of which, as of the date of this Agreement, is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and to the knowledge of each Loan Party,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3.06. Litigation and Environmental Matters</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jc w:val="both"/>
        <w:ind w:firstLine="647"/>
        <w:spacing w:after="0" w:line="244" w:lineRule="auto"/>
        <w:tabs>
          <w:tab w:leader="none" w:pos="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or (ii) that involve any Loan Document or the Transactions.</w:t>
      </w:r>
    </w:p>
    <w:p>
      <w:pPr>
        <w:spacing w:after="0" w:line="224" w:lineRule="exact"/>
        <w:rPr>
          <w:rFonts w:ascii="Times New Roman" w:cs="Times New Roman" w:eastAsia="Times New Roman" w:hAnsi="Times New Roman"/>
          <w:sz w:val="20"/>
          <w:szCs w:val="20"/>
          <w:color w:val="auto"/>
        </w:rPr>
      </w:pPr>
    </w:p>
    <w:p>
      <w:pPr>
        <w:jc w:val="both"/>
        <w:ind w:firstLine="647"/>
        <w:spacing w:after="0" w:line="250" w:lineRule="auto"/>
        <w:tabs>
          <w:tab w:leader="none" w:pos="9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Loan Party or any Subsidiary has received notice of any claim with respect to any Environmental Liability or knows of any basis for any Environmental Liability and (ii) and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204" w:lineRule="exact"/>
        <w:rPr>
          <w:sz w:val="20"/>
          <w:szCs w:val="20"/>
          <w:color w:val="auto"/>
        </w:rPr>
      </w:pPr>
    </w:p>
    <w:p>
      <w:pPr>
        <w:ind w:firstLine="6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3.07. Compliance with Laws and Agreements; No Default</w:t>
      </w:r>
      <w:r>
        <w:rPr>
          <w:rFonts w:ascii="Times New Roman" w:cs="Times New Roman" w:eastAsia="Times New Roman" w:hAnsi="Times New Roman"/>
          <w:sz w:val="18"/>
          <w:szCs w:val="18"/>
          <w:color w:val="auto"/>
        </w:rPr>
        <w:t>. Except where the failure to do so, individually or in the aggregate, could not reasonably be expected to result in a Material Adverse Effect, each Loan Party and each Subsidiary is in compliance with</w:t>
      </w:r>
    </w:p>
    <w:p>
      <w:pPr>
        <w:spacing w:after="0" w:line="1" w:lineRule="exact"/>
        <w:rPr>
          <w:sz w:val="20"/>
          <w:szCs w:val="20"/>
          <w:color w:val="auto"/>
        </w:rPr>
      </w:pPr>
    </w:p>
    <w:p>
      <w:pPr>
        <w:jc w:val="both"/>
        <w:ind w:firstLine="7"/>
        <w:spacing w:after="0" w:line="248" w:lineRule="auto"/>
        <w:tabs>
          <w:tab w:leader="none" w:pos="25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Requirements of Law applicable to it or its property and (ii) all Material Indebtedness. No Default or Event of Default has occurred and is continuing or would result from the incurring of any Obligations by any Loan Party or the grant or perfection of Administrative Agent’s Liens on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98" w:right="339" w:bottom="1440" w:gutter="0" w:footer="0" w:header="0"/>
        </w:sectPr>
      </w:pPr>
    </w:p>
    <w:bookmarkStart w:id="113" w:name="page114"/>
    <w:bookmarkEnd w:id="113"/>
    <w:p>
      <w:pPr>
        <w:jc w:val="both"/>
        <w:ind w:right="20" w:firstLine="640"/>
        <w:spacing w:after="0" w:line="275" w:lineRule="auto"/>
        <w:rPr>
          <w:sz w:val="20"/>
          <w:szCs w:val="20"/>
          <w:color w:val="auto"/>
        </w:rPr>
      </w:pPr>
      <w:r>
        <w:rPr>
          <w:rFonts w:ascii="Times New Roman" w:cs="Times New Roman" w:eastAsia="Times New Roman" w:hAnsi="Times New Roman"/>
          <w:sz w:val="20"/>
          <w:szCs w:val="20"/>
          <w:u w:val="single" w:color="auto"/>
          <w:color w:val="auto"/>
        </w:rPr>
        <w:t>SECTION 3.08. Investment Company Status</w:t>
      </w:r>
      <w:r>
        <w:rPr>
          <w:rFonts w:ascii="Times New Roman" w:cs="Times New Roman" w:eastAsia="Times New Roman" w:hAnsi="Times New Roman"/>
          <w:sz w:val="20"/>
          <w:szCs w:val="20"/>
          <w:color w:val="auto"/>
        </w:rPr>
        <w:t>. No Loan Party or any Subsidiary is an “investment company” as defined in, or subject to regulation under, the Investment Company Act of 1940.</w:t>
      </w:r>
    </w:p>
    <w:p>
      <w:pPr>
        <w:spacing w:after="0" w:line="18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3.09. Taxes</w:t>
      </w:r>
      <w:r>
        <w:rPr>
          <w:rFonts w:ascii="Times New Roman" w:cs="Times New Roman" w:eastAsia="Times New Roman" w:hAnsi="Times New Roman"/>
          <w:sz w:val="20"/>
          <w:szCs w:val="20"/>
          <w:color w:val="auto"/>
        </w:rPr>
        <w:t>. Except where the failure to do so, individually or in the aggregate, could not reasonably be expected to result in a Material Adverse Effect, each Loan Party and each Subsidiary has timely filed or caused to be filed all Tax returns and reports required to have been filed and has paid or caused to be paid all Taxes required to have been paid by it, except Taxes that are being contested in good faith by appropriate proceedings and for which such Loan Party or such Subsidiary, as applicable, has set aside on its books adequate reserves. No tax liens have been filed and no material claims are being asserted with respect to any such taxes.</w:t>
      </w:r>
    </w:p>
    <w:p>
      <w:pPr>
        <w:spacing w:after="0" w:line="202" w:lineRule="exact"/>
        <w:rPr>
          <w:sz w:val="20"/>
          <w:szCs w:val="20"/>
          <w:color w:val="auto"/>
        </w:rPr>
      </w:pPr>
    </w:p>
    <w:p>
      <w:pPr>
        <w:jc w:val="both"/>
        <w:ind w:firstLine="6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3.10. 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Accounting Standards Codification No. 715) did not, as of the date of the most recent financial statements reflecting such amounts, exceed the fair market value of the assets of such Plan, and the present value of all accumulated benefit obligations of all underfunded Plans (based on the assumptions used for purposes of Accounting Standards Codification No. 715 or subsequent recodification thereof, as applicable) did not, as of the date of the most recent financial statements reflecting such amounts, exceed the fair market value of the assets of all such underfunded Plans.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3.11. Disclosure</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6" w:lineRule="auto"/>
        <w:tabs>
          <w:tab w:leader="none" w:pos="91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Information Memorandum nor any of the other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when taken as a whole not materially misleading as of the time when made or delivered. All financial performance projections delivered to the Administrative Agent, including the financial performance projections delivered on or prior to the Effective Date, represent the Borrower’s good faith estimate of future financial performance and are based on assumptions believed by the Borrower at the time so delivered to be fair and reasonable in light of current market conditions, it being acknowledged and agreed by Administrative Agent and Lenders that projections are not a guarantee of financial performance, are subject to significant uncertainties and contingencies, many of which are beyond Borrower’s control, no assurance can be given that any particular financial projections will be realized, and projections as to future events are not to be viewed as facts and that the actual results during the period or periods covered by such projections may differ from the projected results and such differences may be material.</w:t>
      </w:r>
    </w:p>
    <w:p>
      <w:pPr>
        <w:spacing w:after="0" w:line="226" w:lineRule="exact"/>
        <w:rPr>
          <w:rFonts w:ascii="Times New Roman" w:cs="Times New Roman" w:eastAsia="Times New Roman" w:hAnsi="Times New Roman"/>
          <w:sz w:val="20"/>
          <w:szCs w:val="20"/>
          <w:color w:val="auto"/>
        </w:rPr>
      </w:pPr>
    </w:p>
    <w:p>
      <w:pPr>
        <w:ind w:firstLine="647"/>
        <w:spacing w:after="0" w:line="275" w:lineRule="auto"/>
        <w:tabs>
          <w:tab w:leader="none" w:pos="91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8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3.12. Material Contracts</w:t>
      </w:r>
      <w:r>
        <w:rPr>
          <w:rFonts w:ascii="Times New Roman" w:cs="Times New Roman" w:eastAsia="Times New Roman" w:hAnsi="Times New Roman"/>
          <w:sz w:val="20"/>
          <w:szCs w:val="20"/>
          <w:color w:val="auto"/>
        </w:rPr>
        <w:t xml:space="preserve">. As of the Effective Date, all material agreements and contracts to which any Loan Party or any Subsidiary is a party or is bound as of the date of this Agreement, the termination, breach or non-performance or non-compliance with which could reasonably be expected to result in a Material Adverse Effect, are listed on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398"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20"/>
          <w:szCs w:val="20"/>
          <w:color w:val="auto"/>
        </w:rPr>
        <w:t>of the Effective Date, no Loan Party or any Subsidiary is in default in the performance, observance or fulfillment of any of the obligations, covenants or conditions contained in (i) any Material Contract to which it is a party or (ii) any agreement or instrument evidencing or governing Material Indebtedness except in each case to the extent that the non-performance, non-observance or non-fulfillment of any of the obligations, covenants or conditions contained therein could reasonably be expected to result in a Material Adverse Effect.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3.13. Solvency</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8" w:lineRule="auto"/>
        <w:tabs>
          <w:tab w:leader="none" w:pos="91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the consummation of the Transactions to occur on the Effective Date,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its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the Loan Parties, taken as a whole, will not have unreasonably small capital with which to conduct the business in which they are engaged as such business is now conducted and is proposed to be conducted after the Effective Date.</w:t>
      </w:r>
    </w:p>
    <w:p>
      <w:pPr>
        <w:spacing w:after="0" w:line="220" w:lineRule="exact"/>
        <w:rPr>
          <w:rFonts w:ascii="Times New Roman" w:cs="Times New Roman" w:eastAsia="Times New Roman" w:hAnsi="Times New Roman"/>
          <w:sz w:val="20"/>
          <w:szCs w:val="20"/>
          <w:color w:val="auto"/>
        </w:rPr>
      </w:pPr>
    </w:p>
    <w:p>
      <w:pPr>
        <w:jc w:val="both"/>
        <w:ind w:firstLine="647"/>
        <w:spacing w:after="0" w:line="298" w:lineRule="auto"/>
        <w:tabs>
          <w:tab w:leader="none" w:pos="9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3.14. Reserved</w:t>
      </w:r>
      <w:r>
        <w:rPr>
          <w:rFonts w:ascii="Times New Roman" w:cs="Times New Roman" w:eastAsia="Times New Roman" w:hAnsi="Times New Roman"/>
          <w:sz w:val="20"/>
          <w:szCs w:val="20"/>
          <w:color w:val="auto"/>
        </w:rPr>
        <w:t>.</w:t>
      </w:r>
    </w:p>
    <w:p>
      <w:pPr>
        <w:spacing w:after="0" w:line="19"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3.15. Capitalization and Subsidiaries</w:t>
      </w:r>
      <w:r>
        <w:rPr>
          <w:rFonts w:ascii="Times New Roman" w:cs="Times New Roman" w:eastAsia="Times New Roman" w:hAnsi="Times New Roman"/>
          <w:sz w:val="20"/>
          <w:szCs w:val="20"/>
          <w:color w:val="auto"/>
        </w:rPr>
        <w:t xml:space="preserve">. As of the Effective Date,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sets forth (a) a correct and complete list of the name and relationship to the Borrower of each Subsidiary, (b) a true and complete listing of each class of each Subsidiary’s authorized Equity Interests, of which all of such issued Equity Interests are validly issued, outstanding, fully paid and non-assessable, and owned beneficially and of record by the Persons identified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(c) the type of entity of the Borrower and each Subsidiary, and (d) whether such Subsidiary is a Loan Party or Material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20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3.16. Security Interest in Collateral</w:t>
      </w:r>
      <w:r>
        <w:rPr>
          <w:rFonts w:ascii="Times New Roman" w:cs="Times New Roman" w:eastAsia="Times New Roman" w:hAnsi="Times New Roman"/>
          <w:sz w:val="20"/>
          <w:szCs w:val="20"/>
          <w:color w:val="auto"/>
        </w:rPr>
        <w:t>. The provisions of this Agreement and the other Loan Documents create legal and valid Liens on all the Collateral in favor of the Administrative Agent, for the benefit of the Secured Parties, and such Liens constitute first priority perfected and continuing Liens on the Collateral, securing the Secured Obligations, enforceable against the applicable Loan Party and all third parties, and having priority over all other Liens on the Collateral except in the case of (a) Permitted Encumbrances or Liens permitted under Section 6.02(d),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98" w:right="339" w:bottom="1440" w:gutter="0" w:footer="0" w:header="0"/>
        </w:sectPr>
      </w:pPr>
    </w:p>
    <w:bookmarkStart w:id="115" w:name="page116"/>
    <w:bookmarkEnd w:id="115"/>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3.17. Employment Matters</w:t>
      </w:r>
      <w:r>
        <w:rPr>
          <w:rFonts w:ascii="Times New Roman" w:cs="Times New Roman" w:eastAsia="Times New Roman" w:hAnsi="Times New Roman"/>
          <w:sz w:val="20"/>
          <w:szCs w:val="20"/>
          <w:color w:val="auto"/>
        </w:rPr>
        <w:t>. As of the Effective Date, there are no strikes, lockouts or slowdowns against any Loan Party or any Subsidiary pending or, to the knowledge of any Loan Party, threatened, except for those that would not, in the aggregate, reasonably be expected to have a Material Adverse Effect. The hours worked by and payments made to employees of the Loan Parties and their Subsidiaries have not been in material violation of the Fair Labor Standards Act or any other applicable federal, state, local or foreign law dealing with such matters. To the knowledge of any Loan Party,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for those that would not, in the aggregate, reasonably be expected to have a Material Adverse Effect.</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3.18. Margin Regulations</w:t>
      </w:r>
      <w:r>
        <w:rPr>
          <w:rFonts w:ascii="Times New Roman" w:cs="Times New Roman" w:eastAsia="Times New Roman" w:hAnsi="Times New Roman"/>
          <w:sz w:val="20"/>
          <w:szCs w:val="20"/>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 Neither the making of any Loan hereunder nor the use of proceeds thereof will violate the provisions of Regulation U or X of the Federal Reserve Board.</w:t>
      </w:r>
    </w:p>
    <w:p>
      <w:pPr>
        <w:spacing w:after="0" w:line="20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u w:val="single" w:color="auto"/>
          <w:color w:val="auto"/>
        </w:rPr>
        <w:t>SECTION 3.19. Use of Proceeds</w:t>
      </w:r>
      <w:r>
        <w:rPr>
          <w:rFonts w:ascii="Times New Roman" w:cs="Times New Roman" w:eastAsia="Times New Roman" w:hAnsi="Times New Roman"/>
          <w:sz w:val="20"/>
          <w:szCs w:val="20"/>
          <w:color w:val="auto"/>
        </w:rPr>
        <w:t>. The proceeds of the Loans have been used and will be used, whether directly or indirectly as set forth in Section 5.08.</w:t>
      </w:r>
    </w:p>
    <w:p>
      <w:pPr>
        <w:spacing w:after="0" w:line="193"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20"/>
          <w:szCs w:val="20"/>
          <w:u w:val="single" w:color="auto"/>
          <w:color w:val="auto"/>
        </w:rPr>
        <w:t>SECTION 3.20. No Burdensome Restrictions</w:t>
      </w:r>
      <w:r>
        <w:rPr>
          <w:rFonts w:ascii="Times New Roman" w:cs="Times New Roman" w:eastAsia="Times New Roman" w:hAnsi="Times New Roman"/>
          <w:sz w:val="20"/>
          <w:szCs w:val="20"/>
          <w:color w:val="auto"/>
        </w:rPr>
        <w:t>. No Loan Party is subject to any Burdensome Restrictions except Burdensome Restrictions permitted under Section 6.10.</w:t>
      </w:r>
    </w:p>
    <w:p>
      <w:pPr>
        <w:spacing w:after="0" w:line="205"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3.21. Anti-Corruption Laws and Sanctions</w:t>
      </w:r>
      <w:r>
        <w:rPr>
          <w:rFonts w:ascii="Times New Roman" w:cs="Times New Roman" w:eastAsia="Times New Roman" w:hAnsi="Times New Roman"/>
          <w:sz w:val="20"/>
          <w:szCs w:val="20"/>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and are not knowingly engaged in any activity that could reasonably be expected to result in any Loan Party being designated as a Sanctioned Person. None of (a) any Loan Party, any Subsidiary or to the knowledge of such Loan Party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3.22. Affected Financial Institutions</w:t>
      </w:r>
      <w:r>
        <w:rPr>
          <w:rFonts w:ascii="Times New Roman" w:cs="Times New Roman" w:eastAsia="Times New Roman" w:hAnsi="Times New Roman"/>
          <w:sz w:val="20"/>
          <w:szCs w:val="20"/>
          <w:color w:val="auto"/>
        </w:rPr>
        <w:t>. No Loan Party is an Affected Financial Institution.</w:t>
      </w:r>
    </w:p>
    <w:p>
      <w:pPr>
        <w:spacing w:after="0" w:line="223"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0"/>
          <w:szCs w:val="20"/>
          <w:u w:val="single" w:color="auto"/>
          <w:color w:val="auto"/>
        </w:rPr>
        <w:t>SECTION 3.23. Plan Assets</w:t>
      </w:r>
      <w:r>
        <w:rPr>
          <w:rFonts w:ascii="Times New Roman" w:cs="Times New Roman" w:eastAsia="Times New Roman" w:hAnsi="Times New Roman"/>
          <w:sz w:val="20"/>
          <w:szCs w:val="20"/>
          <w:color w:val="auto"/>
        </w:rPr>
        <w:t>. None of the Loan Parties or any of their Subsidiaries is an entity deemed to hold “plan assets” (within the meaning of the Plan Asset Regulations).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3.24.</w:t>
      </w:r>
      <w:r>
        <w:rPr>
          <w:rFonts w:ascii="Times New Roman" w:cs="Times New Roman" w:eastAsia="Times New Roman" w:hAnsi="Times New Roman"/>
          <w:sz w:val="20"/>
          <w:szCs w:val="20"/>
          <w:color w:val="auto"/>
        </w:rPr>
        <w:t xml:space="preserve"> Healthcare and Regulatory Authority Matters. Except in each case as may be disclosed on </w:t>
      </w:r>
      <w:r>
        <w:rPr>
          <w:rFonts w:ascii="Times New Roman" w:cs="Times New Roman" w:eastAsia="Times New Roman" w:hAnsi="Times New Roman"/>
          <w:sz w:val="20"/>
          <w:szCs w:val="20"/>
          <w:u w:val="single" w:color="auto"/>
          <w:color w:val="auto"/>
        </w:rPr>
        <w:t>Schedule 3.24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98" w:right="339" w:bottom="1440" w:gutter="0" w:footer="0" w:header="0"/>
        </w:sectPr>
      </w:pPr>
    </w:p>
    <w:bookmarkStart w:id="116" w:name="page117"/>
    <w:bookmarkEnd w:id="116"/>
    <w:p>
      <w:pPr>
        <w:spacing w:after="0" w:line="198" w:lineRule="exact"/>
        <w:rPr>
          <w:sz w:val="20"/>
          <w:szCs w:val="20"/>
          <w:color w:val="auto"/>
        </w:rPr>
      </w:pPr>
    </w:p>
    <w:p>
      <w:pPr>
        <w:jc w:val="both"/>
        <w:ind w:firstLine="647"/>
        <w:spacing w:after="0" w:line="246" w:lineRule="auto"/>
        <w:tabs>
          <w:tab w:leader="none" w:pos="91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its Subsidiaries, and to the knowledge thereof, each of their respective employees and contractors solely with respect to the exercise of their respective duties on behalf of such Person, are and since January 1, 2015 have been, in compliance with all applicable Health Care Laws, except, in each case, where the failure to do so, individually or in the aggregate, could not reasonably be expected to result in a Material Adverse Effect. Neither the Borrower nor any of the Subsidiaries have received written notice of any pending or, to the Borrower’s or any Subsidiaries’ knowledge, threatened claim, suit, proceeding, hearing, enforcement, audit, inspection, investigation, seizure, shutdown, field action, recall, untitled letter or warning letter, notice of suspension or cancellation of Drug Establishment License or other license, U.S. Food and Drug Administration (“</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Form 483, notice of suspension or cancellation of a license from Health Canada, arbitration or other similar correspondence or action from any applicable Governmental Authority with jurisdiction over the safety, efficacy, development, manufacture, testing, storage, transportation, distribution, supply, packaging, holding, import or export, or sale of pharmaceutical products (each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alleging that any operation or activity of the Borrower or any Subsidiary, or any of the products, is in violation of any applicable Health Care Law in each case that could reasonably be expected, individually or in the aggregate, to result in a Material Adverse Effect. Neither the Borrower nor any of the Subsidiaries have received any written communication from any Regulatory Authority or been notified in writing since January 1, 2015 that any product approval or clearance granted to it is withdrawn or modified or that such an action is under consideration, in each case that, either individually or in the aggregate, would reasonably be expected to result in a Material Adverse Effect. None of the Borrower, its Subsidiaries or any of their respective officers, directors, employees or, to the knowledge of the Borrower, its Subsidiaries, agents (1) are excluded from participation in any Federal Health Care Program pursuant to any applicable Health Care Laws, including, without limitation 42 U.S.C. §1320a-7b; or have, since January 1, 2015, engaged in any activities which are cause for civil penalties or mandatory or permissive exclusion from any state or Federal Health Care Program pursuant to any applicable Health Care Laws, including, without limitation 42 U.S.C. §1320a-7b that could reasonably be expected, individually or in the aggregate, to result in a Material Adverse Effect.</w:t>
      </w:r>
    </w:p>
    <w:p>
      <w:pPr>
        <w:spacing w:after="0" w:line="222" w:lineRule="exact"/>
        <w:rPr>
          <w:rFonts w:ascii="Times New Roman" w:cs="Times New Roman" w:eastAsia="Times New Roman" w:hAnsi="Times New Roman"/>
          <w:sz w:val="20"/>
          <w:szCs w:val="20"/>
          <w:color w:val="auto"/>
        </w:rPr>
      </w:pPr>
    </w:p>
    <w:p>
      <w:pPr>
        <w:jc w:val="both"/>
        <w:ind w:firstLine="647"/>
        <w:spacing w:after="0" w:line="284" w:lineRule="auto"/>
        <w:tabs>
          <w:tab w:leader="none" w:pos="9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formulated, developed, manufactured, tested, distributed, supplied, packaged, held, stored, transported, sold, imported, exported, marketed, advertised, promoted or distributed by the Borrower and each of its Subsidiaries, as applicable, are being, and since January 1, 2015 have been, formulated, developed, manufactured, tested, distributed, supplied, packaged, held, stored, transported, sold, imported, exported, marketed, advertised, promoted or distributed in compliance with all applicable Health Care Laws, except, in each case, where the failure to do so, individually or in the aggregate, could not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647"/>
        <w:spacing w:after="0" w:line="279" w:lineRule="auto"/>
        <w:tabs>
          <w:tab w:leader="none" w:pos="9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Subsidiaries owns, holds or possesses, and is operating and since January 1, 2015, the Borrower, each of its Subsidiaries has operated in compliance with, all licenses, franchises, permits, privileges, variances, immunities, approvals, clearances, registrations, exemptions, and other authorizations from Regulatory Authorities that are necessary under any applicable Health Care Law to conduct its business as currently conducted (collectively, the “</w:t>
      </w:r>
      <w:r>
        <w:rPr>
          <w:rFonts w:ascii="Times New Roman" w:cs="Times New Roman" w:eastAsia="Times New Roman" w:hAnsi="Times New Roman"/>
          <w:sz w:val="18"/>
          <w:szCs w:val="18"/>
          <w:u w:val="single" w:color="auto"/>
          <w:color w:val="auto"/>
        </w:rPr>
        <w:t>Health Care Permits</w:t>
      </w:r>
      <w:r>
        <w:rPr>
          <w:rFonts w:ascii="Times New Roman" w:cs="Times New Roman" w:eastAsia="Times New Roman" w:hAnsi="Times New Roman"/>
          <w:sz w:val="18"/>
          <w:szCs w:val="18"/>
          <w:color w:val="auto"/>
        </w:rPr>
        <w:t>”), and all such Health Care Permits are in full force and effect, except, in each case, where the failure to have or do any of the foregoing, individually or in the aggregate, could not reasonably be expected to result in a Material Adverse Effect. The Borrower and each of its Subsidiaries has fulfilled and performed all of its material obligations with respect to the Health Care Permits, except, in each case, where the failure to do so, individually or in the aggregate, could not reasonably be expected to result in a Material Adverse Effect, and no event has occurred which allows, or after notice or lapse of time would allow, revocation or termination thereof or results in any other impairment of the rights of the holder of any Health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Permit that could reasonably be expected, individually or in the aggregate, to result in a Material Adverse Effect.</w:t>
      </w:r>
    </w:p>
    <w:p>
      <w:pPr>
        <w:spacing w:after="0" w:line="250" w:lineRule="exact"/>
        <w:rPr>
          <w:sz w:val="20"/>
          <w:szCs w:val="20"/>
          <w:color w:val="auto"/>
        </w:rPr>
      </w:pPr>
    </w:p>
    <w:p>
      <w:pPr>
        <w:jc w:val="both"/>
        <w:ind w:firstLine="647"/>
        <w:spacing w:after="0" w:line="283" w:lineRule="auto"/>
        <w:tabs>
          <w:tab w:leader="none" w:pos="94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matters that, individually or in the aggregate, could not reasonably be expected to result in a Material Adverse Effect, none of the Borrower, its Subsidiaries or their respective officers, directors and/or any of its Subsidiaries, employees, or, to the knowledge of the Borrower or any Subsidiary, agents or contractors, is currently, or has in the past been, debarred, suspended or excluded from participation, or otherwise ineligible to participate, in any Federal Health Care Program or similar program outside of the United States pursuant to any applicable Health Care Laws, including, without limitation, 42 U.S.C. § 1320a-7 or holds a certificate of registration with a regulatory body which is suspended or has been revoked or has a pending discipline proceeding with any regulatory body.</w:t>
      </w:r>
    </w:p>
    <w:p>
      <w:pPr>
        <w:spacing w:after="0" w:line="176" w:lineRule="exact"/>
        <w:rPr>
          <w:rFonts w:ascii="Times New Roman" w:cs="Times New Roman" w:eastAsia="Times New Roman" w:hAnsi="Times New Roman"/>
          <w:sz w:val="18"/>
          <w:szCs w:val="18"/>
          <w:color w:val="auto"/>
        </w:rPr>
      </w:pPr>
    </w:p>
    <w:p>
      <w:pPr>
        <w:jc w:val="both"/>
        <w:ind w:firstLine="647"/>
        <w:spacing w:after="0" w:line="253" w:lineRule="auto"/>
        <w:tabs>
          <w:tab w:leader="none" w:pos="94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has knowingly and willfully offered, paid, solicited or received any remuneration (including any kickback, bribe or rebate), directly or indirectly, overtly or covertly, in cash or in kind in return for, or to induce, the purchase, lease or order, or the arranging for or recommending of the purchase, lease or order, of any good, facility, item, or service for which payment may be made in whole or in part under any Federal Health Care Program or similar program outside the United States or any other applicable law.</w:t>
      </w:r>
    </w:p>
    <w:p>
      <w:pPr>
        <w:spacing w:after="0" w:line="202" w:lineRule="exact"/>
        <w:rPr>
          <w:rFonts w:ascii="Times New Roman" w:cs="Times New Roman" w:eastAsia="Times New Roman" w:hAnsi="Times New Roman"/>
          <w:sz w:val="20"/>
          <w:szCs w:val="20"/>
          <w:color w:val="auto"/>
        </w:rPr>
      </w:pPr>
    </w:p>
    <w:p>
      <w:pPr>
        <w:jc w:val="both"/>
        <w:ind w:firstLine="647"/>
        <w:spacing w:after="0" w:line="247" w:lineRule="auto"/>
        <w:tabs>
          <w:tab w:leader="none" w:pos="90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Borrower or any Subsidiary, threatened material inquiries, inspections, audits, overpayments, qui tam actions, appeals, investigations, professional disciplinary or regulatory proceedings, or claims or other actions which relate to a material violation of any Health Care Laws or which, if resolved in a manner adverse to the Borrower or its Subsidiaries, would, either individually or in the aggregate, result in the imposition of any material penalties under a Health Care Law, restrict their ability under a Health Care Law to conduct the business as currently conducted in any material respect, or result in their ineligibility, debarment, suspension, exclusion from participation in any Federal Health Care Program or similar program outside the United States, and none of the Borrower or its Subsidiaries is currently or has been a party to a corporate integrity agreement, deferred prosecution agreement, consent decree, settlement, agreement or similar agreements or orders mandating or prohibiting future or past activities relating to the safety, efficacy, development, manufacture, testing, storage, transportation, distribution, supply, packaging, holding, import or export, marketing or sale of pharmaceutical products, or has any reporting or disclosure obligations pursuant to a settlement agreement, plan or correction or other remedial measure entered into with any Regulatory Authority.</w:t>
      </w:r>
    </w:p>
    <w:p>
      <w:pPr>
        <w:spacing w:after="0" w:line="225" w:lineRule="exact"/>
        <w:rPr>
          <w:rFonts w:ascii="Times New Roman" w:cs="Times New Roman" w:eastAsia="Times New Roman" w:hAnsi="Times New Roman"/>
          <w:sz w:val="20"/>
          <w:szCs w:val="20"/>
          <w:color w:val="auto"/>
        </w:rPr>
      </w:pPr>
    </w:p>
    <w:p>
      <w:pPr>
        <w:jc w:val="both"/>
        <w:ind w:firstLine="647"/>
        <w:spacing w:after="0" w:line="250" w:lineRule="auto"/>
        <w:tabs>
          <w:tab w:leader="none" w:pos="91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2015, and except with respect to matters that, individually or in the aggregate, could not reasonably be expected to result in a Material Adverse Effect, there have been no recalls, detentions, withdrawals, field corrections, safety alerts, “dear doctor” letters, investigator notices, seizures, termination or suspension of manufacturing, or other notice of action relating to an alleged lack of safety, efficacy or regulatory compliance voluntarily or involuntarily undertaken, or requested or threatened by a Governmental Authority, relating to any of the Borrower’s or any of its Subsidiaries’ products.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98" w:right="339" w:bottom="1440" w:gutter="0" w:footer="0" w:header="0"/>
        </w:sectPr>
      </w:pPr>
    </w:p>
    <w:bookmarkStart w:id="118" w:name="page119"/>
    <w:bookmarkEnd w:id="118"/>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4.01. Effective Date</w:t>
      </w:r>
      <w:r>
        <w:rPr>
          <w:rFonts w:ascii="Times New Roman" w:cs="Times New Roman" w:eastAsia="Times New Roman" w:hAnsi="Times New Roman"/>
          <w:sz w:val="20"/>
          <w:szCs w:val="20"/>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211" w:lineRule="exact"/>
        <w:rPr>
          <w:sz w:val="20"/>
          <w:szCs w:val="20"/>
          <w:color w:val="auto"/>
        </w:rPr>
      </w:pPr>
    </w:p>
    <w:p>
      <w:pPr>
        <w:jc w:val="both"/>
        <w:ind w:firstLine="647"/>
        <w:spacing w:after="0" w:line="248" w:lineRule="auto"/>
        <w:tabs>
          <w:tab w:leader="none" w:pos="90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and the other Loan Documents, including any promissory notes requested by a Lender pursuant to Section 2.10 payable to the order of each such requesting Lender and a written opinion of the Loan Parties’ counsel, addressed to the Administrative Agent, the Issuing Bank and the Lenders in form and substance reasonably satisfactory to the Administrative Agent.</w:t>
      </w:r>
    </w:p>
    <w:p>
      <w:pPr>
        <w:spacing w:after="0" w:line="220" w:lineRule="exact"/>
        <w:rPr>
          <w:rFonts w:ascii="Times New Roman" w:cs="Times New Roman" w:eastAsia="Times New Roman" w:hAnsi="Times New Roman"/>
          <w:sz w:val="20"/>
          <w:szCs w:val="20"/>
          <w:u w:val="single" w:color="auto"/>
          <w:color w:val="auto"/>
        </w:rPr>
      </w:pPr>
    </w:p>
    <w:p>
      <w:pPr>
        <w:jc w:val="both"/>
        <w:ind w:firstLine="647"/>
        <w:spacing w:after="0" w:line="249" w:lineRule="auto"/>
        <w:tabs>
          <w:tab w:leader="none" w:pos="964"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and its Subsidiaries for the 2020 and 2021 fiscal years, (ii) unaudited interim consolidated financial statements of the Borrower and its Subsidiaries for each fiscal quarter ended after the date of the latest applicable financial statements delivered pursuant to clause (i) of this paragraph as to which such financial statements are available and (iii) reasonably satisfactory Projections through 2027.</w:t>
      </w:r>
    </w:p>
    <w:p>
      <w:pPr>
        <w:spacing w:after="0" w:line="219" w:lineRule="exact"/>
        <w:rPr>
          <w:rFonts w:ascii="Times New Roman" w:cs="Times New Roman" w:eastAsia="Times New Roman" w:hAnsi="Times New Roman"/>
          <w:sz w:val="20"/>
          <w:szCs w:val="20"/>
          <w:u w:val="single" w:color="auto"/>
          <w:color w:val="auto"/>
        </w:rPr>
      </w:pPr>
    </w:p>
    <w:p>
      <w:pPr>
        <w:jc w:val="both"/>
        <w:ind w:firstLine="647"/>
        <w:spacing w:after="0" w:line="248" w:lineRule="auto"/>
        <w:tabs>
          <w:tab w:leader="none" w:pos="945"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Closing Certificates; Certified Certificate of Incorporation; Good Standing Certificates</w:t>
      </w:r>
      <w:r>
        <w:rPr>
          <w:rFonts w:ascii="Times New Roman" w:cs="Times New Roman" w:eastAsia="Times New Roman" w:hAnsi="Times New Roman"/>
          <w:sz w:val="20"/>
          <w:szCs w:val="20"/>
          <w:color w:val="auto"/>
        </w:rPr>
        <w:t>.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as of the Effective Date to sign the Loan Documents to which it is a party,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w:t>
      </w:r>
    </w:p>
    <w:p>
      <w:pPr>
        <w:spacing w:after="0" w:line="220" w:lineRule="exact"/>
        <w:rPr>
          <w:rFonts w:ascii="Times New Roman" w:cs="Times New Roman" w:eastAsia="Times New Roman" w:hAnsi="Times New Roman"/>
          <w:sz w:val="20"/>
          <w:szCs w:val="20"/>
          <w:u w:val="single" w:color="auto"/>
          <w:color w:val="auto"/>
        </w:rPr>
      </w:pPr>
    </w:p>
    <w:p>
      <w:pPr>
        <w:jc w:val="both"/>
        <w:ind w:firstLine="647"/>
        <w:spacing w:after="0" w:line="249" w:lineRule="auto"/>
        <w:tabs>
          <w:tab w:leader="none" w:pos="92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The Administrative Agent shall have received a certificate, signed by a Financial Officer of the Borrower, dated as of the Effective Date (i) stating that no Default has occurred and is continuing as of such date and (ii) stating that the representations and warranties contained in the Loan Documents are true and correct in all material respects (except those representations and warranties that are already qualified by materiality which shall be true and correct in all respects) as of such date.</w:t>
      </w:r>
    </w:p>
    <w:p>
      <w:pPr>
        <w:spacing w:after="0" w:line="219" w:lineRule="exact"/>
        <w:rPr>
          <w:rFonts w:ascii="Times New Roman" w:cs="Times New Roman" w:eastAsia="Times New Roman" w:hAnsi="Times New Roman"/>
          <w:sz w:val="20"/>
          <w:szCs w:val="20"/>
          <w:u w:val="single" w:color="auto"/>
          <w:color w:val="auto"/>
        </w:rPr>
      </w:pPr>
    </w:p>
    <w:p>
      <w:pPr>
        <w:jc w:val="both"/>
        <w:ind w:firstLine="647"/>
        <w:spacing w:after="0" w:line="250" w:lineRule="auto"/>
        <w:tabs>
          <w:tab w:leader="none" w:pos="906"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reasonable and documented out-of-pocket expenses required to be reimbursed for which invoices have been presented (including the reasonable fees and expenses of one legal counsel), at least three (3) Business Days prior to the Effective Date. All such amounts may be paid with proceeds of Loans made on the Effective Date and will be reflected in the funding instructions given by the Borrower to the Administrative Agent on or before the Effective Date.</w:t>
      </w:r>
    </w:p>
    <w:p>
      <w:pPr>
        <w:spacing w:after="0" w:line="216" w:lineRule="exact"/>
        <w:rPr>
          <w:rFonts w:ascii="Times New Roman" w:cs="Times New Roman" w:eastAsia="Times New Roman" w:hAnsi="Times New Roman"/>
          <w:sz w:val="20"/>
          <w:szCs w:val="20"/>
          <w:u w:val="single" w:color="auto"/>
          <w:color w:val="auto"/>
        </w:rPr>
      </w:pPr>
    </w:p>
    <w:p>
      <w:pPr>
        <w:ind w:firstLine="647"/>
        <w:spacing w:after="0" w:line="275" w:lineRule="auto"/>
        <w:tabs>
          <w:tab w:leader="none" w:pos="918" w:val="left"/>
        </w:tabs>
        <w:numPr>
          <w:ilvl w:val="0"/>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Lien and IP Searches</w:t>
      </w:r>
      <w:r>
        <w:rPr>
          <w:rFonts w:ascii="Times New Roman" w:cs="Times New Roman" w:eastAsia="Times New Roman" w:hAnsi="Times New Roman"/>
          <w:sz w:val="20"/>
          <w:szCs w:val="20"/>
          <w:color w:val="auto"/>
        </w:rPr>
        <w:t>. The Administrative Agent shall have received the results of a recent lien search in the jurisdiction of organization of each Loan Party, and the results of search reports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398" w:right="339" w:bottom="1440" w:gutter="0" w:footer="0" w:header="0"/>
        </w:sectPr>
      </w:pPr>
    </w:p>
    <w:bookmarkStart w:id="119" w:name="page120"/>
    <w:bookmarkEnd w:id="119"/>
    <w:p>
      <w:pPr>
        <w:jc w:val="both"/>
        <w:spacing w:after="0" w:line="256" w:lineRule="auto"/>
        <w:rPr>
          <w:sz w:val="20"/>
          <w:szCs w:val="20"/>
          <w:color w:val="auto"/>
        </w:rPr>
      </w:pPr>
      <w:r>
        <w:rPr>
          <w:rFonts w:ascii="Times New Roman" w:cs="Times New Roman" w:eastAsia="Times New Roman" w:hAnsi="Times New Roman"/>
          <w:sz w:val="20"/>
          <w:szCs w:val="20"/>
          <w:color w:val="auto"/>
        </w:rPr>
        <w:t>respect of the intellectual property of the Loan Parties, and such searches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211" w:lineRule="exact"/>
        <w:rPr>
          <w:sz w:val="20"/>
          <w:szCs w:val="20"/>
          <w:color w:val="auto"/>
        </w:rPr>
      </w:pPr>
    </w:p>
    <w:p>
      <w:pPr>
        <w:ind w:left="920" w:hanging="273"/>
        <w:spacing w:after="0"/>
        <w:tabs>
          <w:tab w:leader="none" w:pos="920" w:val="left"/>
        </w:tabs>
        <w:numPr>
          <w:ilvl w:val="0"/>
          <w:numId w:val="1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 w:lineRule="exact"/>
        <w:rPr>
          <w:rFonts w:ascii="Times New Roman" w:cs="Times New Roman" w:eastAsia="Times New Roman" w:hAnsi="Times New Roman"/>
          <w:sz w:val="20"/>
          <w:szCs w:val="20"/>
          <w:u w:val="single" w:color="auto"/>
          <w:color w:val="auto"/>
        </w:rPr>
      </w:pPr>
    </w:p>
    <w:p>
      <w:pPr>
        <w:ind w:left="960" w:hanging="313"/>
        <w:spacing w:after="0"/>
        <w:tabs>
          <w:tab w:leader="none" w:pos="960" w:val="left"/>
        </w:tabs>
        <w:numPr>
          <w:ilvl w:val="0"/>
          <w:numId w:val="1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(which notice shall be in the form of a Borrowing</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Request or such other form or method reasonably satisfactory to the Administrative Agent) setting forth the deposit account of the Borrower (as may be updated from time to time by written notice from the Borrower to the Administrative Agent,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 by the Borrower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w:t>
      </w:r>
    </w:p>
    <w:p>
      <w:pPr>
        <w:spacing w:after="0" w:line="222" w:lineRule="exact"/>
        <w:rPr>
          <w:sz w:val="20"/>
          <w:szCs w:val="20"/>
          <w:color w:val="auto"/>
        </w:rPr>
      </w:pPr>
    </w:p>
    <w:p>
      <w:pPr>
        <w:ind w:left="880" w:hanging="233"/>
        <w:spacing w:after="0"/>
        <w:tabs>
          <w:tab w:leader="none" w:pos="880"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u w:val="single" w:color="auto"/>
          <w:color w:val="auto"/>
        </w:rPr>
      </w:pPr>
    </w:p>
    <w:p>
      <w:pPr>
        <w:ind w:firstLine="647"/>
        <w:spacing w:after="0" w:line="262" w:lineRule="auto"/>
        <w:tabs>
          <w:tab w:leader="none" w:pos="887"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Administrative Agent shall have received a solvency certificate signed by a Financial Officer dated the Effective Date in form and substance reasonably satisfactory to the Administrative Agent.</w:t>
      </w:r>
    </w:p>
    <w:p>
      <w:pPr>
        <w:spacing w:after="0" w:line="205" w:lineRule="exact"/>
        <w:rPr>
          <w:rFonts w:ascii="Times New Roman" w:cs="Times New Roman" w:eastAsia="Times New Roman" w:hAnsi="Times New Roman"/>
          <w:sz w:val="20"/>
          <w:szCs w:val="20"/>
          <w:u w:val="single" w:color="auto"/>
          <w:color w:val="auto"/>
        </w:rPr>
      </w:pPr>
    </w:p>
    <w:p>
      <w:pPr>
        <w:jc w:val="both"/>
        <w:ind w:firstLine="647"/>
        <w:spacing w:after="0" w:line="250" w:lineRule="auto"/>
        <w:tabs>
          <w:tab w:leader="none" w:pos="971"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Pledged Equity Interests; Stock Powers; Pledged Notes</w:t>
      </w:r>
      <w:r>
        <w:rPr>
          <w:rFonts w:ascii="Times New Roman" w:cs="Times New Roman" w:eastAsia="Times New Roman" w:hAnsi="Times New Roman"/>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 endorsed (without recourse) in blank (or accompanied by an executed transfer form in blank) by the pledgor thereof or accompanied by allonges or other acknowledgements signed in blank, as applicable.</w:t>
      </w:r>
    </w:p>
    <w:p>
      <w:pPr>
        <w:spacing w:after="0" w:line="203" w:lineRule="exact"/>
        <w:rPr>
          <w:rFonts w:ascii="Times New Roman" w:cs="Times New Roman" w:eastAsia="Times New Roman" w:hAnsi="Times New Roman"/>
          <w:sz w:val="20"/>
          <w:szCs w:val="20"/>
          <w:u w:val="single" w:color="auto"/>
          <w:color w:val="auto"/>
        </w:rPr>
      </w:pPr>
    </w:p>
    <w:p>
      <w:pPr>
        <w:jc w:val="both"/>
        <w:ind w:firstLine="647"/>
        <w:spacing w:after="0" w:line="250" w:lineRule="auto"/>
        <w:tabs>
          <w:tab w:leader="none" w:pos="881"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6.02(d) or Permitted Encumbrances to the extent any such Liens or Permitted Encumbrances would have priority over the Liens in favor of the Administrative Agent pursuant to any applicable law), shall be in proper form for filing, registration or recordation.</w:t>
      </w:r>
    </w:p>
    <w:p>
      <w:pPr>
        <w:spacing w:after="0" w:line="217" w:lineRule="exact"/>
        <w:rPr>
          <w:rFonts w:ascii="Times New Roman" w:cs="Times New Roman" w:eastAsia="Times New Roman" w:hAnsi="Times New Roman"/>
          <w:sz w:val="20"/>
          <w:szCs w:val="20"/>
          <w:u w:val="single" w:color="auto"/>
          <w:color w:val="auto"/>
        </w:rPr>
      </w:pPr>
    </w:p>
    <w:p>
      <w:pPr>
        <w:jc w:val="both"/>
        <w:ind w:firstLine="647"/>
        <w:spacing w:after="0" w:line="256" w:lineRule="auto"/>
        <w:tabs>
          <w:tab w:leader="none" w:pos="972"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Administrative Agent shall have received evidence of insurance coverage in form, scope, and substance reasonably satisfactory to the Administrative Agent and otherwise in compliance with the terms of Section 5.10 of this Agreement and the Security Agreement.</w:t>
      </w:r>
    </w:p>
    <w:p>
      <w:pPr>
        <w:spacing w:after="0" w:line="211" w:lineRule="exact"/>
        <w:rPr>
          <w:rFonts w:ascii="Times New Roman" w:cs="Times New Roman" w:eastAsia="Times New Roman" w:hAnsi="Times New Roman"/>
          <w:sz w:val="20"/>
          <w:szCs w:val="20"/>
          <w:u w:val="single" w:color="auto"/>
          <w:color w:val="auto"/>
        </w:rPr>
      </w:pPr>
    </w:p>
    <w:p>
      <w:pPr>
        <w:ind w:firstLine="647"/>
        <w:spacing w:after="0" w:line="262" w:lineRule="auto"/>
        <w:tabs>
          <w:tab w:leader="none" w:pos="917"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Due Diligence</w:t>
      </w:r>
      <w:r>
        <w:rPr>
          <w:rFonts w:ascii="Times New Roman" w:cs="Times New Roman" w:eastAsia="Times New Roman" w:hAnsi="Times New Roman"/>
          <w:sz w:val="20"/>
          <w:szCs w:val="20"/>
          <w:color w:val="auto"/>
        </w:rPr>
        <w:t>. The Administrative Agent and its counsel shall have completed all legal due diligence, the results of which shall be satisfactory to Administrative Agent in its reasonable discretion.</w:t>
      </w:r>
    </w:p>
    <w:p>
      <w:pPr>
        <w:spacing w:after="0" w:line="205" w:lineRule="exact"/>
        <w:rPr>
          <w:rFonts w:ascii="Times New Roman" w:cs="Times New Roman" w:eastAsia="Times New Roman" w:hAnsi="Times New Roman"/>
          <w:sz w:val="20"/>
          <w:szCs w:val="20"/>
          <w:u w:val="single" w:color="auto"/>
          <w:color w:val="auto"/>
        </w:rPr>
      </w:pPr>
    </w:p>
    <w:p>
      <w:pPr>
        <w:jc w:val="both"/>
        <w:ind w:firstLine="647"/>
        <w:spacing w:after="0" w:line="256" w:lineRule="auto"/>
        <w:tabs>
          <w:tab w:leader="none" w:pos="934" w:val="left"/>
        </w:tabs>
        <w:numPr>
          <w:ilvl w:val="0"/>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USA PATRIOT Act, Etc.</w:t>
      </w:r>
      <w:r>
        <w:rPr>
          <w:rFonts w:ascii="Times New Roman" w:cs="Times New Roman" w:eastAsia="Times New Roman" w:hAnsi="Times New Roman"/>
          <w:sz w:val="20"/>
          <w:szCs w:val="20"/>
          <w:color w:val="auto"/>
        </w:rPr>
        <w:t xml:space="preserve"> At least five (5) days prior to the Effective Date, (i) the Administrative Agent and Lenders shall have received (x) all documentation and other information regarding the Loan Parties requested in connection with applicable “know your customer” and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97" w:right="339" w:bottom="1440" w:gutter="0" w:footer="0" w:header="0"/>
        </w:sectPr>
      </w:pPr>
    </w:p>
    <w:bookmarkStart w:id="120" w:name="page121"/>
    <w:bookmarkEnd w:id="120"/>
    <w:p>
      <w:pPr>
        <w:jc w:val="both"/>
        <w:spacing w:after="0" w:line="250" w:lineRule="auto"/>
        <w:rPr>
          <w:sz w:val="20"/>
          <w:szCs w:val="20"/>
          <w:color w:val="auto"/>
        </w:rPr>
      </w:pPr>
      <w:r>
        <w:rPr>
          <w:rFonts w:ascii="Times New Roman" w:cs="Times New Roman" w:eastAsia="Times New Roman" w:hAnsi="Times New Roman"/>
          <w:sz w:val="20"/>
          <w:szCs w:val="20"/>
          <w:color w:val="auto"/>
        </w:rPr>
        <w:t>money laundering rules and regulations, including the USA PATRIOT Act, to the extent requested in writing of the Borrower at least ten (10) days prior to the Effective Date and (y) a properly completed and signed IRS Form W-8 or W-9, as applicable, for each Loan Party and (ii) to the extent the Borrower qualifies as a “legal entity customer” under the Beneficial Ownership Regulation,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17" w:lineRule="exact"/>
        <w:rPr>
          <w:sz w:val="20"/>
          <w:szCs w:val="20"/>
          <w:color w:val="auto"/>
        </w:rPr>
      </w:pPr>
    </w:p>
    <w:p>
      <w:pPr>
        <w:jc w:val="both"/>
        <w:ind w:firstLine="647"/>
        <w:spacing w:after="0" w:line="286" w:lineRule="auto"/>
        <w:tabs>
          <w:tab w:leader="none" w:pos="931" w:val="left"/>
        </w:tabs>
        <w:numPr>
          <w:ilvl w:val="0"/>
          <w:numId w:val="10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 (including, without limitation, a properly completed letter of credit application (whether standalone or pursuant to a master agreement, as applicable) if the issuance of a Letter of Credit will be required on the Effective Date, together with an executed copy of the Issuing Bank’s master agreement for the issuance of commercial Letters of Credit).</w:t>
      </w:r>
    </w:p>
    <w:p>
      <w:pPr>
        <w:spacing w:after="0" w:line="18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The Administrative Agent shall notify the Loan Parties, the Lenders and the Issuing Bank of the Effective Date, and such notice shall be conclusive and binding.</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4.02. Each Credit Event</w:t>
      </w:r>
      <w:r>
        <w:rPr>
          <w:rFonts w:ascii="Times New Roman" w:cs="Times New Roman" w:eastAsia="Times New Roman" w:hAnsi="Times New Roman"/>
          <w:sz w:val="20"/>
          <w:szCs w:val="20"/>
          <w:color w:val="auto"/>
        </w:rPr>
        <w:t>. The obligation of each Lender to make a Loan on the occasion of any Borrowing, and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Bank to issue, amend or extend any Letter of Credit, is subject to the satisfaction of the following conditions:</w:t>
      </w:r>
    </w:p>
    <w:p>
      <w:pPr>
        <w:spacing w:after="0" w:line="223" w:lineRule="exact"/>
        <w:rPr>
          <w:sz w:val="20"/>
          <w:szCs w:val="20"/>
          <w:color w:val="auto"/>
        </w:rPr>
      </w:pPr>
    </w:p>
    <w:p>
      <w:pPr>
        <w:jc w:val="both"/>
        <w:ind w:firstLine="647"/>
        <w:spacing w:after="0" w:line="253" w:lineRule="auto"/>
        <w:tabs>
          <w:tab w:leader="none" w:pos="92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set forth in the Loan Documents shall be true and correct in all material respects (provided that any representation or warranty which is qualified by materiality shall be true and correct in all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202" w:lineRule="exact"/>
        <w:rPr>
          <w:rFonts w:ascii="Times New Roman" w:cs="Times New Roman" w:eastAsia="Times New Roman" w:hAnsi="Times New Roman"/>
          <w:sz w:val="20"/>
          <w:szCs w:val="20"/>
          <w:color w:val="auto"/>
        </w:rPr>
      </w:pPr>
    </w:p>
    <w:p>
      <w:pPr>
        <w:ind w:firstLine="647"/>
        <w:spacing w:after="0" w:line="275" w:lineRule="auto"/>
        <w:tabs>
          <w:tab w:leader="none" w:pos="9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or the issuance, amendment or extension of such Letter of Credit, as applicable, no Default or Event of Default shall have occurred and be continuing.</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Each Borrowing and each issuance, amendment or extension of a Letter of Credit shall be deemed to constitute a representation and warranty by the Borrower on the date thereof as to the matters specified in paragraphs (a) and (b) of this Section, as applicable.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97" w:right="339" w:bottom="1440" w:gutter="0" w:footer="0" w:header="0"/>
        </w:sectPr>
      </w:pPr>
    </w:p>
    <w:bookmarkStart w:id="121" w:name="page122"/>
    <w:bookmarkEnd w:id="121"/>
    <w:p>
      <w:pPr>
        <w:spacing w:after="0" w:line="198" w:lineRule="exact"/>
        <w:rPr>
          <w:sz w:val="20"/>
          <w:szCs w:val="20"/>
          <w:color w:val="auto"/>
        </w:rPr>
      </w:pPr>
    </w:p>
    <w:p>
      <w:pPr>
        <w:ind w:firstLine="640"/>
        <w:spacing w:after="0" w:line="275"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SECTION 5.01. Financial Statements and Other Information</w:t>
      </w:r>
      <w:r>
        <w:rPr>
          <w:rFonts w:ascii="Times New Roman" w:cs="Times New Roman" w:eastAsia="Times New Roman" w:hAnsi="Times New Roman"/>
          <w:sz w:val="18"/>
          <w:szCs w:val="18"/>
          <w:color w:val="auto"/>
        </w:rPr>
        <w:t>. The Borrower will furnish to the Administrative Agent and each Lender:</w:t>
      </w:r>
    </w:p>
    <w:p>
      <w:pPr>
        <w:spacing w:after="0" w:line="273" w:lineRule="exact"/>
        <w:rPr>
          <w:sz w:val="20"/>
          <w:szCs w:val="20"/>
          <w:color w:val="auto"/>
        </w:rPr>
      </w:pPr>
    </w:p>
    <w:p>
      <w:pPr>
        <w:jc w:val="both"/>
        <w:ind w:firstLine="647"/>
        <w:spacing w:after="0" w:line="248" w:lineRule="auto"/>
        <w:tabs>
          <w:tab w:leader="none" w:pos="91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ending December 31, 2022),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209" w:lineRule="exact"/>
        <w:rPr>
          <w:rFonts w:ascii="Times New Roman" w:cs="Times New Roman" w:eastAsia="Times New Roman" w:hAnsi="Times New Roman"/>
          <w:sz w:val="20"/>
          <w:szCs w:val="20"/>
          <w:color w:val="auto"/>
        </w:rPr>
      </w:pPr>
    </w:p>
    <w:p>
      <w:pPr>
        <w:jc w:val="both"/>
        <w:ind w:firstLine="647"/>
        <w:spacing w:after="0" w:line="246" w:lineRule="auto"/>
        <w:tabs>
          <w:tab w:leader="none" w:pos="919"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(commencing with the fiscal quarter ending June 30, 2022),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8" w:lineRule="exact"/>
        <w:rPr>
          <w:rFonts w:ascii="Times New Roman" w:cs="Times New Roman" w:eastAsia="Times New Roman" w:hAnsi="Times New Roman"/>
          <w:sz w:val="20"/>
          <w:szCs w:val="20"/>
          <w:color w:val="auto"/>
        </w:rPr>
      </w:pPr>
    </w:p>
    <w:p>
      <w:pPr>
        <w:jc w:val="both"/>
        <w:ind w:firstLine="647"/>
        <w:spacing w:after="0" w:line="271" w:lineRule="auto"/>
        <w:tabs>
          <w:tab w:leader="none" w:pos="92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any delivery of financial statements under clause (a) or (b) above (commencing with the fiscal quarter ending June 30, 2022) (collectively or individually, as the context requires,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 Compliance Certificate (i) certifying, in the case of the Financial Statements delivered under clause (a) or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w:t>
      </w:r>
    </w:p>
    <w:p>
      <w:pPr>
        <w:spacing w:after="0" w:line="4" w:lineRule="exact"/>
        <w:rPr>
          <w:rFonts w:ascii="Times New Roman" w:cs="Times New Roman" w:eastAsia="Times New Roman" w:hAnsi="Times New Roman"/>
          <w:sz w:val="18"/>
          <w:szCs w:val="18"/>
          <w:color w:val="auto"/>
        </w:rPr>
      </w:pPr>
    </w:p>
    <w:p>
      <w:pPr>
        <w:jc w:val="both"/>
        <w:ind w:firstLine="7"/>
        <w:spacing w:after="0" w:line="248" w:lineRule="auto"/>
        <w:tabs>
          <w:tab w:leader="none" w:pos="34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22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1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no later than sixty (60) days after the end of each fiscal year of the Borrower, a copy of the plan and forecast (including a projected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75" w:lineRule="auto"/>
        <w:rPr>
          <w:sz w:val="20"/>
          <w:szCs w:val="20"/>
          <w:color w:val="auto"/>
        </w:rPr>
      </w:pPr>
      <w:r>
        <w:rPr>
          <w:rFonts w:ascii="Times New Roman" w:cs="Times New Roman" w:eastAsia="Times New Roman" w:hAnsi="Times New Roman"/>
          <w:sz w:val="20"/>
          <w:szCs w:val="20"/>
          <w:color w:val="auto"/>
        </w:rPr>
        <w:t>income statement and cash flow statement) of the Borrower for each month of the upcoming fiscal year (the “Projections”) in form reasonably satisfactory to the Administrative Agent;</w:t>
      </w:r>
    </w:p>
    <w:p>
      <w:pPr>
        <w:spacing w:after="0" w:line="180" w:lineRule="exact"/>
        <w:rPr>
          <w:sz w:val="20"/>
          <w:szCs w:val="20"/>
          <w:color w:val="auto"/>
        </w:rPr>
      </w:pPr>
    </w:p>
    <w:p>
      <w:pPr>
        <w:jc w:val="both"/>
        <w:ind w:firstLine="647"/>
        <w:spacing w:after="0" w:line="253" w:lineRule="auto"/>
        <w:tabs>
          <w:tab w:leader="none" w:pos="91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(x) such other information regarding the operations, changes in ownership of Equity Interests,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202" w:lineRule="exact"/>
        <w:rPr>
          <w:rFonts w:ascii="Times New Roman" w:cs="Times New Roman" w:eastAsia="Times New Roman" w:hAnsi="Times New Roman"/>
          <w:sz w:val="20"/>
          <w:szCs w:val="20"/>
          <w:color w:val="auto"/>
        </w:rPr>
      </w:pPr>
    </w:p>
    <w:p>
      <w:pPr>
        <w:jc w:val="both"/>
        <w:ind w:firstLine="647"/>
        <w:spacing w:after="0" w:line="250" w:lineRule="auto"/>
        <w:tabs>
          <w:tab w:leader="none" w:pos="93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217" w:lineRule="exact"/>
        <w:rPr>
          <w:rFonts w:ascii="Times New Roman" w:cs="Times New Roman" w:eastAsia="Times New Roman" w:hAnsi="Times New Roman"/>
          <w:sz w:val="20"/>
          <w:szCs w:val="20"/>
          <w:color w:val="auto"/>
        </w:rPr>
      </w:pPr>
    </w:p>
    <w:p>
      <w:pPr>
        <w:jc w:val="both"/>
        <w:ind w:firstLine="647"/>
        <w:spacing w:after="0" w:line="256" w:lineRule="auto"/>
        <w:tabs>
          <w:tab w:leader="none" w:pos="93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 and</w:t>
      </w:r>
    </w:p>
    <w:p>
      <w:pPr>
        <w:spacing w:after="0" w:line="211" w:lineRule="exact"/>
        <w:rPr>
          <w:rFonts w:ascii="Times New Roman" w:cs="Times New Roman" w:eastAsia="Times New Roman" w:hAnsi="Times New Roman"/>
          <w:sz w:val="20"/>
          <w:szCs w:val="20"/>
          <w:color w:val="auto"/>
        </w:rPr>
      </w:pPr>
    </w:p>
    <w:p>
      <w:pPr>
        <w:jc w:val="both"/>
        <w:ind w:firstLine="647"/>
        <w:spacing w:after="0" w:line="256" w:lineRule="auto"/>
        <w:tabs>
          <w:tab w:leader="none" w:pos="87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five (5) Business Days) after any casualty or other insured damage to any material portion of the Collateral or the commencement of any action or proceeding for the taking of any material portion of the Collateral or interest therein under power of eminent domain or by condemnation or similar proceeding, written notice thereof.</w:t>
      </w:r>
    </w:p>
    <w:p>
      <w:pPr>
        <w:spacing w:after="0" w:line="19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Documents required to be delivered pursuant to clauses (a), (b) or (h) of this Section 5.01 (to the extent any such documents are included in materials otherwise filed with the SEC) may be delivered electronically and if so delivered, shall be deemed to have been delivered on the date</w:t>
      </w:r>
    </w:p>
    <w:p>
      <w:pPr>
        <w:spacing w:after="0" w:line="1" w:lineRule="exact"/>
        <w:rPr>
          <w:sz w:val="20"/>
          <w:szCs w:val="20"/>
          <w:color w:val="auto"/>
        </w:rPr>
      </w:pPr>
    </w:p>
    <w:p>
      <w:pPr>
        <w:jc w:val="both"/>
        <w:ind w:firstLine="7"/>
        <w:spacing w:after="0" w:line="245" w:lineRule="auto"/>
        <w:tabs>
          <w:tab w:leader="none" w:pos="2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facsimile or through Electronic 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97" w:right="339" w:bottom="1440" w:gutter="0" w:footer="0" w:header="0"/>
        </w:sectPr>
      </w:pPr>
    </w:p>
    <w:bookmarkStart w:id="123" w:name="page124"/>
    <w:bookmarkEnd w:id="123"/>
    <w:p>
      <w:pPr>
        <w:ind w:right="20" w:firstLine="640"/>
        <w:spacing w:after="0" w:line="275" w:lineRule="auto"/>
        <w:rPr>
          <w:sz w:val="20"/>
          <w:szCs w:val="20"/>
          <w:color w:val="auto"/>
        </w:rPr>
      </w:pPr>
      <w:r>
        <w:rPr>
          <w:rFonts w:ascii="Times New Roman" w:cs="Times New Roman" w:eastAsia="Times New Roman" w:hAnsi="Times New Roman"/>
          <w:sz w:val="20"/>
          <w:szCs w:val="20"/>
          <w:u w:val="single" w:color="auto"/>
          <w:color w:val="auto"/>
        </w:rPr>
        <w:t>SECTION 5.02. Notices of Material Events</w:t>
      </w:r>
      <w:r>
        <w:rPr>
          <w:rFonts w:ascii="Times New Roman" w:cs="Times New Roman" w:eastAsia="Times New Roman" w:hAnsi="Times New Roman"/>
          <w:sz w:val="20"/>
          <w:szCs w:val="20"/>
          <w:color w:val="auto"/>
        </w:rPr>
        <w:t>. The Borrower will furnish to the Administrative Agent and each Lender prompt (but in any event within three (3) Business Days after an Authorized Officer becomes aware thereof) written notice of the following:</w:t>
      </w:r>
    </w:p>
    <w:p>
      <w:pPr>
        <w:spacing w:after="0" w:line="180" w:lineRule="exact"/>
        <w:rPr>
          <w:sz w:val="20"/>
          <w:szCs w:val="20"/>
          <w:color w:val="auto"/>
        </w:rPr>
      </w:pPr>
    </w:p>
    <w:p>
      <w:pPr>
        <w:ind w:left="920" w:hanging="273"/>
        <w:spacing w:after="0"/>
        <w:tabs>
          <w:tab w:leader="none" w:pos="9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50" w:lineRule="exact"/>
        <w:rPr>
          <w:rFonts w:ascii="Times New Roman" w:cs="Times New Roman" w:eastAsia="Times New Roman" w:hAnsi="Times New Roman"/>
          <w:sz w:val="20"/>
          <w:szCs w:val="20"/>
          <w:color w:val="auto"/>
        </w:rPr>
      </w:pPr>
    </w:p>
    <w:p>
      <w:pPr>
        <w:jc w:val="both"/>
        <w:ind w:firstLine="647"/>
        <w:spacing w:after="0" w:line="250" w:lineRule="auto"/>
        <w:tabs>
          <w:tab w:leader="none" w:pos="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any notice of any investigation by a Governmental Authority or any Proceeding commenced or threatened against any Loan Party or any Subsidiary that (i) seeks damages in excess of $5,000,000, (ii) seeks injunctive relief,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$5,000,000 in respect of any tax, fee, assessment, or other governmental charge, or (vii) involves any product recall;</w:t>
      </w:r>
    </w:p>
    <w:p>
      <w:pPr>
        <w:spacing w:after="0" w:line="203"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50" w:lineRule="exact"/>
        <w:rPr>
          <w:rFonts w:ascii="Times New Roman" w:cs="Times New Roman" w:eastAsia="Times New Roman" w:hAnsi="Times New Roman"/>
          <w:sz w:val="20"/>
          <w:szCs w:val="20"/>
          <w:color w:val="auto"/>
        </w:rPr>
      </w:pPr>
    </w:p>
    <w:p>
      <w:pPr>
        <w:ind w:firstLine="647"/>
        <w:spacing w:after="0" w:line="275" w:lineRule="auto"/>
        <w:tabs>
          <w:tab w:leader="none" w:pos="92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liability of the Borrower and its Subsidiaries in an aggregate amount exceeding $5,000,000; and</w:t>
      </w:r>
    </w:p>
    <w:p>
      <w:pPr>
        <w:spacing w:after="0" w:line="180" w:lineRule="exact"/>
        <w:rPr>
          <w:rFonts w:ascii="Times New Roman" w:cs="Times New Roman" w:eastAsia="Times New Roman" w:hAnsi="Times New Roman"/>
          <w:sz w:val="20"/>
          <w:szCs w:val="20"/>
          <w:color w:val="auto"/>
        </w:rPr>
      </w:pPr>
    </w:p>
    <w:p>
      <w:pPr>
        <w:ind w:firstLine="647"/>
        <w:spacing w:after="0" w:line="275" w:lineRule="auto"/>
        <w:tabs>
          <w:tab w:leader="none" w:pos="90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 subsequent to the date of the most recent audited financial statements delivered to the Administrative Agent and Lenders pursuant to this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notice delivered under this Section (i) shall be in writing, (ii) shall contain a heading or a reference line that reads “Notice under Section 5.02 of Vericel Corporation Credit Agreement dated July 29, 2022” and (iii) shall be accompanied by a statement of an executive officer of the Borrower setting forth the details of the event or development requiring such notice and any action taken or proposed to be taken with respect thereto.</w:t>
      </w:r>
    </w:p>
    <w:p>
      <w:pPr>
        <w:spacing w:after="0" w:line="21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5.03. Existence; Conduct of Business</w:t>
      </w:r>
      <w:r>
        <w:rPr>
          <w:rFonts w:ascii="Times New Roman" w:cs="Times New Roman" w:eastAsia="Times New Roman" w:hAnsi="Times New Roman"/>
          <w:sz w:val="20"/>
          <w:szCs w:val="20"/>
          <w:color w:val="auto"/>
        </w:rPr>
        <w:t xml:space="preserve">. Each Loan Party will, and will cause each Subsidiary to, (a) preserve and maintain in full force and effect its organizational existence and good standing under the laws of its jurisdiction of incorporation, organization or formation, as applicable, (b) preserve and maintain its rights (charter and statutory), privileges, franchises, licenses, qualifications and permits necessary or desirable in the normal conduct of its business except as could not reasonably be expected to have, either individually or in the aggregate,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liquidation or dissolution permitted under Section 6.03 or Disposition permitted under Section 6.05.</w:t>
      </w:r>
    </w:p>
    <w:p>
      <w:pPr>
        <w:spacing w:after="0" w:line="20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5.04. Payment of Obligations</w:t>
      </w:r>
      <w:r>
        <w:rPr>
          <w:rFonts w:ascii="Times New Roman" w:cs="Times New Roman" w:eastAsia="Times New Roman" w:hAnsi="Times New Roman"/>
          <w:sz w:val="20"/>
          <w:szCs w:val="20"/>
          <w:color w:val="auto"/>
        </w:rPr>
        <w:t xml:space="preserve">.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Loan Party will, and will cause each Subsidiary to, remit withholding taxes and other payroll taxes to appropriate Governmental Authorities as and when claimed to be due, notwithstanding the foregoing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98" w:right="339" w:bottom="1440" w:gutter="0" w:footer="0" w:header="0"/>
        </w:sectPr>
      </w:pPr>
    </w:p>
    <w:bookmarkStart w:id="124" w:name="page125"/>
    <w:bookmarkEnd w:id="124"/>
    <w:p>
      <w:pPr>
        <w:spacing w:after="0" w:line="19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5.05. Maintenance of Properties</w:t>
      </w:r>
      <w:r>
        <w:rPr>
          <w:rFonts w:ascii="Times New Roman" w:cs="Times New Roman" w:eastAsia="Times New Roman" w:hAnsi="Times New Roman"/>
          <w:sz w:val="20"/>
          <w:szCs w:val="20"/>
          <w:color w:val="auto"/>
        </w:rPr>
        <w:t>. Each Loan Party will, and will cause each Subsidiary to, keep and maintain all property material to the conduct of its business in good working order and condition, ordinary wear and tear and damage by casualty excepted except where the failure to do so could not reasonably be expected to have, either individually or in the aggregate, a Material Adverse Effect.</w:t>
      </w:r>
    </w:p>
    <w:p>
      <w:pPr>
        <w:spacing w:after="0" w:line="211"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5.06. Books and Records; Inspection Rights</w:t>
      </w:r>
      <w:r>
        <w:rPr>
          <w:rFonts w:ascii="Times New Roman" w:cs="Times New Roman" w:eastAsia="Times New Roman" w:hAnsi="Times New Roman"/>
          <w:sz w:val="20"/>
          <w:szCs w:val="20"/>
          <w:color w:val="auto"/>
        </w:rPr>
        <w:t>.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upon reasonable prior written notice during normal business hours (unless an Event of Default shall have occurred and be continuing, in which event no notice shall be required and Administrative Agent shall have access at any and all times during the continuance thereof), to visit and inspect its properties, conduct at the Loan Party’s premises examinations of the Loan Party’s assets, liabilities, books and records, including examining and making extracts from its books and records, and to discuss its affairs, finances and condition with its officers. The Loan Parties acknowledge that the Administrative Agent, after exercising its rights of inspection, may prepare and distribute to the Lenders certain reports pertaining to the Loan Parties’ assets for internal use by the Administrative Agent and the Lenders. Notwithstanding the foregoing, so long as no Event of Default has occurred and is continuing, the Administrative Agent shall be limited to one such visit and inspection per calendar year and the Loan Parties shall not be required to pay for more than one such visit and inspection per calendar year.</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5.07. Compliance with Laws and Material Contractual Obligations; Healthcare and Regulatory Authority Matters.</w:t>
      </w:r>
    </w:p>
    <w:p>
      <w:pPr>
        <w:spacing w:after="0" w:line="250" w:lineRule="exact"/>
        <w:rPr>
          <w:sz w:val="20"/>
          <w:szCs w:val="20"/>
          <w:color w:val="auto"/>
        </w:rPr>
      </w:pPr>
    </w:p>
    <w:p>
      <w:pPr>
        <w:jc w:val="both"/>
        <w:ind w:firstLine="647"/>
        <w:spacing w:after="0" w:line="284" w:lineRule="auto"/>
        <w:tabs>
          <w:tab w:leader="none" w:pos="9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and will cause each Subsidiary to, (i) comply with each Requirement of Law applicable to it or its property (including without limitation Environmental Laws) and (ii) perform in all material respects its obligations under Material Contracts to which it is a party except in each case where the failure to comply could not reasonably be expected to have, either individually or in the aggregate,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9" w:lineRule="exact"/>
        <w:rPr>
          <w:rFonts w:ascii="Times New Roman" w:cs="Times New Roman" w:eastAsia="Times New Roman" w:hAnsi="Times New Roman"/>
          <w:sz w:val="18"/>
          <w:szCs w:val="18"/>
          <w:color w:val="auto"/>
        </w:rPr>
      </w:pPr>
    </w:p>
    <w:p>
      <w:pPr>
        <w:jc w:val="both"/>
        <w:ind w:firstLine="647"/>
        <w:spacing w:after="0" w:line="256" w:lineRule="auto"/>
        <w:tabs>
          <w:tab w:leader="none" w:pos="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Subsidiary to, (i) comply with all applicable Health Care Laws and (ii) to hold and possess all Health Care Permits and maintain such Health Care Permits in full force and effect, in each case except where the failure to do so, individually or in the aggregate, could not reasonably be expected to result in a Material Adverse Effect.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5.08. Use of Proceeds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53" w:lineRule="auto"/>
        <w:tabs>
          <w:tab w:leader="none" w:pos="91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Loans and the Letters of Credit will be used only to finance the working capital needs and general corporate purposes of the Borrower and its Subsidiaries in the ordinary course of business (including, without limitation, Permitted Acquisitions, capital expenditures and dividends and other Restricted Payments, in each case, permitted hereunder). No part of the proceeds of any Loan and no Letter of Credit will be used, whether directly or indirectly, for any purpose that entails a violation of any of the regulations of the Federal Reserve Board, including Regulations T, U and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125" w:name="page126"/>
    <w:bookmarkEnd w:id="125"/>
    <w:p>
      <w:pPr>
        <w:jc w:val="both"/>
        <w:ind w:firstLine="647"/>
        <w:spacing w:after="0" w:line="250" w:lineRule="auto"/>
        <w:tabs>
          <w:tab w:leader="none" w:pos="95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request any Borrowing or Letter of Credit, and the Borrower shall not use, and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217"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5.09. Accuracy of Information</w:t>
      </w:r>
      <w:r>
        <w:rPr>
          <w:rFonts w:ascii="Times New Roman" w:cs="Times New Roman" w:eastAsia="Times New Roman" w:hAnsi="Times New Roman"/>
          <w:sz w:val="20"/>
          <w:szCs w:val="20"/>
          <w:color w:val="auto"/>
        </w:rPr>
        <w:t>.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 prepared in good faith based upon assumptions believed to be reasonable at the time (it being understood and agreed that Projections delivered to the Administrative Agent, represent the Borrower’s good faith estimate of future financial performance and are based on assumptions believed by the Borrower at the time so delivered to be fair and reasonable in light of current market conditions, it being further acknowledged and agreed by Administrative Agent and Lenders that projections are not a guarantee of financial performance, are subject to significant uncertainties and contingencies, many of which are beyond Borrower’s control, no assurance can be given that any particular financial projections will be realized, and projections as to future events are not to be viewed as facts and that the actual results during the period or periods covered by such projections may differ from the projected results and such differences may be material).</w:t>
      </w:r>
    </w:p>
    <w:p>
      <w:pPr>
        <w:spacing w:after="0" w:line="218"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u w:val="single" w:color="auto"/>
          <w:color w:val="auto"/>
        </w:rPr>
        <w:t>SECTION 5.10. Insurance</w:t>
      </w:r>
      <w:r>
        <w:rPr>
          <w:rFonts w:ascii="Times New Roman" w:cs="Times New Roman" w:eastAsia="Times New Roman" w:hAnsi="Times New Roman"/>
          <w:sz w:val="18"/>
          <w:szCs w:val="18"/>
          <w:color w:val="auto"/>
        </w:rPr>
        <w:t>. Each Loan Party will, and will cause each Subsidiary to, maintain with financially sound and reputable carriers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Administrative Agent upon written request, but no more frequently than annually, information in reasonable detail as to the insurance so maintained.</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5.13. Subsidiary Guarantors; Additional Collateral; Further Assurances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9" w:lineRule="auto"/>
        <w:tabs>
          <w:tab w:leader="none" w:pos="91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possible but in any event (i) within sixty (60) days (or such later date as may be agreed upon by the Administrative Agent) after any Person becomes a Subsidiary (other than an Excluded Subsidiary) or any Subsidiary (other than VSC) ceases to be an Excluded Subsidiary or (ii) within thirty (30) days (or such later date as may be agreed upon by the Administrative Agent) after VSC ceases to conduct itself as, or is no longer entitled to status as, a “security corporation”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397" w:right="339" w:bottom="1440" w:gutter="0" w:footer="0" w:header="0"/>
        </w:sectPr>
      </w:pPr>
    </w:p>
    <w:bookmarkStart w:id="126" w:name="page127"/>
    <w:bookmarkEnd w:id="126"/>
    <w:p>
      <w:pPr>
        <w:jc w:val="both"/>
        <w:spacing w:after="0" w:line="246" w:lineRule="auto"/>
        <w:rPr>
          <w:sz w:val="20"/>
          <w:szCs w:val="20"/>
          <w:color w:val="auto"/>
        </w:rPr>
      </w:pPr>
      <w:r>
        <w:rPr>
          <w:rFonts w:ascii="Times New Roman" w:cs="Times New Roman" w:eastAsia="Times New Roman" w:hAnsi="Times New Roman"/>
          <w:sz w:val="20"/>
          <w:szCs w:val="20"/>
          <w:color w:val="auto"/>
        </w:rPr>
        <w:t>Massachusetts Department of Revenue pursuant to Massachusetts General Law c. 63, § 38B, or any successor statute (including by engaging in any business activity other than securities investment activity), the Borrower shall (x) provide the Administrative Agent with written notice thereof setting forth information in reasonable detail describing the material assets of such Person and (y) cause each such Subsidiary to execute and deliver to the Administrative Agent a Joinder Agreement and a joinder to the Security Agreement (in the form contemplated thereby) pursuant to which such Subsidiary agrees to be bound by the terms and provisions thereof, which shall be accompanied by appropriate organizational resolutions, other organizational documentation and legal opinions in form and substance reasonably satisfactory to the Administrative Agent (if reasonably requested by the Administrative Agent).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Each such Person delivering a Joinder Agreement (1) shall automatically become a Subsidiary Guarantor hereunder and thereupon shall have all of the rights, benefits, duties, and obligations in such capacity under the Loan Documents and (2) will grant Liens to the Administrative Agent, for the benefit of the Administrative Agent and the other Secured Parties, in any property of such Loan Party which constitutes Collateral, including any parcel of Material Real Property located in the U.S. owned by any Loan Party.</w:t>
      </w:r>
    </w:p>
    <w:p>
      <w:pPr>
        <w:spacing w:after="0" w:line="231" w:lineRule="exact"/>
        <w:rPr>
          <w:sz w:val="20"/>
          <w:szCs w:val="20"/>
          <w:color w:val="auto"/>
        </w:rPr>
      </w:pPr>
    </w:p>
    <w:p>
      <w:pPr>
        <w:jc w:val="both"/>
        <w:ind w:firstLine="647"/>
        <w:spacing w:after="0" w:line="276" w:lineRule="auto"/>
        <w:tabs>
          <w:tab w:leader="none" w:pos="9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cause, and will cause each other Loan Party to cause, all of its owned property other than Excluded Property (whether real, personal, tangible, intangible, or mixed)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6.02(d) or Permitted Encumbrances to the extent such Liens or Permitted Encumbrances would have priority over the Liens in favor of the Administrative Agent pursuant to any applicable law. Without limiting the generality of the foregoing, each Loan Party (i) will cause (x) 100% of the issued and outstanding Equity Interests of each of its Domestic Subsidiaries (other than any CFC Holdings Company) and (y) 65% of the issued and outstanding Equity Interests entitled to vote (within the meaning of Treas. Reg. Section 1.956-2(c)(2)) and 100% of the issued and outstanding Equity Interests not entitled to vote (within the meaning of Treas. Reg. Section 1.956-2(c)(2)) in each CFC Holding Company and Foreign Subsidiary directly owned by any Loan Party (other than any Equity Interests to the extent constituting Excluded Property), in each case, to be subject at all times to a first priority, perfected Lien in favor of the Administrative Agent for the benefit of the Administrative Agent and the other Secured Parties to secure the Secured Obligations in accordance with the terms and conditions of the Security Agreement and (ii) will deliver Mortgages and all related Mortgage Instruments and other deliveries requested by the Administrative Agent with respect to any Material Real Property owned by such Loan Party to the extent, and within such time period as is, reasonably required by the Administrative Agent. Notwithstanding the foregoing, (i) no such Mortgages and Mortgage Instruments are required to be delivered hereunder as of the Effective Date and (ii) no such pledge agreement in respect of the Equity Interests of a Foreign Subsidiary shall be required to be perfected under the law of any jurisdiction outside the U.S..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jc w:val="both"/>
        <w:ind w:firstLine="647"/>
        <w:spacing w:after="0" w:line="250" w:lineRule="auto"/>
        <w:tabs>
          <w:tab w:leader="none" w:pos="9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fixture filings, Mortgages, Mortgage Instruments,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397" w:right="339" w:bottom="1440" w:gutter="0" w:footer="0" w:header="0"/>
        </w:sectPr>
      </w:pPr>
    </w:p>
    <w:bookmarkStart w:id="127" w:name="page128"/>
    <w:bookmarkEnd w:id="127"/>
    <w:p>
      <w:pPr>
        <w:spacing w:after="0" w:line="275" w:lineRule="auto"/>
        <w:rPr>
          <w:sz w:val="20"/>
          <w:szCs w:val="20"/>
          <w:color w:val="auto"/>
        </w:rPr>
      </w:pPr>
      <w:r>
        <w:rPr>
          <w:rFonts w:ascii="Times New Roman" w:cs="Times New Roman" w:eastAsia="Times New Roman" w:hAnsi="Times New Roman"/>
          <w:sz w:val="20"/>
          <w:szCs w:val="20"/>
          <w:color w:val="auto"/>
        </w:rPr>
        <w:t>by the Collateral Documents, all in form and substance reasonably satisfactory to the Administrative Agent and all at the expense of the Loan Parties.</w:t>
      </w:r>
    </w:p>
    <w:p>
      <w:pPr>
        <w:spacing w:after="0" w:line="180" w:lineRule="exact"/>
        <w:rPr>
          <w:sz w:val="20"/>
          <w:szCs w:val="20"/>
          <w:color w:val="auto"/>
        </w:rPr>
      </w:pPr>
    </w:p>
    <w:p>
      <w:pPr>
        <w:jc w:val="both"/>
        <w:ind w:firstLine="647"/>
        <w:spacing w:after="0" w:line="250" w:lineRule="auto"/>
        <w:tabs>
          <w:tab w:leader="none" w:pos="94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material assets other than Excluded Property are acquired by any Loan Party after the Effective Date (other than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paragraphs (b) and (c) of this Section, all at the expense of the Loan Parties (in all cases with respect to Material Real Property, in accordance with the conditions in Section 5.13(b) above).</w:t>
      </w:r>
    </w:p>
    <w:p>
      <w:pPr>
        <w:spacing w:after="0" w:line="204" w:lineRule="exact"/>
        <w:rPr>
          <w:rFonts w:ascii="Times New Roman" w:cs="Times New Roman" w:eastAsia="Times New Roman" w:hAnsi="Times New Roman"/>
          <w:sz w:val="20"/>
          <w:szCs w:val="20"/>
          <w:color w:val="auto"/>
        </w:rPr>
      </w:pPr>
    </w:p>
    <w:p>
      <w:pPr>
        <w:jc w:val="both"/>
        <w:ind w:firstLine="647"/>
        <w:spacing w:after="0" w:line="250" w:lineRule="auto"/>
        <w:tabs>
          <w:tab w:leader="none" w:pos="91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other Loan Documents to the contrary, (i) no actions will be required outside of the U.S. in order to create or perfect any security interest in any assets located outside of the U.S., (ii) no foreign law security or pledge agreements, foreign law mortgages or deeds or foreign intellectual property filings or searches will be required to be delivered hereby or pursuant to the terms of any Collateral Document and (iii)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w:t>
      </w:r>
    </w:p>
    <w:p>
      <w:pPr>
        <w:spacing w:after="0" w:line="20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5.14. Post-Closing Requirements</w:t>
      </w:r>
      <w:r>
        <w:rPr>
          <w:rFonts w:ascii="Times New Roman" w:cs="Times New Roman" w:eastAsia="Times New Roman" w:hAnsi="Times New Roman"/>
          <w:sz w:val="20"/>
          <w:szCs w:val="20"/>
          <w:color w:val="auto"/>
        </w:rPr>
        <w:t xml:space="preserve">. Not later than the dates set forth in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(or such later dates as the Administrative Agent shall agree in its reasonable discretion) or as otherwise required thereunder, the Loan Parties shall take the actions set forth on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5.15. Vericel Securities Corporation</w:t>
      </w:r>
      <w:r>
        <w:rPr>
          <w:rFonts w:ascii="Times New Roman" w:cs="Times New Roman" w:eastAsia="Times New Roman" w:hAnsi="Times New Roman"/>
          <w:sz w:val="20"/>
          <w:szCs w:val="20"/>
          <w:color w:val="auto"/>
        </w:rPr>
        <w:t>. Notwithstanding any provision to the contrary herein (including, without limitation, the ability of the Borrower and its Subsidiaries to make investments pursuant to Section 6.04 hereof), if at any time VSC has not become a Subsidiary Guarantor pursuant to Section 5.13 hereof and the Loan Parties have in the aggregate less than $20,000,000 of Unrestricted Cash, then (i) VSC shall not be permitted to hold more than $500,000 of cash and Permitted Investments and (ii) VSC shall immediately transfer any cash and Permitted Investments in excess of $500,000 to one or more accounts of Loan Parties that is subject to a deposit account control agreement or securities account control agreement in favor of the Administrative Agent.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6.01. Indebtedness</w:t>
      </w:r>
      <w:r>
        <w:rPr>
          <w:rFonts w:ascii="Times New Roman" w:cs="Times New Roman" w:eastAsia="Times New Roman" w:hAnsi="Times New Roman"/>
          <w:sz w:val="20"/>
          <w:szCs w:val="20"/>
          <w:color w:val="auto"/>
        </w:rPr>
        <w:t>. No Loan Party will, nor will it permit any Subsidiary to, create, incur, assume or suffer to exist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except: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398" w:right="339" w:bottom="1440" w:gutter="0" w:footer="0" w:header="0"/>
        </w:sectPr>
      </w:pPr>
    </w:p>
    <w:bookmarkStart w:id="128" w:name="page129"/>
    <w:bookmarkEnd w:id="128"/>
    <w:p>
      <w:pPr>
        <w:spacing w:after="0" w:line="198" w:lineRule="exact"/>
        <w:rPr>
          <w:sz w:val="20"/>
          <w:szCs w:val="20"/>
          <w:color w:val="auto"/>
        </w:rPr>
      </w:pPr>
    </w:p>
    <w:p>
      <w:pPr>
        <w:ind w:left="920" w:hanging="273"/>
        <w:spacing w:after="0"/>
        <w:tabs>
          <w:tab w:leader="none" w:pos="92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any Refinance Indebtedness in respect thereof;</w:t>
      </w:r>
    </w:p>
    <w:p>
      <w:pPr>
        <w:spacing w:after="0" w:line="250" w:lineRule="exact"/>
        <w:rPr>
          <w:rFonts w:ascii="Times New Roman" w:cs="Times New Roman" w:eastAsia="Times New Roman" w:hAnsi="Times New Roman"/>
          <w:sz w:val="20"/>
          <w:szCs w:val="20"/>
          <w:color w:val="auto"/>
        </w:rPr>
      </w:pPr>
    </w:p>
    <w:p>
      <w:pPr>
        <w:jc w:val="both"/>
        <w:ind w:firstLine="647"/>
        <w:spacing w:after="0" w:line="249" w:lineRule="auto"/>
        <w:tabs>
          <w:tab w:leader="none" w:pos="921"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219" w:lineRule="exact"/>
        <w:rPr>
          <w:rFonts w:ascii="Times New Roman" w:cs="Times New Roman" w:eastAsia="Times New Roman" w:hAnsi="Times New Roman"/>
          <w:sz w:val="20"/>
          <w:szCs w:val="20"/>
          <w:color w:val="auto"/>
        </w:rPr>
      </w:pPr>
    </w:p>
    <w:p>
      <w:pPr>
        <w:jc w:val="both"/>
        <w:ind w:firstLine="647"/>
        <w:spacing w:after="0" w:line="250" w:lineRule="auto"/>
        <w:tabs>
          <w:tab w:leader="none" w:pos="919"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216" w:lineRule="exact"/>
        <w:rPr>
          <w:rFonts w:ascii="Times New Roman" w:cs="Times New Roman" w:eastAsia="Times New Roman" w:hAnsi="Times New Roman"/>
          <w:sz w:val="20"/>
          <w:szCs w:val="20"/>
          <w:color w:val="auto"/>
        </w:rPr>
      </w:pPr>
    </w:p>
    <w:p>
      <w:pPr>
        <w:jc w:val="both"/>
        <w:ind w:firstLine="647"/>
        <w:spacing w:after="0" w:line="277" w:lineRule="auto"/>
        <w:tabs>
          <w:tab w:leader="none" w:pos="92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at any time outstanding, the greater of (x) $7,500,000 and (y) 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199" w:lineRule="exact"/>
        <w:rPr>
          <w:rFonts w:ascii="Times New Roman" w:cs="Times New Roman" w:eastAsia="Times New Roman" w:hAnsi="Times New Roman"/>
          <w:sz w:val="18"/>
          <w:szCs w:val="18"/>
          <w:color w:val="auto"/>
        </w:rPr>
      </w:pPr>
    </w:p>
    <w:p>
      <w:pPr>
        <w:jc w:val="both"/>
        <w:ind w:firstLine="647"/>
        <w:spacing w:after="0" w:line="278" w:lineRule="auto"/>
        <w:tabs>
          <w:tab w:leader="none" w:pos="89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of any of the Indebtedness described in clauses (b), (e), (i) and</w:t>
      </w:r>
    </w:p>
    <w:p>
      <w:pPr>
        <w:spacing w:after="0" w:line="1" w:lineRule="exact"/>
        <w:rPr>
          <w:rFonts w:ascii="Times New Roman" w:cs="Times New Roman" w:eastAsia="Times New Roman" w:hAnsi="Times New Roman"/>
          <w:sz w:val="18"/>
          <w:szCs w:val="18"/>
          <w:color w:val="auto"/>
        </w:rPr>
      </w:pPr>
    </w:p>
    <w:p>
      <w:pPr>
        <w:jc w:val="both"/>
        <w:ind w:firstLine="7"/>
        <w:spacing w:after="0" w:line="277" w:lineRule="auto"/>
        <w:tabs>
          <w:tab w:leader="none" w:pos="24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Lien priority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129" w:name="page130"/>
    <w:bookmarkEnd w:id="129"/>
    <w:p>
      <w:pPr>
        <w:jc w:val="both"/>
        <w:ind w:firstLine="647"/>
        <w:spacing w:after="0" w:line="256" w:lineRule="auto"/>
        <w:tabs>
          <w:tab w:leader="none" w:pos="95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211" w:lineRule="exact"/>
        <w:rPr>
          <w:rFonts w:ascii="Times New Roman" w:cs="Times New Roman" w:eastAsia="Times New Roman" w:hAnsi="Times New Roman"/>
          <w:sz w:val="20"/>
          <w:szCs w:val="20"/>
          <w:color w:val="auto"/>
        </w:rPr>
      </w:pPr>
    </w:p>
    <w:p>
      <w:pPr>
        <w:ind w:firstLine="647"/>
        <w:spacing w:after="0" w:line="262" w:lineRule="auto"/>
        <w:tabs>
          <w:tab w:leader="none" w:pos="92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in respect of performance bonds, bid bonds, appeal bonds, surety bonds and similar obligations, in each case provided in the ordinary course of business;</w:t>
      </w:r>
    </w:p>
    <w:p>
      <w:pPr>
        <w:spacing w:after="0" w:line="205" w:lineRule="exact"/>
        <w:rPr>
          <w:rFonts w:ascii="Times New Roman" w:cs="Times New Roman" w:eastAsia="Times New Roman" w:hAnsi="Times New Roman"/>
          <w:sz w:val="20"/>
          <w:szCs w:val="20"/>
          <w:color w:val="auto"/>
        </w:rPr>
      </w:pPr>
    </w:p>
    <w:p>
      <w:pPr>
        <w:jc w:val="both"/>
        <w:ind w:firstLine="647"/>
        <w:spacing w:after="0" w:line="250" w:lineRule="auto"/>
        <w:tabs>
          <w:tab w:leader="none" w:pos="90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Indebtedness (together with any Refinance Indebtedness in respect thereof permitted by clause (f) above) in an aggregate principal amount not to exceed, at any time outstanding, the greater of (x) $5,250,000 and (y) 17.5%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17" w:lineRule="exact"/>
        <w:rPr>
          <w:rFonts w:ascii="Times New Roman" w:cs="Times New Roman" w:eastAsia="Times New Roman" w:hAnsi="Times New Roman"/>
          <w:sz w:val="20"/>
          <w:szCs w:val="20"/>
          <w:color w:val="auto"/>
        </w:rPr>
      </w:pPr>
    </w:p>
    <w:p>
      <w:pPr>
        <w:jc w:val="both"/>
        <w:ind w:firstLine="647"/>
        <w:spacing w:after="0" w:line="275" w:lineRule="auto"/>
        <w:tabs>
          <w:tab w:leader="none" w:pos="88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(j), together with any Refinance Indebtedness in respect thereof permitted by clause (f) above, shall not exceed, at any time outstanding, the greater of (x) $7,500,000 and (y) 25% of Consolidated EBITDA for the Borrower and its Subsidiaries on a consolidated basis in accordance with GAAP for the period of four consecutive fiscal quarters ended 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recently prior to such time for which financial statements have been delivered to the Administrative Agent pursuant to Section 5.01(a) or</w:t>
      </w:r>
    </w:p>
    <w:p>
      <w:pPr>
        <w:spacing w:after="0" w:line="28" w:lineRule="exact"/>
        <w:rPr>
          <w:sz w:val="20"/>
          <w:szCs w:val="20"/>
          <w:color w:val="auto"/>
        </w:rPr>
      </w:pPr>
    </w:p>
    <w:p>
      <w:pPr>
        <w:ind w:firstLine="7"/>
        <w:spacing w:after="0" w:line="253" w:lineRule="auto"/>
        <w:tabs>
          <w:tab w:leader="none" w:pos="27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prior to the delivery of any such Financial Statements, ending with the last fiscal quarter included in the financial statements referred to in Section 3.04(a));</w:t>
      </w:r>
    </w:p>
    <w:p>
      <w:pPr>
        <w:spacing w:after="0" w:line="20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250"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endorsements for collection or deposit in the ordinary course of business;</w:t>
      </w:r>
    </w:p>
    <w:p>
      <w:pPr>
        <w:spacing w:after="0" w:line="237" w:lineRule="exact"/>
        <w:rPr>
          <w:rFonts w:ascii="Times New Roman" w:cs="Times New Roman" w:eastAsia="Times New Roman" w:hAnsi="Times New Roman"/>
          <w:sz w:val="20"/>
          <w:szCs w:val="20"/>
          <w:color w:val="auto"/>
        </w:rPr>
      </w:pPr>
    </w:p>
    <w:p>
      <w:pPr>
        <w:ind w:left="1000" w:hanging="353"/>
        <w:spacing w:after="0"/>
        <w:tabs>
          <w:tab w:leader="none" w:pos="100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indemnity agreements to title insurers to cause such title insurers to issue to Agent title insurance</w:t>
      </w:r>
    </w:p>
    <w:p>
      <w:pPr>
        <w:spacing w:after="0" w:line="2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policies;</w:t>
      </w:r>
    </w:p>
    <w:p>
      <w:pPr>
        <w:spacing w:after="0" w:line="236" w:lineRule="exact"/>
        <w:rPr>
          <w:rFonts w:ascii="Times New Roman" w:cs="Times New Roman" w:eastAsia="Times New Roman" w:hAnsi="Times New Roman"/>
          <w:sz w:val="20"/>
          <w:szCs w:val="20"/>
          <w:color w:val="auto"/>
        </w:rPr>
      </w:pPr>
    </w:p>
    <w:p>
      <w:pPr>
        <w:jc w:val="both"/>
        <w:ind w:firstLine="647"/>
        <w:spacing w:after="0" w:line="256" w:lineRule="auto"/>
        <w:tabs>
          <w:tab w:leader="none" w:pos="97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with respect to customary indemnification obligations, purchase price adjustments and other similar obligations not constituting Contingent Acquisition Consideration in favor of (i) sellers in connection with Acquisitions or similar Investments permitted hereunder and (ii) purchasers in connection with Dispositions permitted under Section 6.2(b);</w:t>
      </w:r>
    </w:p>
    <w:p>
      <w:pPr>
        <w:spacing w:after="0" w:line="198" w:lineRule="exact"/>
        <w:rPr>
          <w:rFonts w:ascii="Times New Roman" w:cs="Times New Roman" w:eastAsia="Times New Roman" w:hAnsi="Times New Roman"/>
          <w:sz w:val="20"/>
          <w:szCs w:val="20"/>
          <w:color w:val="auto"/>
        </w:rPr>
      </w:pPr>
    </w:p>
    <w:p>
      <w:pPr>
        <w:ind w:right="20" w:firstLine="647"/>
        <w:spacing w:after="0" w:line="275" w:lineRule="auto"/>
        <w:tabs>
          <w:tab w:leader="none" w:pos="92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netting services or overdraft protection in connection with deposit accounts or securities accounts in the ordinary course of business;</w:t>
      </w:r>
    </w:p>
    <w:p>
      <w:pPr>
        <w:spacing w:after="0" w:line="193"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the Borrower or any of its Subsidiaries consisting of Contingent Acquisition Consideration;</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3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promissory notes issued by the Borrower to any stockholder of the Borrower or any current or former director, officer, employee, member of management, manager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398" w:right="339" w:bottom="1440" w:gutter="0" w:footer="0" w:header="0"/>
        </w:sectPr>
      </w:pPr>
    </w:p>
    <w:bookmarkStart w:id="130" w:name="page131"/>
    <w:bookmarkEnd w:id="130"/>
    <w:p>
      <w:pPr>
        <w:spacing w:after="0" w:line="275" w:lineRule="auto"/>
        <w:rPr>
          <w:sz w:val="20"/>
          <w:szCs w:val="20"/>
          <w:color w:val="auto"/>
        </w:rPr>
      </w:pPr>
      <w:r>
        <w:rPr>
          <w:rFonts w:ascii="Times New Roman" w:cs="Times New Roman" w:eastAsia="Times New Roman" w:hAnsi="Times New Roman"/>
          <w:sz w:val="20"/>
          <w:szCs w:val="20"/>
          <w:color w:val="auto"/>
        </w:rPr>
        <w:t>consultant of the Borrower or any Subsidiary (or their respective immediate family members, heirs, estates, spouses, ex-spouses or successors, as the case may be) to finance the purchase or redemption of Equity Interests permitted by Section 6.08(a)(ix); and</w:t>
      </w:r>
    </w:p>
    <w:p>
      <w:pPr>
        <w:spacing w:after="0" w:line="180" w:lineRule="exact"/>
        <w:rPr>
          <w:sz w:val="20"/>
          <w:szCs w:val="20"/>
          <w:color w:val="auto"/>
        </w:rPr>
      </w:pPr>
    </w:p>
    <w:p>
      <w:pPr>
        <w:jc w:val="both"/>
        <w:ind w:firstLine="647"/>
        <w:spacing w:after="0" w:line="253" w:lineRule="auto"/>
        <w:tabs>
          <w:tab w:leader="none" w:pos="90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exceeding at any time outstanding the greater of (x) $5,250,000 and (y) 17.5%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02"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6.02. Liens</w:t>
      </w:r>
      <w:r>
        <w:rPr>
          <w:rFonts w:ascii="Times New Roman" w:cs="Times New Roman" w:eastAsia="Times New Roman" w:hAnsi="Times New Roman"/>
          <w:sz w:val="20"/>
          <w:szCs w:val="20"/>
          <w:color w:val="auto"/>
        </w:rPr>
        <w:t>.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211" w:lineRule="exact"/>
        <w:rPr>
          <w:sz w:val="20"/>
          <w:szCs w:val="20"/>
          <w:color w:val="auto"/>
        </w:rPr>
      </w:pPr>
    </w:p>
    <w:p>
      <w:pPr>
        <w:ind w:left="920" w:hanging="273"/>
        <w:spacing w:after="0"/>
        <w:tabs>
          <w:tab w:leader="none" w:pos="9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any Loan Document;</w:t>
      </w:r>
    </w:p>
    <w:p>
      <w:pPr>
        <w:spacing w:after="0" w:line="25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37" w:lineRule="exact"/>
        <w:rPr>
          <w:rFonts w:ascii="Times New Roman" w:cs="Times New Roman" w:eastAsia="Times New Roman" w:hAnsi="Times New Roman"/>
          <w:sz w:val="20"/>
          <w:szCs w:val="20"/>
          <w:color w:val="auto"/>
        </w:rPr>
      </w:pPr>
    </w:p>
    <w:p>
      <w:pPr>
        <w:jc w:val="both"/>
        <w:ind w:firstLine="647"/>
        <w:spacing w:after="0" w:line="254" w:lineRule="auto"/>
        <w:tabs>
          <w:tab w:leader="none" w:pos="92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213" w:lineRule="exact"/>
        <w:rPr>
          <w:rFonts w:ascii="Times New Roman" w:cs="Times New Roman" w:eastAsia="Times New Roman" w:hAnsi="Times New Roman"/>
          <w:sz w:val="20"/>
          <w:szCs w:val="20"/>
          <w:color w:val="auto"/>
        </w:rPr>
      </w:pPr>
    </w:p>
    <w:p>
      <w:pPr>
        <w:jc w:val="both"/>
        <w:ind w:firstLine="647"/>
        <w:spacing w:after="0" w:line="250" w:lineRule="auto"/>
        <w:tabs>
          <w:tab w:leader="none" w:pos="92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acquired, constructed or improved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permitted by Section 6.01(e),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any Subsidiary;</w:t>
      </w:r>
    </w:p>
    <w:p>
      <w:pPr>
        <w:spacing w:after="0" w:line="203" w:lineRule="exact"/>
        <w:rPr>
          <w:rFonts w:ascii="Times New Roman" w:cs="Times New Roman" w:eastAsia="Times New Roman" w:hAnsi="Times New Roman"/>
          <w:sz w:val="20"/>
          <w:szCs w:val="20"/>
          <w:color w:val="auto"/>
        </w:rPr>
      </w:pPr>
    </w:p>
    <w:p>
      <w:pPr>
        <w:ind w:firstLine="647"/>
        <w:spacing w:after="0" w:line="275" w:lineRule="auto"/>
        <w:tabs>
          <w:tab w:leader="none" w:pos="93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4-210 of the UCC in effect in the relevant jurisdiction covering only the items being collected upon;</w:t>
      </w:r>
    </w:p>
    <w:p>
      <w:pPr>
        <w:spacing w:after="0" w:line="193" w:lineRule="exact"/>
        <w:rPr>
          <w:rFonts w:ascii="Times New Roman" w:cs="Times New Roman" w:eastAsia="Times New Roman" w:hAnsi="Times New Roman"/>
          <w:sz w:val="20"/>
          <w:szCs w:val="20"/>
          <w:color w:val="auto"/>
        </w:rPr>
      </w:pPr>
    </w:p>
    <w:p>
      <w:pPr>
        <w:ind w:left="900" w:hanging="253"/>
        <w:spacing w:after="0"/>
        <w:tabs>
          <w:tab w:leader="none" w:pos="9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Sale and Leaseback Transactions permitted by Section 6.06;</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3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80" w:lineRule="exact"/>
        <w:rPr>
          <w:rFonts w:ascii="Times New Roman" w:cs="Times New Roman" w:eastAsia="Times New Roman" w:hAnsi="Times New Roman"/>
          <w:sz w:val="20"/>
          <w:szCs w:val="20"/>
          <w:color w:val="auto"/>
        </w:rPr>
      </w:pPr>
    </w:p>
    <w:p>
      <w:pPr>
        <w:ind w:firstLine="647"/>
        <w:spacing w:after="0" w:line="275" w:lineRule="auto"/>
        <w:tabs>
          <w:tab w:leader="none" w:pos="9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by any Loan Party or any of its Subsidiaries in the ordinary course of business</w:t>
      </w:r>
    </w:p>
    <w:p>
      <w:pPr>
        <w:spacing w:after="0" w:line="193"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unearned insurance premiums securing the financing thereof to the extent permitted under Section 6.1(k)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98" w:right="339" w:bottom="1440" w:gutter="0" w:footer="0" w:header="0"/>
        </w:sectPr>
      </w:pPr>
    </w:p>
    <w:bookmarkStart w:id="131" w:name="page132"/>
    <w:bookmarkEnd w:id="131"/>
    <w:p>
      <w:pPr>
        <w:jc w:val="both"/>
        <w:ind w:firstLine="647"/>
        <w:spacing w:after="0" w:line="250" w:lineRule="auto"/>
        <w:tabs>
          <w:tab w:leader="none" w:pos="8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assets acquired pursuant to a Permitted Acquisition (or a similar Investment permitted by Section 6.04), or on property or assets of a Subsidiary of the Borrower in existence at the time such Subsidiary is acquired pursuant to a Permitted Acquisition (or a similar Investment permitted by Section 6.04); provided that (i) any Indebtedness that is secured by such Liens is permitted to exist under Section 6.05(j), and (ii) such Liens are not incurred in connection with, or in contemplation or anticipation of, such Permitted Acquisition or such other Investment and do not attach to any Property of the Borrower or any of its Subsidiaries;</w:t>
      </w:r>
    </w:p>
    <w:p>
      <w:pPr>
        <w:spacing w:after="0" w:line="216" w:lineRule="exact"/>
        <w:rPr>
          <w:rFonts w:ascii="Times New Roman" w:cs="Times New Roman" w:eastAsia="Times New Roman" w:hAnsi="Times New Roman"/>
          <w:sz w:val="20"/>
          <w:szCs w:val="20"/>
          <w:color w:val="auto"/>
        </w:rPr>
      </w:pPr>
    </w:p>
    <w:p>
      <w:pPr>
        <w:jc w:val="both"/>
        <w:ind w:firstLine="647"/>
        <w:spacing w:after="0" w:line="254" w:lineRule="auto"/>
        <w:tabs>
          <w:tab w:leader="none" w:pos="92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replacements of Liens permitted under this Section 6.2 to the extent that the original Indebtedness is permitted under Section 6.1 and so long as the replacement Liens only encumber those assets that secured the original Indebtedness (excluding the amount of any premiums or penalties and accrued and unpaid interest thereon) and if such original Indebtedness has been modified or replaced, the resulting Indebtedness constitutes a Refinance Indebtedness;</w:t>
      </w:r>
    </w:p>
    <w:p>
      <w:pPr>
        <w:spacing w:after="0" w:line="200"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any lease not prohibited by this Agreement;</w:t>
      </w:r>
    </w:p>
    <w:p>
      <w:pPr>
        <w:spacing w:after="0" w:line="250" w:lineRule="exact"/>
        <w:rPr>
          <w:rFonts w:ascii="Times New Roman" w:cs="Times New Roman" w:eastAsia="Times New Roman" w:hAnsi="Times New Roman"/>
          <w:sz w:val="20"/>
          <w:szCs w:val="20"/>
          <w:color w:val="auto"/>
        </w:rPr>
      </w:pPr>
    </w:p>
    <w:p>
      <w:pPr>
        <w:ind w:firstLine="647"/>
        <w:spacing w:after="0" w:line="275" w:lineRule="auto"/>
        <w:tabs>
          <w:tab w:leader="none" w:pos="101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uniform commercial code financing statements with respect to any lease not prohibited by this Agreement;</w:t>
      </w:r>
    </w:p>
    <w:p>
      <w:pPr>
        <w:spacing w:after="0" w:line="180" w:lineRule="exact"/>
        <w:rPr>
          <w:rFonts w:ascii="Times New Roman" w:cs="Times New Roman" w:eastAsia="Times New Roman" w:hAnsi="Times New Roman"/>
          <w:sz w:val="20"/>
          <w:szCs w:val="20"/>
          <w:color w:val="auto"/>
        </w:rPr>
      </w:pPr>
    </w:p>
    <w:p>
      <w:pPr>
        <w:jc w:val="both"/>
        <w:ind w:firstLine="647"/>
        <w:spacing w:after="0" w:line="291" w:lineRule="auto"/>
        <w:tabs>
          <w:tab w:leader="none" w:pos="9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non-exclusive licenses and sublicenses granted by a Loan Party or any Subsidiary of a Loan Party (including, for the avoidance of doubt, non-exclusive intellectual property Licenses) in the ordinary course of business and not materially interfering with the business of the Loan Parties or any of their Subsidiaries, and (ii) leases and subleases (by a Loan Party or any Subsidiary of a Loan Party as lessor or sublessor) to third parties in the ordinary course of business not interfering with the business of the Loan Parties or any of their Subsidiaries;</w:t>
      </w:r>
    </w:p>
    <w:p>
      <w:pPr>
        <w:spacing w:after="0" w:line="183" w:lineRule="exact"/>
        <w:rPr>
          <w:rFonts w:ascii="Times New Roman" w:cs="Times New Roman" w:eastAsia="Times New Roman" w:hAnsi="Times New Roman"/>
          <w:sz w:val="18"/>
          <w:szCs w:val="18"/>
          <w:color w:val="auto"/>
        </w:rPr>
      </w:pPr>
    </w:p>
    <w:p>
      <w:pPr>
        <w:ind w:firstLine="647"/>
        <w:spacing w:after="0" w:line="262" w:lineRule="auto"/>
        <w:tabs>
          <w:tab w:leader="none" w:pos="92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consignment or similar arrangements for the sale of goods entered into by the Borrower or any Subsidiary of the Borrower in the ordinary course of business;</w:t>
      </w:r>
    </w:p>
    <w:p>
      <w:pPr>
        <w:spacing w:after="0" w:line="205" w:lineRule="exact"/>
        <w:rPr>
          <w:rFonts w:ascii="Times New Roman" w:cs="Times New Roman" w:eastAsia="Times New Roman" w:hAnsi="Times New Roman"/>
          <w:sz w:val="20"/>
          <w:szCs w:val="20"/>
          <w:color w:val="auto"/>
        </w:rPr>
      </w:pPr>
    </w:p>
    <w:p>
      <w:pPr>
        <w:ind w:firstLine="647"/>
        <w:spacing w:after="0" w:line="262" w:lineRule="auto"/>
        <w:tabs>
          <w:tab w:leader="none" w:pos="92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which secure payment of customs duties in connection with the importation of goods in the ordinary course of business; and</w:t>
      </w:r>
    </w:p>
    <w:p>
      <w:pPr>
        <w:spacing w:after="0" w:line="205" w:lineRule="exact"/>
        <w:rPr>
          <w:rFonts w:ascii="Times New Roman" w:cs="Times New Roman" w:eastAsia="Times New Roman" w:hAnsi="Times New Roman"/>
          <w:sz w:val="20"/>
          <w:szCs w:val="20"/>
          <w:color w:val="auto"/>
        </w:rPr>
      </w:pPr>
    </w:p>
    <w:p>
      <w:pPr>
        <w:jc w:val="both"/>
        <w:ind w:firstLine="647"/>
        <w:spacing w:after="0" w:line="250" w:lineRule="auto"/>
        <w:tabs>
          <w:tab w:leader="none" w:pos="91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the Borrower and its Subsidiaries not constituting Collateral not otherwise permitted by this Section 6.02 so long as the aggregate outstanding amount of obligations secured by such Liens does not exceed the greater of (x) $1,875,000 and (y) 6.25%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6.03. Fundamental Changes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6" w:lineRule="auto"/>
        <w:tabs>
          <w:tab w:leader="none" w:pos="92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 any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397" w:right="3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 Borrower may merge into the Borrower in a transaction in which the Borrower is the surviving entity, (ii) any Loan Party (other than the Borrower) may merge into any other Loan Party in a transaction in which the surviving entity is a Loan Party and (iii) any Subsidiary that is not a Loan Party may liquidate or dissolve if the Borrower determines in good faith that such liquidation or dissolution is in the best interests of the Borrower and is not materially disadvantageous to the Lenders (as reasonably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Person that is not a Wholly-Owned Subsidiary immediately prior to such merger shall not be permitted unless also permitted by Section 6.04.</w:t>
      </w:r>
    </w:p>
    <w:p>
      <w:pPr>
        <w:spacing w:after="0" w:line="217" w:lineRule="exact"/>
        <w:rPr>
          <w:sz w:val="20"/>
          <w:szCs w:val="20"/>
          <w:color w:val="auto"/>
        </w:rPr>
      </w:pPr>
    </w:p>
    <w:p>
      <w:pPr>
        <w:ind w:left="920" w:hanging="273"/>
        <w:spacing w:after="0"/>
        <w:tabs>
          <w:tab w:leader="none" w:pos="9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engage in any business other than a Similar Business.</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change its fiscal year or any fiscal quarter from the basis in effect on the Effective Date.</w:t>
      </w:r>
    </w:p>
    <w:p>
      <w:pPr>
        <w:spacing w:after="0" w:line="18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change the accounting basis upon which its financial statements are prepared.</w:t>
      </w:r>
    </w:p>
    <w:p>
      <w:pPr>
        <w:spacing w:after="0" w:line="25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6.04. Investments, Loans, Advances, Guarantees and Acquisitions</w:t>
      </w:r>
      <w:r>
        <w:rPr>
          <w:rFonts w:ascii="Times New Roman" w:cs="Times New Roman" w:eastAsia="Times New Roman" w:hAnsi="Times New Roman"/>
          <w:sz w:val="20"/>
          <w:szCs w:val="20"/>
          <w:color w:val="auto"/>
        </w:rPr>
        <w:t>. No Loan Party will, nor will it permit any Subsidiary to, form any subsidiary after the Effective Date, or purchase, hold or acquire (including pursuant to any merger or consolidation with any Person that was not a Loan Party and a Wholly-Owned Subsidiary prior to such merger or consolidation)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purchase or otherwise acquire (in one transaction or a series of transactions) any Person or any assets of any other Person constituting a business unit (whether through purchase of assets, merger or otherwise) or acquire any Exclusive License or rights to a drug, medical device or other medical product line of any Person (the items described in this paragraph are referred to as “Investments”), except:</w:t>
      </w:r>
    </w:p>
    <w:p>
      <w:pPr>
        <w:spacing w:after="0" w:line="220" w:lineRule="exact"/>
        <w:rPr>
          <w:sz w:val="20"/>
          <w:szCs w:val="20"/>
          <w:color w:val="auto"/>
        </w:rPr>
      </w:pPr>
    </w:p>
    <w:p>
      <w:pPr>
        <w:ind w:left="920" w:hanging="273"/>
        <w:spacing w:after="0"/>
        <w:tabs>
          <w:tab w:leader="none" w:pos="9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237" w:lineRule="exact"/>
        <w:rPr>
          <w:rFonts w:ascii="Times New Roman" w:cs="Times New Roman" w:eastAsia="Times New Roman" w:hAnsi="Times New Roman"/>
          <w:sz w:val="20"/>
          <w:szCs w:val="20"/>
          <w:color w:val="auto"/>
        </w:rPr>
      </w:pPr>
    </w:p>
    <w:p>
      <w:pPr>
        <w:jc w:val="both"/>
        <w:ind w:firstLine="647"/>
        <w:spacing w:after="0" w:line="256" w:lineRule="auto"/>
        <w:tabs>
          <w:tab w:leader="none" w:pos="92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existence as of the Effective Date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and Investments consisting of any modification, replacement (with an Investment of the same type), renewal, reinvestment or extension of any Investment described in Schedule 6.04;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such Investment is not increased from the amount of such Investment on the Effective Date;</w:t>
      </w:r>
    </w:p>
    <w:p>
      <w:pPr>
        <w:spacing w:after="0" w:line="211" w:lineRule="exact"/>
        <w:rPr>
          <w:rFonts w:ascii="Times New Roman" w:cs="Times New Roman" w:eastAsia="Times New Roman" w:hAnsi="Times New Roman"/>
          <w:sz w:val="20"/>
          <w:szCs w:val="20"/>
          <w:color w:val="auto"/>
        </w:rPr>
      </w:pPr>
    </w:p>
    <w:p>
      <w:pPr>
        <w:jc w:val="both"/>
        <w:ind w:firstLine="647"/>
        <w:spacing w:after="0" w:line="248" w:lineRule="auto"/>
        <w:tabs>
          <w:tab w:leader="none" w:pos="92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the Borrower and the Subsidiaries in Equity Interests in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Equity Interests held by a Loan Party (other than Excluded Property) shall be pledged pursuant to the Security Agreement and (ii) the aggregate outstanding amount of investments by Loan Parties in Subsidiaries that are not Loan Parties (together with outstanding intercompany loans permitted under clause (ii) of the proviso to Section 6.04(d) and outstanding principal amount of Indebtedness subject to Guarantees permitted under the proviso to Section 6.04(e)) shall not exceed, at any time outstanding, the greater of (x) $7,500,000 and (y) 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39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statements referred to in Section 3.04(a)) (in each case determined without regard to any write-downs or write-offs);</w:t>
      </w:r>
    </w:p>
    <w:p>
      <w:pPr>
        <w:spacing w:after="0" w:line="250" w:lineRule="exact"/>
        <w:rPr>
          <w:sz w:val="20"/>
          <w:szCs w:val="20"/>
          <w:color w:val="auto"/>
        </w:rPr>
      </w:pPr>
    </w:p>
    <w:p>
      <w:pPr>
        <w:jc w:val="both"/>
        <w:ind w:firstLine="647"/>
        <w:spacing w:after="0" w:line="247" w:lineRule="auto"/>
        <w:tabs>
          <w:tab w:leader="none" w:pos="92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loans and advances made by a Loan Party shall be evidenced by a promissory note pledged pursuant to the Security Agreement and (ii) the outstanding amount of such loans and advances made by Loan Parties to Subsidiaries that are not Loan Parties (together with outstanding investments permitted under clause (ii) of the proviso to Section 6.04(c) and the outstanding principal amount of Indebtedness subject to Guarantees permitted under the proviso to Section 6.04(e)) shall not exceed, at any time outstanding, the greater of (x) $7,500,000 and (y) 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 (in each case determined without regard to any write-downs or write-offs);</w:t>
      </w:r>
    </w:p>
    <w:p>
      <w:pPr>
        <w:spacing w:after="0" w:line="221" w:lineRule="exact"/>
        <w:rPr>
          <w:rFonts w:ascii="Times New Roman" w:cs="Times New Roman" w:eastAsia="Times New Roman" w:hAnsi="Times New Roman"/>
          <w:sz w:val="20"/>
          <w:szCs w:val="20"/>
          <w:color w:val="auto"/>
        </w:rPr>
      </w:pPr>
    </w:p>
    <w:p>
      <w:pPr>
        <w:jc w:val="both"/>
        <w:ind w:firstLine="647"/>
        <w:spacing w:after="0" w:line="248" w:lineRule="auto"/>
        <w:tabs>
          <w:tab w:leader="none" w:pos="94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constituting Indebtedness permitted by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of Subsidiaries that are not Loan Parties that is Guaranteed by any Loan Party (together with outstanding investments permitted under clause (ii) of the proviso to Section 6.04(c) and outstanding intercompany loans permitted under clause (ii) of the proviso to Section 6.04(d)) shall not exceed, at any time outstanding, the greater of (x) $7,500,000 and (y) 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 (in each case determined without regard to any write-downs or write-offs);</w:t>
      </w:r>
    </w:p>
    <w:p>
      <w:pPr>
        <w:spacing w:after="0" w:line="206" w:lineRule="exact"/>
        <w:rPr>
          <w:rFonts w:ascii="Times New Roman" w:cs="Times New Roman" w:eastAsia="Times New Roman" w:hAnsi="Times New Roman"/>
          <w:sz w:val="20"/>
          <w:szCs w:val="20"/>
          <w:color w:val="auto"/>
        </w:rPr>
      </w:pPr>
    </w:p>
    <w:p>
      <w:pPr>
        <w:jc w:val="both"/>
        <w:ind w:firstLine="647"/>
        <w:spacing w:after="0" w:line="256" w:lineRule="auto"/>
        <w:tabs>
          <w:tab w:leader="none" w:pos="89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made by a Loan Party to its employees, officers and directors in the ordinary course of business consistent with past practices for travel and entertainment expenses, relocation costs and similar purposes up to a maximum of $1,000,000 in the aggregate at any one time outstanding;</w:t>
      </w:r>
    </w:p>
    <w:p>
      <w:pPr>
        <w:spacing w:after="0" w:line="211" w:lineRule="exact"/>
        <w:rPr>
          <w:rFonts w:ascii="Times New Roman" w:cs="Times New Roman" w:eastAsia="Times New Roman" w:hAnsi="Times New Roman"/>
          <w:sz w:val="20"/>
          <w:szCs w:val="20"/>
          <w:color w:val="auto"/>
        </w:rPr>
      </w:pPr>
    </w:p>
    <w:p>
      <w:pPr>
        <w:ind w:firstLine="647"/>
        <w:spacing w:after="0" w:line="275" w:lineRule="auto"/>
        <w:tabs>
          <w:tab w:leader="none" w:pos="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8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Swap Agreements permitted by Section 6.07;</w:t>
      </w:r>
    </w:p>
    <w:p>
      <w:pPr>
        <w:spacing w:after="0" w:line="250" w:lineRule="exact"/>
        <w:rPr>
          <w:rFonts w:ascii="Times New Roman" w:cs="Times New Roman" w:eastAsia="Times New Roman" w:hAnsi="Times New Roman"/>
          <w:sz w:val="20"/>
          <w:szCs w:val="20"/>
          <w:color w:val="auto"/>
        </w:rPr>
      </w:pPr>
    </w:p>
    <w:p>
      <w:pPr>
        <w:jc w:val="both"/>
        <w:ind w:firstLine="647"/>
        <w:spacing w:after="0" w:line="256" w:lineRule="auto"/>
        <w:tabs>
          <w:tab w:leader="none" w:pos="88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211" w:lineRule="exact"/>
        <w:rPr>
          <w:rFonts w:ascii="Times New Roman" w:cs="Times New Roman" w:eastAsia="Times New Roman" w:hAnsi="Times New Roman"/>
          <w:sz w:val="20"/>
          <w:szCs w:val="20"/>
          <w:color w:val="auto"/>
        </w:rPr>
      </w:pPr>
    </w:p>
    <w:p>
      <w:pPr>
        <w:ind w:left="880" w:hanging="233"/>
        <w:spacing w:after="0"/>
        <w:tabs>
          <w:tab w:leader="none" w:pos="8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Disposition of assets permitted by Section 6.05;</w:t>
      </w:r>
    </w:p>
    <w:p>
      <w:pPr>
        <w:spacing w:after="0" w:line="237"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deposits described in clauses (c) and (d) of the definition of the term “Permitted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98" w:right="339" w:bottom="1440" w:gutter="0" w:footer="0" w:header="0"/>
        </w:sectPr>
      </w:pPr>
    </w:p>
    <w:bookmarkStart w:id="134" w:name="page135"/>
    <w:bookmarkEnd w:id="134"/>
    <w:p>
      <w:pPr>
        <w:ind w:left="880" w:hanging="233"/>
        <w:spacing w:after="0"/>
        <w:tabs>
          <w:tab w:leader="none" w:pos="8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50" w:lineRule="exact"/>
        <w:rPr>
          <w:rFonts w:ascii="Times New Roman" w:cs="Times New Roman" w:eastAsia="Times New Roman" w:hAnsi="Times New Roman"/>
          <w:sz w:val="20"/>
          <w:szCs w:val="20"/>
          <w:color w:val="auto"/>
        </w:rPr>
      </w:pPr>
    </w:p>
    <w:p>
      <w:pPr>
        <w:jc w:val="both"/>
        <w:ind w:firstLine="647"/>
        <w:spacing w:after="0" w:line="250" w:lineRule="auto"/>
        <w:tabs>
          <w:tab w:leader="none" w:pos="9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joint venture in an amount not to exceed, at any time outstanding, the greater of (x) $10,500,000 and (y) 35%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16" w:lineRule="exact"/>
        <w:rPr>
          <w:rFonts w:ascii="Times New Roman" w:cs="Times New Roman" w:eastAsia="Times New Roman" w:hAnsi="Times New Roman"/>
          <w:sz w:val="20"/>
          <w:szCs w:val="20"/>
          <w:color w:val="auto"/>
        </w:rPr>
      </w:pPr>
    </w:p>
    <w:p>
      <w:pPr>
        <w:jc w:val="both"/>
        <w:ind w:firstLine="647"/>
        <w:spacing w:after="0" w:line="256" w:lineRule="auto"/>
        <w:tabs>
          <w:tab w:leader="none" w:pos="91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non-cash loans made by the Borrower to officers, directors and employees of a Loan Party or any of their Subsidiaries which are used by such Persons to purchase simultaneously Stock of the Borrower up to a maximum of $1,000,000 in the aggregate at any one time outstanding;</w:t>
      </w:r>
    </w:p>
    <w:p>
      <w:pPr>
        <w:spacing w:after="0" w:line="198" w:lineRule="exact"/>
        <w:rPr>
          <w:rFonts w:ascii="Times New Roman" w:cs="Times New Roman" w:eastAsia="Times New Roman" w:hAnsi="Times New Roman"/>
          <w:sz w:val="20"/>
          <w:szCs w:val="20"/>
          <w:color w:val="auto"/>
        </w:rPr>
      </w:pPr>
    </w:p>
    <w:p>
      <w:pPr>
        <w:jc w:val="both"/>
        <w:ind w:firstLine="647"/>
        <w:spacing w:after="0" w:line="254" w:lineRule="auto"/>
        <w:tabs>
          <w:tab w:leader="none" w:pos="9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licensing or contribution of intellectual property pursuant to joint marketing arrangements with other Persons or any license or sublicense of intellectual property granted in the ordinary course of business or which do not materially interfere with the ordinary conduct of the business of the Borrower (including any license or sublicense to develop and commercialize a drug, medical device or other medical product line of any Person made on an exclusive basis in a particular jurisdiction or territory); and</w:t>
      </w:r>
    </w:p>
    <w:p>
      <w:pPr>
        <w:spacing w:after="0" w:line="213" w:lineRule="exact"/>
        <w:rPr>
          <w:rFonts w:ascii="Times New Roman" w:cs="Times New Roman" w:eastAsia="Times New Roman" w:hAnsi="Times New Roman"/>
          <w:sz w:val="20"/>
          <w:szCs w:val="20"/>
          <w:color w:val="auto"/>
        </w:rPr>
      </w:pPr>
    </w:p>
    <w:p>
      <w:pPr>
        <w:jc w:val="both"/>
        <w:ind w:firstLine="647"/>
        <w:spacing w:after="0" w:line="250" w:lineRule="auto"/>
        <w:tabs>
          <w:tab w:leader="none" w:pos="93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 an aggregate amount not to exceed, at any time outstanding, the greater of (x) $7,500,000 and (y) 25%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In determining the amount of Investments outstanding at any time, investments shall always be taken at the original amount invested, without adjustment for subsequent increases or decreases in the value of such Investment.</w:t>
      </w:r>
    </w:p>
    <w:p>
      <w:pPr>
        <w:spacing w:after="0" w:line="20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6.05. Asset Sales</w:t>
      </w:r>
      <w:r>
        <w:rPr>
          <w:rFonts w:ascii="Times New Roman" w:cs="Times New Roman" w:eastAsia="Times New Roman" w:hAnsi="Times New Roman"/>
          <w:sz w:val="20"/>
          <w:szCs w:val="20"/>
          <w:color w:val="auto"/>
        </w:rPr>
        <w:t>. No Loan Party will, nor will it permit any Subsidiary to,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211" w:lineRule="exact"/>
        <w:rPr>
          <w:sz w:val="20"/>
          <w:szCs w:val="20"/>
          <w:color w:val="auto"/>
        </w:rPr>
      </w:pPr>
    </w:p>
    <w:p>
      <w:pPr>
        <w:ind w:firstLine="647"/>
        <w:spacing w:after="0" w:line="262" w:lineRule="auto"/>
        <w:tabs>
          <w:tab w:leader="none" w:pos="90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 Inventory in the ordinary course of business and (ii) used, obsolete, worn out or surplus equipment or property in the ordinary course of business;</w:t>
      </w:r>
    </w:p>
    <w:p>
      <w:pPr>
        <w:spacing w:after="0" w:line="205"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to the Borrower or any other Loan Party;</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2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(excluding Dispositions in a factoring arrangement) in connection with the compromise, settlement or collection thereof;</w:t>
      </w:r>
    </w:p>
    <w:p>
      <w:pPr>
        <w:spacing w:after="0" w:line="193" w:lineRule="exact"/>
        <w:rPr>
          <w:rFonts w:ascii="Times New Roman" w:cs="Times New Roman" w:eastAsia="Times New Roman" w:hAnsi="Times New Roman"/>
          <w:sz w:val="20"/>
          <w:szCs w:val="20"/>
          <w:color w:val="auto"/>
        </w:rPr>
      </w:pPr>
    </w:p>
    <w:p>
      <w:pPr>
        <w:ind w:firstLine="647"/>
        <w:spacing w:after="0" w:line="262" w:lineRule="auto"/>
        <w:tabs>
          <w:tab w:leader="none" w:pos="92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Permitted Investments and other investments permitted by clauses (i) and (k) of Section 6.04 and Restricted Payments permitted by Section 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398" w:right="339" w:bottom="1440" w:gutter="0" w:footer="0" w:header="0"/>
        </w:sectPr>
      </w:pPr>
    </w:p>
    <w:bookmarkStart w:id="135" w:name="page136"/>
    <w:bookmarkEnd w:id="135"/>
    <w:p>
      <w:pPr>
        <w:spacing w:after="0" w:line="198" w:lineRule="exact"/>
        <w:rPr>
          <w:sz w:val="20"/>
          <w:szCs w:val="20"/>
          <w:color w:val="auto"/>
        </w:rPr>
      </w:pPr>
    </w:p>
    <w:p>
      <w:pPr>
        <w:ind w:left="920" w:hanging="273"/>
        <w:spacing w:after="0"/>
        <w:tabs>
          <w:tab w:leader="none" w:pos="9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and Leaseback Transactions permitted by Section 6.06;</w:t>
      </w:r>
    </w:p>
    <w:p>
      <w:pPr>
        <w:spacing w:after="0" w:line="250" w:lineRule="exact"/>
        <w:rPr>
          <w:rFonts w:ascii="Times New Roman" w:cs="Times New Roman" w:eastAsia="Times New Roman" w:hAnsi="Times New Roman"/>
          <w:sz w:val="20"/>
          <w:szCs w:val="20"/>
          <w:color w:val="auto"/>
        </w:rPr>
      </w:pPr>
    </w:p>
    <w:p>
      <w:pPr>
        <w:ind w:firstLine="647"/>
        <w:spacing w:after="0" w:line="262" w:lineRule="auto"/>
        <w:tabs>
          <w:tab w:leader="none" w:pos="92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205"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permitted by Section 6.03(a);</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94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93" w:lineRule="exact"/>
        <w:rPr>
          <w:rFonts w:ascii="Times New Roman" w:cs="Times New Roman" w:eastAsia="Times New Roman" w:hAnsi="Times New Roman"/>
          <w:sz w:val="20"/>
          <w:szCs w:val="20"/>
          <w:color w:val="auto"/>
        </w:rPr>
      </w:pPr>
    </w:p>
    <w:p>
      <w:pPr>
        <w:jc w:val="both"/>
        <w:ind w:firstLine="647"/>
        <w:spacing w:after="0" w:line="249" w:lineRule="auto"/>
        <w:tabs>
          <w:tab w:leader="none" w:pos="88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non-core assets acquired in connection with any Permitted Acquisition, which, within 180 days of the date of such Acquisition (or such longer period not to exceed one year as agreed to by Administrative Agent), are designated in writing to Administrative Agent as being held for sale or disposition and not for the continued operations of the Borrower or any of its Subsidiaries or any of their respective businesses;</w:t>
      </w:r>
    </w:p>
    <w:p>
      <w:pPr>
        <w:spacing w:after="0" w:line="219" w:lineRule="exact"/>
        <w:rPr>
          <w:rFonts w:ascii="Times New Roman" w:cs="Times New Roman" w:eastAsia="Times New Roman" w:hAnsi="Times New Roman"/>
          <w:sz w:val="20"/>
          <w:szCs w:val="20"/>
          <w:color w:val="auto"/>
        </w:rPr>
      </w:pPr>
    </w:p>
    <w:p>
      <w:pPr>
        <w:jc w:val="both"/>
        <w:ind w:firstLine="647"/>
        <w:spacing w:after="0" w:line="256" w:lineRule="auto"/>
        <w:tabs>
          <w:tab w:leader="none" w:pos="88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211"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trade-in of equipment in contemporaneous exchange for other equipment in the ordinary course of business;</w:t>
      </w:r>
    </w:p>
    <w:p>
      <w:pPr>
        <w:spacing w:after="0" w:line="237" w:lineRule="exact"/>
        <w:rPr>
          <w:rFonts w:ascii="Times New Roman" w:cs="Times New Roman" w:eastAsia="Times New Roman" w:hAnsi="Times New Roman"/>
          <w:sz w:val="20"/>
          <w:szCs w:val="20"/>
          <w:color w:val="auto"/>
        </w:rPr>
      </w:pPr>
    </w:p>
    <w:p>
      <w:pPr>
        <w:ind w:firstLine="647"/>
        <w:spacing w:after="0" w:line="275" w:lineRule="auto"/>
        <w:tabs>
          <w:tab w:leader="none" w:pos="87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patents or copyrights in accordance with their statutory terms that are not material to the business of the Borrower and its Subsidiaries;</w:t>
      </w:r>
    </w:p>
    <w:p>
      <w:pPr>
        <w:spacing w:after="0" w:line="193" w:lineRule="exact"/>
        <w:rPr>
          <w:rFonts w:ascii="Times New Roman" w:cs="Times New Roman" w:eastAsia="Times New Roman" w:hAnsi="Times New Roman"/>
          <w:sz w:val="20"/>
          <w:szCs w:val="20"/>
          <w:color w:val="auto"/>
        </w:rPr>
      </w:pPr>
    </w:p>
    <w:p>
      <w:pPr>
        <w:ind w:firstLine="647"/>
        <w:spacing w:after="0" w:line="262" w:lineRule="auto"/>
        <w:tabs>
          <w:tab w:leader="none" w:pos="97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cross licensing or sub licensing of intellectual property or other general intangibles (whether pursuant to franchise agreements or otherwise) in the ordinary course of business;</w:t>
      </w:r>
    </w:p>
    <w:p>
      <w:pPr>
        <w:spacing w:after="0" w:line="205" w:lineRule="exact"/>
        <w:rPr>
          <w:rFonts w:ascii="Times New Roman" w:cs="Times New Roman" w:eastAsia="Times New Roman" w:hAnsi="Times New Roman"/>
          <w:sz w:val="20"/>
          <w:szCs w:val="20"/>
          <w:color w:val="auto"/>
        </w:rPr>
      </w:pPr>
    </w:p>
    <w:p>
      <w:pPr>
        <w:ind w:firstLine="647"/>
        <w:spacing w:after="0" w:line="262" w:lineRule="auto"/>
        <w:tabs>
          <w:tab w:leader="none" w:pos="91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in the ordinary course of business and dispositions to landlords of improvements made to leased real property pursuant to customary terms of leases; and</w:t>
      </w:r>
    </w:p>
    <w:p>
      <w:pPr>
        <w:spacing w:after="0" w:line="205" w:lineRule="exact"/>
        <w:rPr>
          <w:rFonts w:ascii="Times New Roman" w:cs="Times New Roman" w:eastAsia="Times New Roman" w:hAnsi="Times New Roman"/>
          <w:sz w:val="20"/>
          <w:szCs w:val="20"/>
          <w:color w:val="auto"/>
        </w:rPr>
      </w:pPr>
    </w:p>
    <w:p>
      <w:pPr>
        <w:jc w:val="both"/>
        <w:ind w:firstLine="647"/>
        <w:spacing w:after="0" w:line="248" w:lineRule="auto"/>
        <w:tabs>
          <w:tab w:leader="none" w:pos="95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not otherwise permitted hereunder which are made for fair market value; provided, that (i) at the time of any Disposition, no Event of Default shall exist or shall result from such Disposition and (ii) the aggregate fair market value of all assets so sold by the Loan Parties and their Subsidiaries, together, shall not exceed in any fiscal greater of (x) $5,250,000 and (y) 17.5%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 and (iii) after giving effect to such Disposition, the Loan Parties are in compliance on a pro forma basis with the covenant set forth in Section 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line="275" w:lineRule="auto"/>
        <w:rPr>
          <w:sz w:val="20"/>
          <w:szCs w:val="20"/>
          <w:color w:val="auto"/>
        </w:rPr>
      </w:pPr>
      <w:r>
        <w:rPr>
          <w:rFonts w:ascii="Times New Roman" w:cs="Times New Roman" w:eastAsia="Times New Roman" w:hAnsi="Times New Roman"/>
          <w:sz w:val="20"/>
          <w:szCs w:val="20"/>
          <w:color w:val="auto"/>
        </w:rPr>
        <w:t>recomputed for the most recent fiscal quarter for which financial statements have been delivered (or are required to have been delivered) under Section 5.1.</w:t>
      </w:r>
    </w:p>
    <w:p>
      <w:pPr>
        <w:spacing w:after="0" w:line="180"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u w:val="single" w:color="auto"/>
          <w:color w:val="auto"/>
        </w:rPr>
        <w:t>SECTION 6.06. Sale and Leaseback Transactions</w:t>
      </w:r>
      <w:r>
        <w:rPr>
          <w:rFonts w:ascii="Times New Roman" w:cs="Times New Roman" w:eastAsia="Times New Roman" w:hAnsi="Times New Roman"/>
          <w:sz w:val="18"/>
          <w:szCs w:val="18"/>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the Borrower or any Subsidiary that is made for cash consideration in an amount not less than the fair value of such fixed or capital asset and is consummated within 180 days after the Borrower or such Subsidiary acquires or completes the construction of such fixed or capital asset.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SECTION 6.07. Swap Agreements</w:t>
      </w:r>
      <w:r>
        <w:rPr>
          <w:rFonts w:ascii="Times New Roman" w:cs="Times New Roman" w:eastAsia="Times New Roman" w:hAnsi="Times New Roman"/>
          <w:sz w:val="18"/>
          <w:szCs w:val="18"/>
          <w:color w:val="auto"/>
        </w:rPr>
        <w:t>. No Loan Party will, nor will it permit any Subsidiary to, enter into any Swap Agreement, except</w:t>
      </w:r>
    </w:p>
    <w:p>
      <w:pPr>
        <w:spacing w:after="0" w:line="42" w:lineRule="exact"/>
        <w:rPr>
          <w:sz w:val="20"/>
          <w:szCs w:val="20"/>
          <w:color w:val="auto"/>
        </w:rPr>
      </w:pPr>
    </w:p>
    <w:p>
      <w:pPr>
        <w:jc w:val="both"/>
        <w:ind w:firstLine="7"/>
        <w:spacing w:after="0" w:line="246" w:lineRule="auto"/>
        <w:tabs>
          <w:tab w:leader="none" w:pos="27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Swap Agreements 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6.08. Restricted Payments; Certain Payments of Indebtedness</w:t>
      </w:r>
      <w:r>
        <w:rPr>
          <w:rFonts w:ascii="Times New Roman" w:cs="Times New Roman" w:eastAsia="Times New Roman" w:hAnsi="Times New Roman"/>
          <w:sz w:val="20"/>
          <w:szCs w:val="20"/>
          <w:color w:val="auto"/>
        </w:rPr>
        <w:t>.</w:t>
      </w:r>
    </w:p>
    <w:p>
      <w:pPr>
        <w:spacing w:after="0" w:line="19" w:lineRule="exact"/>
        <w:rPr>
          <w:sz w:val="20"/>
          <w:szCs w:val="20"/>
          <w:color w:val="auto"/>
        </w:rPr>
      </w:pPr>
    </w:p>
    <w:p>
      <w:pPr>
        <w:ind w:firstLine="647"/>
        <w:spacing w:after="0" w:line="253" w:lineRule="auto"/>
        <w:tabs>
          <w:tab w:leader="none" w:pos="9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declare or make, or agree to declare or make, directly or indirectly, any Restricted Payment, or incur any obligation (contingent or otherwise) to do so, except:</w:t>
      </w:r>
    </w:p>
    <w:p>
      <w:pPr>
        <w:spacing w:after="0" w:line="213" w:lineRule="exact"/>
        <w:rPr>
          <w:rFonts w:ascii="Times New Roman" w:cs="Times New Roman" w:eastAsia="Times New Roman" w:hAnsi="Times New Roman"/>
          <w:sz w:val="20"/>
          <w:szCs w:val="20"/>
          <w:color w:val="auto"/>
        </w:rPr>
      </w:pPr>
    </w:p>
    <w:p>
      <w:pPr>
        <w:jc w:val="both"/>
        <w:ind w:left="640" w:firstLine="648"/>
        <w:spacing w:after="0" w:line="256" w:lineRule="auto"/>
        <w:tabs>
          <w:tab w:leader="none" w:pos="1533"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198" w:lineRule="exact"/>
        <w:rPr>
          <w:rFonts w:ascii="Times New Roman" w:cs="Times New Roman" w:eastAsia="Times New Roman" w:hAnsi="Times New Roman"/>
          <w:sz w:val="20"/>
          <w:szCs w:val="20"/>
          <w:color w:val="auto"/>
        </w:rPr>
      </w:pPr>
    </w:p>
    <w:p>
      <w:pPr>
        <w:ind w:left="1580" w:hanging="292"/>
        <w:spacing w:after="0"/>
        <w:tabs>
          <w:tab w:leader="none" w:pos="158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 may declare and pay dividends ratably with respect to their Equity Interests;</w:t>
      </w:r>
    </w:p>
    <w:p>
      <w:pPr>
        <w:spacing w:after="0" w:line="250" w:lineRule="exact"/>
        <w:rPr>
          <w:rFonts w:ascii="Times New Roman" w:cs="Times New Roman" w:eastAsia="Times New Roman" w:hAnsi="Times New Roman"/>
          <w:sz w:val="20"/>
          <w:szCs w:val="20"/>
          <w:color w:val="auto"/>
        </w:rPr>
      </w:pPr>
    </w:p>
    <w:p>
      <w:pPr>
        <w:ind w:left="640" w:firstLine="648"/>
        <w:spacing w:after="0" w:line="262" w:lineRule="auto"/>
        <w:tabs>
          <w:tab w:leader="none" w:pos="1627"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pursuant to and in accordance with stock option plans or other benefit plans entered in the ordinary course of business for management or employees of the Borrower and its Subsidiaries; and</w:t>
      </w:r>
    </w:p>
    <w:p>
      <w:pPr>
        <w:spacing w:after="0" w:line="205" w:lineRule="exact"/>
        <w:rPr>
          <w:rFonts w:ascii="Times New Roman" w:cs="Times New Roman" w:eastAsia="Times New Roman" w:hAnsi="Times New Roman"/>
          <w:sz w:val="20"/>
          <w:szCs w:val="20"/>
          <w:color w:val="auto"/>
        </w:rPr>
      </w:pPr>
    </w:p>
    <w:p>
      <w:pPr>
        <w:jc w:val="both"/>
        <w:ind w:left="640" w:firstLine="648"/>
        <w:spacing w:after="0" w:line="250" w:lineRule="auto"/>
        <w:tabs>
          <w:tab w:leader="none" w:pos="1616"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not exceeding in any fiscal year the greater of (x) $5,250,000 and (y) 17.5%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 so long as immediately prior to and after giving effect thereto, no Default or Event of Default then exists or would result therefrom; and</w:t>
      </w:r>
    </w:p>
    <w:p>
      <w:pPr>
        <w:spacing w:after="0" w:line="217" w:lineRule="exact"/>
        <w:rPr>
          <w:rFonts w:ascii="Times New Roman" w:cs="Times New Roman" w:eastAsia="Times New Roman" w:hAnsi="Times New Roman"/>
          <w:sz w:val="20"/>
          <w:szCs w:val="20"/>
          <w:color w:val="auto"/>
        </w:rPr>
      </w:pPr>
    </w:p>
    <w:p>
      <w:pPr>
        <w:ind w:left="640" w:firstLine="648"/>
        <w:spacing w:after="0" w:line="262" w:lineRule="auto"/>
        <w:tabs>
          <w:tab w:leader="none" w:pos="156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any other Restricted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immediately prior to and after giving effect no Default or Event of Default then exists or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397" w:right="339" w:bottom="1440" w:gutter="0" w:footer="0" w:header="0"/>
        </w:sectPr>
      </w:pPr>
    </w:p>
    <w:bookmarkStart w:id="137" w:name="page138"/>
    <w:bookmarkEnd w:id="137"/>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result therefrom and (B) the Total Net Leverage Ratio shall not exceed 2.00 to 1.00 recomputed as of the last day of the most recently completed fiscal quarter of the Borrower for which Financial Statements have been delivered under Section 5.01(a) or (b) (or, prior to the delivery of any such Financial Statements, ending with the last fiscal quarter included in the financial statements referred to in Section 3.04(a)), as if such Restricted Payment (and any related incurrence of Indebtedness) had occurred on the first day of such fiscal quarter; and</w:t>
      </w:r>
    </w:p>
    <w:p>
      <w:pPr>
        <w:spacing w:after="0" w:line="217" w:lineRule="exact"/>
        <w:rPr>
          <w:sz w:val="20"/>
          <w:szCs w:val="20"/>
          <w:color w:val="auto"/>
        </w:rPr>
      </w:pPr>
    </w:p>
    <w:p>
      <w:pPr>
        <w:ind w:left="1620" w:hanging="332"/>
        <w:spacing w:after="0"/>
        <w:tabs>
          <w:tab w:leader="none" w:pos="16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cashless exercises of options and warrants;</w:t>
      </w:r>
    </w:p>
    <w:p>
      <w:pPr>
        <w:spacing w:after="0" w:line="24" w:lineRule="exact"/>
        <w:rPr>
          <w:rFonts w:ascii="Times New Roman" w:cs="Times New Roman" w:eastAsia="Times New Roman" w:hAnsi="Times New Roman"/>
          <w:sz w:val="20"/>
          <w:szCs w:val="20"/>
          <w:color w:val="auto"/>
        </w:rPr>
      </w:pPr>
    </w:p>
    <w:p>
      <w:pPr>
        <w:jc w:val="both"/>
        <w:ind w:left="640" w:firstLine="648"/>
        <w:spacing w:after="0" w:line="248" w:lineRule="auto"/>
        <w:tabs>
          <w:tab w:leader="none" w:pos="171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Restricted Payments, the Loan Parties may make working capital adjustment payments, purchase price adjustment payments, indemnity and similar obligation payments pursuant to any applicable acquisition agreement entered into in connection with a Permitted Acquisition or other Acquisition that is an Investment permitted under Section 6.04;</w:t>
      </w:r>
    </w:p>
    <w:p>
      <w:pPr>
        <w:spacing w:after="0" w:line="206" w:lineRule="exact"/>
        <w:rPr>
          <w:rFonts w:ascii="Times New Roman" w:cs="Times New Roman" w:eastAsia="Times New Roman" w:hAnsi="Times New Roman"/>
          <w:sz w:val="20"/>
          <w:szCs w:val="20"/>
          <w:color w:val="auto"/>
        </w:rPr>
      </w:pPr>
    </w:p>
    <w:p>
      <w:pPr>
        <w:ind w:left="640" w:firstLine="648"/>
        <w:spacing w:after="0" w:line="275" w:lineRule="auto"/>
        <w:tabs>
          <w:tab w:leader="none" w:pos="175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in cash to purchase or redeem fractional shares of the Equity Interests of the Borrower for de minimis amounts;</w:t>
      </w:r>
    </w:p>
    <w:p>
      <w:pPr>
        <w:spacing w:after="0" w:line="193" w:lineRule="exact"/>
        <w:rPr>
          <w:rFonts w:ascii="Times New Roman" w:cs="Times New Roman" w:eastAsia="Times New Roman" w:hAnsi="Times New Roman"/>
          <w:sz w:val="20"/>
          <w:szCs w:val="20"/>
          <w:color w:val="auto"/>
        </w:rPr>
      </w:pPr>
    </w:p>
    <w:p>
      <w:pPr>
        <w:jc w:val="both"/>
        <w:ind w:left="640" w:firstLine="648"/>
        <w:spacing w:after="0" w:line="274" w:lineRule="auto"/>
        <w:tabs>
          <w:tab w:leader="none" w:pos="162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redeem or repurchase from current or former directors, officers, employees, members of management, managers, advisors or consultants (or their heirs, estates, spouses, ex-spouses or successors, as the case may be) (or to pay Taxes of such Persons that are required to be withheld and paid by the Borrower as a result of the repurchase of Equity Interests or deemed repurchases in connection with the exercise of stock options) of the Borrower or any Subsidiary (or their respective immediate family members) Equity Interests (and/or make payments on promissory notes issued by the Borrower pursuant to Section 6.01(q)); provided that (i) no Event of Default has occurred and is continuing or would immediately arise as a result of such Restricted Payment; and (ii) the aggregate Restricted Payments permitted under this paragraph (ix) in any fiscal year of the Borrower shall not exceed the greater of</w:t>
      </w:r>
    </w:p>
    <w:p>
      <w:pPr>
        <w:spacing w:after="0" w:line="1" w:lineRule="exact"/>
        <w:rPr>
          <w:rFonts w:ascii="Times New Roman" w:cs="Times New Roman" w:eastAsia="Times New Roman" w:hAnsi="Times New Roman"/>
          <w:sz w:val="18"/>
          <w:szCs w:val="18"/>
          <w:color w:val="auto"/>
        </w:rPr>
      </w:pPr>
    </w:p>
    <w:p>
      <w:pPr>
        <w:jc w:val="both"/>
        <w:ind w:left="640" w:firstLine="7"/>
        <w:spacing w:after="0" w:line="244" w:lineRule="auto"/>
        <w:tabs>
          <w:tab w:leader="none" w:pos="92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$2,500,000 and (y) 8% of Consolidated EBITDA for the Borrower and its Subsidiaries on a consolidated basis in accordance with GAAP for the period of four consecutive fiscal quarters ended on or most recently prior to such time for which financial statements have been delivered to the Administrative Agent pursuant to Section 5.01(a) or (b) (or, prior to the delivery of any such Financial Statements, ending with the last fiscal quarter included in the financial statements referred to in Section 3.04(a)); and</w:t>
      </w:r>
    </w:p>
    <w:p>
      <w:pPr>
        <w:spacing w:after="0" w:line="224" w:lineRule="exact"/>
        <w:rPr>
          <w:rFonts w:ascii="Times New Roman" w:cs="Times New Roman" w:eastAsia="Times New Roman" w:hAnsi="Times New Roman"/>
          <w:sz w:val="20"/>
          <w:szCs w:val="20"/>
          <w:color w:val="auto"/>
        </w:rPr>
      </w:pPr>
    </w:p>
    <w:p>
      <w:pPr>
        <w:ind w:left="640" w:firstLine="648"/>
        <w:spacing w:after="0" w:line="275" w:lineRule="auto"/>
        <w:tabs>
          <w:tab w:leader="none" w:pos="156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consisting of the cashless exchange of Equity Interests for any other Equity Interests (in each case, so long as such exchanged Equity Interests does not constitute Disqualified Equity Interests).</w:t>
      </w:r>
    </w:p>
    <w:p>
      <w:pPr>
        <w:spacing w:after="0" w:line="180" w:lineRule="exact"/>
        <w:rPr>
          <w:sz w:val="20"/>
          <w:szCs w:val="20"/>
          <w:color w:val="auto"/>
        </w:rPr>
      </w:pPr>
    </w:p>
    <w:p>
      <w:pPr>
        <w:jc w:val="both"/>
        <w:ind w:firstLine="647"/>
        <w:spacing w:after="0" w:line="254" w:lineRule="auto"/>
        <w:tabs>
          <w:tab w:leader="none" w:pos="9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213" w:lineRule="exact"/>
        <w:rPr>
          <w:rFonts w:ascii="Times New Roman" w:cs="Times New Roman" w:eastAsia="Times New Roman" w:hAnsi="Times New Roman"/>
          <w:sz w:val="20"/>
          <w:szCs w:val="20"/>
          <w:color w:val="auto"/>
        </w:rPr>
      </w:pPr>
    </w:p>
    <w:p>
      <w:pPr>
        <w:ind w:left="1520" w:hanging="232"/>
        <w:spacing w:after="0"/>
        <w:tabs>
          <w:tab w:leader="none" w:pos="15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Indebtedness created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398" w:right="339" w:bottom="1440" w:gutter="0" w:footer="0" w:header="0"/>
        </w:sectPr>
      </w:pPr>
    </w:p>
    <w:bookmarkStart w:id="138" w:name="page139"/>
    <w:bookmarkEnd w:id="138"/>
    <w:p>
      <w:pPr>
        <w:jc w:val="both"/>
        <w:ind w:left="640" w:firstLine="648"/>
        <w:spacing w:after="0" w:line="256" w:lineRule="auto"/>
        <w:tabs>
          <w:tab w:leader="none" w:pos="160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regularly scheduled or other required interest and principal payments as and when due in respect of any Indebtedness permitted under Section 6.01, other than payments in respect of Subordinated Indebtedness prohibited by the subordination provisions thereof;</w:t>
      </w:r>
    </w:p>
    <w:p>
      <w:pPr>
        <w:spacing w:after="0" w:line="211" w:lineRule="exact"/>
        <w:rPr>
          <w:rFonts w:ascii="Times New Roman" w:cs="Times New Roman" w:eastAsia="Times New Roman" w:hAnsi="Times New Roman"/>
          <w:sz w:val="20"/>
          <w:szCs w:val="20"/>
          <w:color w:val="auto"/>
        </w:rPr>
      </w:pPr>
    </w:p>
    <w:p>
      <w:pPr>
        <w:ind w:left="1620" w:hanging="332"/>
        <w:spacing w:after="0"/>
        <w:tabs>
          <w:tab w:leader="none" w:pos="16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Indebtedness to the extent permitted by Section 6.01; and</w:t>
      </w:r>
    </w:p>
    <w:p>
      <w:pPr>
        <w:spacing w:after="0" w:line="237" w:lineRule="exact"/>
        <w:rPr>
          <w:rFonts w:ascii="Times New Roman" w:cs="Times New Roman" w:eastAsia="Times New Roman" w:hAnsi="Times New Roman"/>
          <w:sz w:val="20"/>
          <w:szCs w:val="20"/>
          <w:color w:val="auto"/>
        </w:rPr>
      </w:pPr>
    </w:p>
    <w:p>
      <w:pPr>
        <w:ind w:left="640" w:firstLine="648"/>
        <w:spacing w:after="0" w:line="257" w:lineRule="auto"/>
        <w:tabs>
          <w:tab w:leader="none" w:pos="162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2" w:lineRule="exact"/>
        <w:rPr>
          <w:sz w:val="20"/>
          <w:szCs w:val="20"/>
          <w:color w:val="auto"/>
        </w:rPr>
      </w:pPr>
    </w:p>
    <w:p>
      <w:pPr>
        <w:jc w:val="both"/>
        <w:ind w:firstLine="640"/>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6.09. Transactions with Affiliates</w:t>
      </w:r>
      <w:r>
        <w:rPr>
          <w:rFonts w:ascii="Times New Roman" w:cs="Times New Roman" w:eastAsia="Times New Roman" w:hAnsi="Times New Roman"/>
          <w:sz w:val="20"/>
          <w:szCs w:val="20"/>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Loan Parties not involving any other Affiliate, (c) any investment permitted by Sections 6.04(b), 6.04(c), 6.04(d) or 6.04(o), (d) any Indebtedness permitted under Section 6.01(c), (e) any Restricted Payment permitted by Section 6.08, (f) loans or advances to employees permitted under Section 6.04(f), (g) the payment of reasonable fees to directors of the Borrower or any Subsidiary who are not employees of the Borrower or any Subsidiary, and reimbursement of reasonable out-of-pocket expenses incurred in connection with attending Board meetings and indemnification payments to such directors or officers to the extent required by reasonable and customary indemnification provisions of the applicable organizational documents or requirements of applicable law,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transactions set forth on Schedule 6.09.</w:t>
      </w:r>
    </w:p>
    <w:p>
      <w:pPr>
        <w:spacing w:after="0" w:line="222"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18"/>
          <w:szCs w:val="18"/>
          <w:u w:val="single" w:color="auto"/>
          <w:color w:val="auto"/>
        </w:rPr>
        <w:t>SECTION 6.10. 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including for the avoidance of doubt, real property or (b)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jc w:val="both"/>
        <w:ind w:firstLine="7"/>
        <w:spacing w:after="0" w:line="246" w:lineRule="auto"/>
        <w:tabs>
          <w:tab w:leader="none" w:pos="23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foregoing shall not apply to restrictions and conditions imposed by any applicable law or by any Loan Document, (ii) the foregoing shall not apply to restrictions and conditions existing on the date hereof identified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assets or Stock or a Subsidiary pending such sale, provided such restrictions and conditions apply only to such assets or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(v) clause (a) of the foregoing shall not apply to customary provisions in leases and other contracts restricting the assignment thereof, (vi) the foregoing shall not apply to customary provisions in leases and subleases restricting the subletting or assignment of the leased property thereunder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398" w:right="339" w:bottom="1440" w:gutter="0" w:footer="0" w:header="0"/>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0"/>
          <w:szCs w:val="20"/>
          <w:color w:val="auto"/>
        </w:rPr>
        <w:t>customary provisions in agreements, licenses or sublicenses entered into in the ordinary course of business restricting assignment or transfer of (including the granting of any Lien upon) such agreement, license or sublicense, (vii) the foregoing shall not apply to customary provisions in joint venture agreements, limited liability operating agreements, partnership agreements, stockholders agreements, other organizational documents and other similar agreements for Subsidiaries that are not Wholly-Owned Subsidiaries of the Borrower not entered into in contemplation of any senior financing and stock sale agreements, joint venture agreements, sale/leaseback agreements, purchase agreements, or acquisition agreements (including by way of merger, acquisition or consolidation) entered into by the Borrower or any Subsidiary solely to the extent pending the consummation of the underlying transactions that would be otherwise permitted hereunder, (viii) the foregoing shall not apply to customary restrictions on cash deposits or other deposits imposed by customers or suppliers under contracts entered into in the ordinary course of business and (ix) the foregoing shall not apply to customary restrictions on pledges and transfers pertaining to the Stock issued by Persons which are not Subsidiaries contained in the applicable joint venture agreement or other organizational document to the extent not entered into in contemplation of any senior financing.</w:t>
      </w:r>
    </w:p>
    <w:p>
      <w:pPr>
        <w:spacing w:after="0" w:line="22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6.11. Amendment of Material Documents</w:t>
      </w:r>
      <w:r>
        <w:rPr>
          <w:rFonts w:ascii="Times New Roman" w:cs="Times New Roman" w:eastAsia="Times New Roman" w:hAnsi="Times New Roman"/>
          <w:sz w:val="20"/>
          <w:szCs w:val="20"/>
          <w:color w:val="auto"/>
        </w:rPr>
        <w:t>. Except as expressly permitted under Section 6.03, no Loan Party will, nor will it permit any Subsidiary to, amend, modify or waive any of its rights under (a) any agreement relating to any Subordinated Indebtedness, or (b) its charter, articles or certificate of organization or incorporation and bylaws or operating, management or partnership agreement, or other organizational or governing documents, in each case, to the extent any such amendment, modification or waiver would be materially adverse to the Lenders (as reasonably determined by the Administrative Agent).</w:t>
      </w:r>
    </w:p>
    <w:p>
      <w:pPr>
        <w:spacing w:after="0" w:line="21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6.12. Financial Covenant</w:t>
      </w:r>
      <w:r>
        <w:rPr>
          <w:rFonts w:ascii="Times New Roman" w:cs="Times New Roman" w:eastAsia="Times New Roman" w:hAnsi="Times New Roman"/>
          <w:sz w:val="20"/>
          <w:szCs w:val="20"/>
          <w:color w:val="auto"/>
        </w:rPr>
        <w:t xml:space="preserve">. The Borrower will not permit the Total Net Leverage Ratio, on the last day of any fiscal quarter ending on or after June 30, 2022, to be greater than 3.50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may, in connection with a Permitted Acquisition for which the aggregate consideration paid or to be paid in respect thereof equals or exceeds $10,000,000, elect to increase the maximum Total Net Leverage Ratio permitted hereunder to 4.00 to 1.00 for a period of four consecutive fiscal quarters commencing with the fiscal quarter in which such Permitted Acquisition occurs (any such election in respect of the maximum Total Net Leverage Ratio pursuant to this Section 6.12 being referred to as the “</w:t>
      </w: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following the Borrower’s election to utilize an Acquisition Holiday, the Borrower shall not be permitted to request an additional Acquisition Holiday unless a period of two consecutive fiscal quarters shall have passed since the last day of the prior Acquisition Holiday.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any of the following events (“Events of Default”) shall occur:</w:t>
      </w:r>
    </w:p>
    <w:p>
      <w:pPr>
        <w:spacing w:after="0" w:line="250" w:lineRule="exact"/>
        <w:rPr>
          <w:sz w:val="20"/>
          <w:szCs w:val="20"/>
          <w:color w:val="auto"/>
        </w:rPr>
      </w:pPr>
    </w:p>
    <w:p>
      <w:pPr>
        <w:ind w:firstLine="647"/>
        <w:spacing w:after="0" w:line="275" w:lineRule="auto"/>
        <w:tabs>
          <w:tab w:leader="none" w:pos="91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0" w:lineRule="exact"/>
        <w:rPr>
          <w:rFonts w:ascii="Times New Roman" w:cs="Times New Roman" w:eastAsia="Times New Roman" w:hAnsi="Times New Roman"/>
          <w:sz w:val="20"/>
          <w:szCs w:val="20"/>
          <w:color w:val="auto"/>
        </w:rPr>
      </w:pPr>
    </w:p>
    <w:p>
      <w:pPr>
        <w:ind w:left="940" w:hanging="293"/>
        <w:spacing w:after="0"/>
        <w:tabs>
          <w:tab w:leader="none" w:pos="9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w:t>
      </w:r>
    </w:p>
    <w:p>
      <w:pPr>
        <w:spacing w:after="0" w:line="4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Article) payable under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397" w:right="339" w:bottom="1440" w:gutter="0" w:footer="0" w:header="0"/>
        </w:sectPr>
      </w:pPr>
    </w:p>
    <w:bookmarkStart w:id="140" w:name="page141"/>
    <w:bookmarkEnd w:id="140"/>
    <w:p>
      <w:pPr>
        <w:spacing w:after="0" w:line="275" w:lineRule="auto"/>
        <w:rPr>
          <w:sz w:val="20"/>
          <w:szCs w:val="20"/>
          <w:color w:val="auto"/>
        </w:rPr>
      </w:pPr>
      <w:r>
        <w:rPr>
          <w:rFonts w:ascii="Times New Roman" w:cs="Times New Roman" w:eastAsia="Times New Roman" w:hAnsi="Times New Roman"/>
          <w:sz w:val="20"/>
          <w:szCs w:val="20"/>
          <w:color w:val="auto"/>
        </w:rPr>
        <w:t>Document, when and as the same shall become due and payable, and such failure shall continue unremedied for a period of five (5) Business Days;</w:t>
      </w:r>
    </w:p>
    <w:p>
      <w:pPr>
        <w:spacing w:after="0" w:line="180" w:lineRule="exact"/>
        <w:rPr>
          <w:sz w:val="20"/>
          <w:szCs w:val="20"/>
          <w:color w:val="auto"/>
        </w:rPr>
      </w:pPr>
    </w:p>
    <w:p>
      <w:pPr>
        <w:jc w:val="both"/>
        <w:ind w:firstLine="647"/>
        <w:spacing w:after="0" w:line="253" w:lineRule="auto"/>
        <w:tabs>
          <w:tab w:leader="none" w:pos="925"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202" w:lineRule="exact"/>
        <w:rPr>
          <w:rFonts w:ascii="Times New Roman" w:cs="Times New Roman" w:eastAsia="Times New Roman" w:hAnsi="Times New Roman"/>
          <w:sz w:val="20"/>
          <w:szCs w:val="20"/>
          <w:color w:val="auto"/>
        </w:rPr>
      </w:pPr>
    </w:p>
    <w:p>
      <w:pPr>
        <w:ind w:firstLine="647"/>
        <w:spacing w:after="0" w:line="275" w:lineRule="auto"/>
        <w:tabs>
          <w:tab w:leader="none" w:pos="93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condition or agreement contained in Section 5.02(a), 5.03(a) (with respect to a Loan Party’s existence), 5.08, 5.13, 5.14 or 5.15, or in Article VI or in Article X;</w:t>
      </w:r>
    </w:p>
    <w:p>
      <w:pPr>
        <w:spacing w:after="0" w:line="180" w:lineRule="exact"/>
        <w:rPr>
          <w:rFonts w:ascii="Times New Roman" w:cs="Times New Roman" w:eastAsia="Times New Roman" w:hAnsi="Times New Roman"/>
          <w:sz w:val="20"/>
          <w:szCs w:val="20"/>
          <w:color w:val="auto"/>
        </w:rPr>
      </w:pPr>
    </w:p>
    <w:p>
      <w:pPr>
        <w:jc w:val="both"/>
        <w:ind w:firstLine="647"/>
        <w:spacing w:after="0" w:line="250" w:lineRule="auto"/>
        <w:tabs>
          <w:tab w:leader="none" w:pos="90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condition or agreement contained in this Agreement (other than those specified in clause (a), (b) or (d) of this Article) or any other Loan Document, and such failure shall continue unremedied for a period of (i) five (5) days after the earlier of any Loan Party’s knowledge of such breach or notice thereof from the Administrative Agent (which notice will be given at the request of any Lender) if such breach relates to terms or provisions of Section 5.01, 5.02 (other than Section 5.02(a)), 5.03 (other than with respect to a Loan Party’s existence) through 5.07, 5.10 or 5.11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217" w:lineRule="exact"/>
        <w:rPr>
          <w:rFonts w:ascii="Times New Roman" w:cs="Times New Roman" w:eastAsia="Times New Roman" w:hAnsi="Times New Roman"/>
          <w:sz w:val="20"/>
          <w:szCs w:val="20"/>
          <w:color w:val="auto"/>
        </w:rPr>
      </w:pPr>
    </w:p>
    <w:p>
      <w:pPr>
        <w:jc w:val="both"/>
        <w:ind w:firstLine="647"/>
        <w:spacing w:after="0" w:line="256" w:lineRule="auto"/>
        <w:tabs>
          <w:tab w:leader="none" w:pos="905"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in respect of any Material Indebtedness, when and as the same shall become due and payable and such failure continues after the applicable grace or notice period, if any, specified in the document relating thereto on the date of such failure;</w:t>
      </w:r>
    </w:p>
    <w:p>
      <w:pPr>
        <w:spacing w:after="0" w:line="198" w:lineRule="exact"/>
        <w:rPr>
          <w:rFonts w:ascii="Times New Roman" w:cs="Times New Roman" w:eastAsia="Times New Roman" w:hAnsi="Times New Roman"/>
          <w:sz w:val="20"/>
          <w:szCs w:val="20"/>
          <w:color w:val="auto"/>
        </w:rPr>
      </w:pPr>
    </w:p>
    <w:p>
      <w:pPr>
        <w:jc w:val="both"/>
        <w:ind w:firstLine="647"/>
        <w:spacing w:after="0" w:line="250" w:lineRule="auto"/>
        <w:tabs>
          <w:tab w:leader="none" w:pos="919"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217" w:lineRule="exact"/>
        <w:rPr>
          <w:rFonts w:ascii="Times New Roman" w:cs="Times New Roman" w:eastAsia="Times New Roman" w:hAnsi="Times New Roman"/>
          <w:sz w:val="20"/>
          <w:szCs w:val="20"/>
          <w:color w:val="auto"/>
        </w:rPr>
      </w:pPr>
    </w:p>
    <w:p>
      <w:pPr>
        <w:jc w:val="both"/>
        <w:ind w:firstLine="647"/>
        <w:spacing w:after="0" w:line="250" w:lineRule="auto"/>
        <w:tabs>
          <w:tab w:leader="none" w:pos="93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w:t>
      </w:r>
    </w:p>
    <w:p>
      <w:pPr>
        <w:spacing w:after="0" w:line="203" w:lineRule="exact"/>
        <w:rPr>
          <w:rFonts w:ascii="Times New Roman" w:cs="Times New Roman" w:eastAsia="Times New Roman" w:hAnsi="Times New Roman"/>
          <w:sz w:val="20"/>
          <w:szCs w:val="20"/>
          <w:color w:val="auto"/>
        </w:rPr>
      </w:pPr>
    </w:p>
    <w:p>
      <w:pPr>
        <w:jc w:val="both"/>
        <w:ind w:firstLine="647"/>
        <w:spacing w:after="0" w:line="286" w:lineRule="auto"/>
        <w:tabs>
          <w:tab w:leader="none" w:pos="92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(i) voluntarily commence any proceeding or file any petition seeking liquidation, reorganization or other relief under any federal, state or foreign bankruptcy, insolvency, receivership or similar law now or hereafter in effect,</w:t>
      </w:r>
    </w:p>
    <w:p>
      <w:pPr>
        <w:spacing w:after="0" w:line="1"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institution of, or fail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398" w:right="339" w:bottom="1440" w:gutter="0" w:footer="0" w:header="0"/>
        </w:sectPr>
      </w:pPr>
    </w:p>
    <w:bookmarkStart w:id="141" w:name="page142"/>
    <w:bookmarkEnd w:id="141"/>
    <w:p>
      <w:pPr>
        <w:jc w:val="both"/>
        <w:spacing w:after="0" w:line="278" w:lineRule="auto"/>
        <w:rPr>
          <w:sz w:val="20"/>
          <w:szCs w:val="20"/>
          <w:color w:val="auto"/>
        </w:rPr>
      </w:pPr>
      <w:r>
        <w:rPr>
          <w:rFonts w:ascii="Times New Roman" w:cs="Times New Roman" w:eastAsia="Times New Roman" w:hAnsi="Times New Roman"/>
          <w:sz w:val="18"/>
          <w:szCs w:val="18"/>
          <w:color w:val="auto"/>
        </w:rPr>
        <w:t>to contest in a timely and appropriate manner, any proceeding or petition described in clause (h) of this Article, (iii) apply for or consent to the appointment of a receiver, trustee, custodian, sequestrator, conservator or similar official for such Loan Party or Subsidiary of any Loan Party or for a substantial part of its assets, (iv) file an answer admitting the material allegations of a petition filed against it in any such proceeding,</w:t>
      </w:r>
    </w:p>
    <w:p>
      <w:pPr>
        <w:spacing w:after="0" w:line="2" w:lineRule="exact"/>
        <w:rPr>
          <w:sz w:val="20"/>
          <w:szCs w:val="20"/>
          <w:color w:val="auto"/>
        </w:rPr>
      </w:pPr>
    </w:p>
    <w:p>
      <w:pPr>
        <w:ind w:left="280" w:hanging="273"/>
        <w:spacing w:after="0"/>
        <w:tabs>
          <w:tab w:leader="none" w:pos="2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general assignment for the benefit of creditors or (vi) take any action for the purpose of effecting any of the foregoing;</w:t>
      </w:r>
    </w:p>
    <w:p>
      <w:pPr>
        <w:spacing w:after="0" w:line="222" w:lineRule="exact"/>
        <w:rPr>
          <w:rFonts w:ascii="Times New Roman" w:cs="Times New Roman" w:eastAsia="Times New Roman" w:hAnsi="Times New Roman"/>
          <w:sz w:val="20"/>
          <w:szCs w:val="20"/>
          <w:color w:val="auto"/>
        </w:rPr>
      </w:pPr>
    </w:p>
    <w:p>
      <w:pPr>
        <w:ind w:firstLine="647"/>
        <w:spacing w:after="0" w:line="275" w:lineRule="auto"/>
        <w:tabs>
          <w:tab w:leader="none" w:pos="88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shall become unable, admit in writing its inability, or publicly declare its intention not to, or fail generally, to pay its debts as they become due;</w:t>
      </w:r>
    </w:p>
    <w:p>
      <w:pPr>
        <w:spacing w:after="0" w:line="193" w:lineRule="exact"/>
        <w:rPr>
          <w:rFonts w:ascii="Times New Roman" w:cs="Times New Roman" w:eastAsia="Times New Roman" w:hAnsi="Times New Roman"/>
          <w:sz w:val="20"/>
          <w:szCs w:val="20"/>
          <w:color w:val="auto"/>
        </w:rPr>
      </w:pPr>
    </w:p>
    <w:p>
      <w:pPr>
        <w:jc w:val="both"/>
        <w:ind w:firstLine="647"/>
        <w:spacing w:after="0" w:line="247" w:lineRule="auto"/>
        <w:tabs>
          <w:tab w:leader="none" w:pos="93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$5,000,000 shall be rendered against any Loan Party, any Subsidiary or any combination thereof and the same shall remain undischarged for a period of forty-five (45)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forty-five (45)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224" w:lineRule="exact"/>
        <w:rPr>
          <w:rFonts w:ascii="Times New Roman" w:cs="Times New Roman" w:eastAsia="Times New Roman" w:hAnsi="Times New Roman"/>
          <w:sz w:val="20"/>
          <w:szCs w:val="20"/>
          <w:color w:val="auto"/>
        </w:rPr>
      </w:pPr>
    </w:p>
    <w:p>
      <w:pPr>
        <w:ind w:firstLine="647"/>
        <w:spacing w:after="0" w:line="262" w:lineRule="auto"/>
        <w:tabs>
          <w:tab w:leader="none" w:pos="89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in the reasonable opinion of the Required Lenders, when taken together with all other ERISA Events that have occurred, could reasonably be expected to result in a Material Adverse Effect;</w:t>
      </w:r>
    </w:p>
    <w:p>
      <w:pPr>
        <w:spacing w:after="0" w:line="205" w:lineRule="exact"/>
        <w:rPr>
          <w:rFonts w:ascii="Times New Roman" w:cs="Times New Roman" w:eastAsia="Times New Roman" w:hAnsi="Times New Roman"/>
          <w:sz w:val="20"/>
          <w:szCs w:val="20"/>
          <w:color w:val="auto"/>
        </w:rPr>
      </w:pPr>
    </w:p>
    <w:p>
      <w:pPr>
        <w:ind w:left="980" w:hanging="333"/>
        <w:spacing w:after="0"/>
        <w:tabs>
          <w:tab w:leader="none" w:pos="9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5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37" w:lineRule="exact"/>
        <w:rPr>
          <w:rFonts w:ascii="Times New Roman" w:cs="Times New Roman" w:eastAsia="Times New Roman" w:hAnsi="Times New Roman"/>
          <w:sz w:val="20"/>
          <w:szCs w:val="20"/>
          <w:color w:val="auto"/>
        </w:rPr>
      </w:pPr>
    </w:p>
    <w:p>
      <w:pPr>
        <w:jc w:val="both"/>
        <w:ind w:firstLine="647"/>
        <w:spacing w:after="0" w:line="254" w:lineRule="auto"/>
        <w:tabs>
          <w:tab w:leader="none" w:pos="92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Guaranty shall fail to remain in full force or effect (other than pursuant to the terms hereof or thereof)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 including, but not limited to notice of termination delivered pursuant to Section 10.08;</w:t>
      </w:r>
    </w:p>
    <w:p>
      <w:pPr>
        <w:spacing w:after="0" w:line="200" w:lineRule="exact"/>
        <w:rPr>
          <w:rFonts w:ascii="Times New Roman" w:cs="Times New Roman" w:eastAsia="Times New Roman" w:hAnsi="Times New Roman"/>
          <w:sz w:val="20"/>
          <w:szCs w:val="20"/>
          <w:color w:val="auto"/>
        </w:rPr>
      </w:pPr>
    </w:p>
    <w:p>
      <w:pPr>
        <w:jc w:val="both"/>
        <w:ind w:firstLine="647"/>
        <w:spacing w:after="0" w:line="263" w:lineRule="auto"/>
        <w:tabs>
          <w:tab w:leader="none" w:pos="92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91" w:lineRule="exact"/>
        <w:rPr>
          <w:rFonts w:ascii="Times New Roman" w:cs="Times New Roman" w:eastAsia="Times New Roman" w:hAnsi="Times New Roman"/>
          <w:sz w:val="20"/>
          <w:szCs w:val="20"/>
          <w:color w:val="auto"/>
        </w:rPr>
      </w:pPr>
    </w:p>
    <w:p>
      <w:pPr>
        <w:ind w:firstLine="647"/>
        <w:spacing w:after="0" w:line="275" w:lineRule="auto"/>
        <w:tabs>
          <w:tab w:leader="none" w:pos="92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 Document shall fail to remain in full force or effect (other than pursuant to the terms hereof or thereof) or any action shall be taken to discontinue or to assert the invalidity or unenforceability of any Collateral Document; or</w:t>
      </w:r>
    </w:p>
    <w:p>
      <w:pPr>
        <w:spacing w:after="0" w:line="180" w:lineRule="exact"/>
        <w:rPr>
          <w:rFonts w:ascii="Times New Roman" w:cs="Times New Roman" w:eastAsia="Times New Roman" w:hAnsi="Times New Roman"/>
          <w:sz w:val="20"/>
          <w:szCs w:val="20"/>
          <w:color w:val="auto"/>
        </w:rPr>
      </w:pPr>
    </w:p>
    <w:p>
      <w:pPr>
        <w:jc w:val="both"/>
        <w:ind w:firstLine="647"/>
        <w:spacing w:after="0" w:line="254" w:lineRule="auto"/>
        <w:tabs>
          <w:tab w:leader="none" w:pos="90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98" w:right="339" w:bottom="1440" w:gutter="0" w:footer="0" w:header="0"/>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Revolving Commitments, whereupon the Revolving Commitments shall terminate immediately, (ii) declare the Loans then outstanding to be due and payable in whole (or in part, but ratably as among the Loans at the time outstanding, in which case any principal not so declared to be due and payable may thereafter be declared to be due and payable), whereupon the principal of the Loans so declared to be due and payable, together with accrued interest thereon and all fees and other Secured Obligations accrued hereunder and under the other Loan Documents, shall become due and payable immediately, in each case without presentment, demand, protest or other notice of any kind, all of which are hereby waived by the Loan Parties, (iii) require cash collateral for the LC Exposure in accordance with Section 2.06(j) hereof and (iv) exercise all other rights and remedies of the Secured Parties under the Loan Documents and applicable law; and in the case of any event with respect to the Borrower described in clause (h) or (i) of this Article, the Revolving Commitments shall automatically terminate and the principal of the Loans then outstanding and cash collateral for the LC Exposure, together with accrued interest thereon and all fees and other Secured Obligations accrued hereunder and under the other Loan Documents,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Loan Parties. Upon the occurrence and during the continuance of an Event of Default, the Administrative Agent may, and at the request of the Required Lenders shall, increase the rate of interest applicable to the Loans and other Obligations as set forth in this Agreement in accordance with Section 2.13(d) and exercise any rights and remedies provided to the Administrative Agent under the Loan Documents or at law or equity, including all remedies provided under the UCC.</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397" w:right="339" w:bottom="1440" w:gutter="0" w:footer="0" w:header="0"/>
        </w:sectPr>
      </w:pPr>
    </w:p>
    <w:bookmarkStart w:id="143" w:name="page144"/>
    <w:bookmarkEnd w:id="143"/>
    <w:p>
      <w:pPr>
        <w:jc w:val="both"/>
        <w:spacing w:after="0" w:line="248" w:lineRule="auto"/>
        <w:rPr>
          <w:sz w:val="20"/>
          <w:szCs w:val="20"/>
          <w:color w:val="auto"/>
        </w:rPr>
      </w:pPr>
      <w:r>
        <w:rPr>
          <w:rFonts w:ascii="Times New Roman" w:cs="Times New Roman" w:eastAsia="Times New Roman" w:hAnsi="Times New Roman"/>
          <w:sz w:val="20"/>
          <w:szCs w:val="20"/>
          <w:color w:val="auto"/>
        </w:rPr>
        <w:t>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8.01. Authorization and Action</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7" w:lineRule="auto"/>
        <w:tabs>
          <w:tab w:leader="none" w:pos="90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25" w:lineRule="exact"/>
        <w:rPr>
          <w:rFonts w:ascii="Times New Roman" w:cs="Times New Roman" w:eastAsia="Times New Roman" w:hAnsi="Times New Roman"/>
          <w:sz w:val="20"/>
          <w:szCs w:val="20"/>
          <w:color w:val="auto"/>
        </w:rPr>
      </w:pPr>
    </w:p>
    <w:p>
      <w:pPr>
        <w:jc w:val="both"/>
        <w:ind w:firstLine="647"/>
        <w:spacing w:after="0" w:line="246" w:lineRule="auto"/>
        <w:tabs>
          <w:tab w:leader="none" w:pos="93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398" w:right="339" w:bottom="1440" w:gutter="0" w:footer="0" w:header="0"/>
        </w:sectPr>
      </w:pPr>
    </w:p>
    <w:bookmarkStart w:id="144" w:name="page145"/>
    <w:bookmarkEnd w:id="144"/>
    <w:p>
      <w:pPr>
        <w:jc w:val="both"/>
        <w:spacing w:after="0" w:line="250" w:lineRule="auto"/>
        <w:rPr>
          <w:sz w:val="20"/>
          <w:szCs w:val="20"/>
          <w:color w:val="auto"/>
        </w:rPr>
      </w:pPr>
      <w:r>
        <w:rPr>
          <w:rFonts w:ascii="Times New Roman" w:cs="Times New Roman" w:eastAsia="Times New Roman" w:hAnsi="Times New Roman"/>
          <w:sz w:val="20"/>
          <w:szCs w:val="20"/>
          <w:color w:val="auto"/>
        </w:rPr>
        <w:t>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4" w:lineRule="exact"/>
        <w:rPr>
          <w:sz w:val="20"/>
          <w:szCs w:val="20"/>
          <w:color w:val="auto"/>
        </w:rPr>
      </w:pPr>
    </w:p>
    <w:p>
      <w:pPr>
        <w:jc w:val="both"/>
        <w:ind w:firstLine="647"/>
        <w:spacing w:after="0" w:line="256" w:lineRule="auto"/>
        <w:tabs>
          <w:tab w:leader="none" w:pos="90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211" w:lineRule="exact"/>
        <w:rPr>
          <w:rFonts w:ascii="Times New Roman" w:cs="Times New Roman" w:eastAsia="Times New Roman" w:hAnsi="Times New Roman"/>
          <w:sz w:val="20"/>
          <w:szCs w:val="20"/>
          <w:color w:val="auto"/>
        </w:rPr>
      </w:pPr>
    </w:p>
    <w:p>
      <w:pPr>
        <w:jc w:val="both"/>
        <w:ind w:left="640" w:firstLine="648"/>
        <w:spacing w:after="0" w:line="248" w:lineRule="auto"/>
        <w:tabs>
          <w:tab w:leader="none" w:pos="153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209" w:lineRule="exact"/>
        <w:rPr>
          <w:rFonts w:ascii="Times New Roman" w:cs="Times New Roman" w:eastAsia="Times New Roman" w:hAnsi="Times New Roman"/>
          <w:sz w:val="20"/>
          <w:szCs w:val="20"/>
          <w:color w:val="auto"/>
        </w:rPr>
      </w:pPr>
    </w:p>
    <w:p>
      <w:pPr>
        <w:ind w:left="640" w:firstLine="648"/>
        <w:spacing w:after="0" w:line="275" w:lineRule="auto"/>
        <w:tabs>
          <w:tab w:leader="none" w:pos="157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80" w:lineRule="exact"/>
        <w:rPr>
          <w:rFonts w:ascii="Times New Roman" w:cs="Times New Roman" w:eastAsia="Times New Roman" w:hAnsi="Times New Roman"/>
          <w:sz w:val="20"/>
          <w:szCs w:val="20"/>
          <w:color w:val="auto"/>
        </w:rPr>
      </w:pPr>
    </w:p>
    <w:p>
      <w:pPr>
        <w:jc w:val="both"/>
        <w:ind w:firstLine="647"/>
        <w:spacing w:after="0" w:line="250" w:lineRule="auto"/>
        <w:tabs>
          <w:tab w:leader="none" w:pos="93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17" w:lineRule="exact"/>
        <w:rPr>
          <w:rFonts w:ascii="Times New Roman" w:cs="Times New Roman" w:eastAsia="Times New Roman" w:hAnsi="Times New Roman"/>
          <w:sz w:val="20"/>
          <w:szCs w:val="20"/>
          <w:color w:val="auto"/>
        </w:rPr>
      </w:pPr>
    </w:p>
    <w:p>
      <w:pPr>
        <w:jc w:val="both"/>
        <w:ind w:firstLine="647"/>
        <w:spacing w:after="0" w:line="256" w:lineRule="auto"/>
        <w:tabs>
          <w:tab w:leader="none" w:pos="91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Arranger shall not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398" w:right="339" w:bottom="1440" w:gutter="0" w:footer="0" w:header="0"/>
        </w:sectPr>
      </w:pPr>
    </w:p>
    <w:bookmarkStart w:id="145" w:name="page146"/>
    <w:bookmarkEnd w:id="145"/>
    <w:p>
      <w:pPr>
        <w:jc w:val="both"/>
        <w:ind w:firstLine="647"/>
        <w:spacing w:after="0" w:line="250" w:lineRule="auto"/>
        <w:tabs>
          <w:tab w:leader="none" w:pos="92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216" w:lineRule="exact"/>
        <w:rPr>
          <w:rFonts w:ascii="Times New Roman" w:cs="Times New Roman" w:eastAsia="Times New Roman" w:hAnsi="Times New Roman"/>
          <w:sz w:val="20"/>
          <w:szCs w:val="20"/>
          <w:color w:val="auto"/>
        </w:rPr>
      </w:pPr>
    </w:p>
    <w:p>
      <w:pPr>
        <w:jc w:val="both"/>
        <w:ind w:left="640" w:firstLine="648"/>
        <w:spacing w:after="0" w:line="254" w:lineRule="auto"/>
        <w:tabs>
          <w:tab w:leader="none" w:pos="15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200" w:lineRule="exact"/>
        <w:rPr>
          <w:rFonts w:ascii="Times New Roman" w:cs="Times New Roman" w:eastAsia="Times New Roman" w:hAnsi="Times New Roman"/>
          <w:sz w:val="20"/>
          <w:szCs w:val="20"/>
          <w:color w:val="auto"/>
        </w:rPr>
      </w:pPr>
    </w:p>
    <w:p>
      <w:pPr>
        <w:ind w:left="1580" w:hanging="292"/>
        <w:spacing w:after="0"/>
        <w:tabs>
          <w:tab w:leader="none" w:pos="158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w:t>
      </w:r>
    </w:p>
    <w:p>
      <w:pPr>
        <w:spacing w:after="0" w:line="220" w:lineRule="exact"/>
        <w:rPr>
          <w:sz w:val="20"/>
          <w:szCs w:val="20"/>
          <w:color w:val="auto"/>
        </w:rPr>
      </w:pPr>
    </w:p>
    <w:p>
      <w:pPr>
        <w:jc w:val="both"/>
        <w:ind w:firstLine="647"/>
        <w:spacing w:after="0" w:line="250" w:lineRule="auto"/>
        <w:tabs>
          <w:tab w:leader="none" w:pos="91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8.02. Administrative Agent’s Reliance, Limitation of Liability, Indemnification, Etc.</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8" w:lineRule="auto"/>
        <w:tabs>
          <w:tab w:leader="none" w:pos="92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398" w:right="339" w:bottom="1440" w:gutter="0" w:footer="0" w:header="0"/>
        </w:sectPr>
      </w:pPr>
    </w:p>
    <w:bookmarkStart w:id="146" w:name="page147"/>
    <w:bookmarkEnd w:id="146"/>
    <w:p>
      <w:pPr>
        <w:jc w:val="both"/>
        <w:spacing w:after="0" w:line="254" w:lineRule="auto"/>
        <w:rPr>
          <w:sz w:val="20"/>
          <w:szCs w:val="20"/>
          <w:color w:val="auto"/>
        </w:rPr>
      </w:pPr>
      <w:r>
        <w:rPr>
          <w:rFonts w:ascii="Times New Roman" w:cs="Times New Roman" w:eastAsia="Times New Roman" w:hAnsi="Times New Roman"/>
          <w:sz w:val="20"/>
          <w:szCs w:val="20"/>
          <w:color w:val="auto"/>
        </w:rPr>
        <w:t>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1" w:lineRule="exact"/>
        <w:rPr>
          <w:sz w:val="20"/>
          <w:szCs w:val="20"/>
          <w:color w:val="auto"/>
        </w:rPr>
      </w:pPr>
    </w:p>
    <w:p>
      <w:pPr>
        <w:jc w:val="both"/>
        <w:ind w:firstLine="647"/>
        <w:spacing w:after="0" w:line="246" w:lineRule="auto"/>
        <w:tabs>
          <w:tab w:leader="none" w:pos="92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(y)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 any Subsidiary, any Lender or the Issuing Bank as a result of, any determination of any Revolving Exposure, any of the component amounts thereof or any portion thereof attributable to each Lender or the Issuing Bank.</w:t>
      </w:r>
    </w:p>
    <w:p>
      <w:pPr>
        <w:spacing w:after="0" w:line="231" w:lineRule="exact"/>
        <w:rPr>
          <w:rFonts w:ascii="Times New Roman" w:cs="Times New Roman" w:eastAsia="Times New Roman" w:hAnsi="Times New Roman"/>
          <w:sz w:val="20"/>
          <w:szCs w:val="20"/>
          <w:color w:val="auto"/>
        </w:rPr>
      </w:pPr>
    </w:p>
    <w:p>
      <w:pPr>
        <w:jc w:val="both"/>
        <w:ind w:firstLine="647"/>
        <w:spacing w:after="0" w:line="276" w:lineRule="auto"/>
        <w:tabs>
          <w:tab w:leader="none" w:pos="92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397" w:right="339"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8.03. Posting of Communications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6" w:lineRule="auto"/>
        <w:tabs>
          <w:tab w:leader="none" w:pos="91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firstLine="647"/>
        <w:spacing w:after="0" w:line="248" w:lineRule="auto"/>
        <w:tabs>
          <w:tab w:leader="none" w:pos="93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222" w:lineRule="exact"/>
        <w:rPr>
          <w:rFonts w:ascii="Times New Roman" w:cs="Times New Roman" w:eastAsia="Times New Roman" w:hAnsi="Times New Roman"/>
          <w:sz w:val="20"/>
          <w:szCs w:val="20"/>
          <w:color w:val="auto"/>
        </w:rPr>
      </w:pPr>
    </w:p>
    <w:p>
      <w:pPr>
        <w:jc w:val="both"/>
        <w:ind w:firstLine="647"/>
        <w:spacing w:after="0" w:line="246" w:lineRule="auto"/>
        <w:tabs>
          <w:tab w:leader="none" w:pos="96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THROUGH AN ELECTRONIC SYSTEM OR THE APPROVED ELECTRONIC PLATFORM.</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201" w:lineRule="exact"/>
        <w:rPr>
          <w:sz w:val="20"/>
          <w:szCs w:val="20"/>
          <w:color w:val="auto"/>
        </w:rPr>
      </w:pPr>
    </w:p>
    <w:p>
      <w:pPr>
        <w:jc w:val="both"/>
        <w:ind w:firstLine="647"/>
        <w:spacing w:after="0" w:line="263" w:lineRule="auto"/>
        <w:tabs>
          <w:tab w:leader="none" w:pos="91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397" w:right="339" w:bottom="1440" w:gutter="0" w:footer="0" w:header="0"/>
        </w:sectPr>
      </w:pPr>
    </w:p>
    <w:bookmarkStart w:id="148" w:name="page149"/>
    <w:bookmarkEnd w:id="148"/>
    <w:p>
      <w:pPr>
        <w:jc w:val="both"/>
        <w:spacing w:after="0" w:line="256" w:lineRule="auto"/>
        <w:rPr>
          <w:sz w:val="20"/>
          <w:szCs w:val="20"/>
          <w:color w:val="auto"/>
        </w:rPr>
      </w:pPr>
      <w:r>
        <w:rPr>
          <w:rFonts w:ascii="Times New Roman" w:cs="Times New Roman" w:eastAsia="Times New Roman" w:hAnsi="Times New Roman"/>
          <w:sz w:val="20"/>
          <w:szCs w:val="20"/>
          <w:color w:val="auto"/>
        </w:rPr>
        <w:t>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211" w:lineRule="exact"/>
        <w:rPr>
          <w:sz w:val="20"/>
          <w:szCs w:val="20"/>
          <w:color w:val="auto"/>
        </w:rPr>
      </w:pPr>
    </w:p>
    <w:p>
      <w:pPr>
        <w:jc w:val="both"/>
        <w:ind w:firstLine="647"/>
        <w:spacing w:after="0" w:line="256" w:lineRule="auto"/>
        <w:tabs>
          <w:tab w:leader="none" w:pos="91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11" w:lineRule="exact"/>
        <w:rPr>
          <w:rFonts w:ascii="Times New Roman" w:cs="Times New Roman" w:eastAsia="Times New Roman" w:hAnsi="Times New Roman"/>
          <w:sz w:val="20"/>
          <w:szCs w:val="20"/>
          <w:color w:val="auto"/>
        </w:rPr>
      </w:pPr>
    </w:p>
    <w:p>
      <w:pPr>
        <w:ind w:firstLine="647"/>
        <w:spacing w:after="0" w:line="262" w:lineRule="auto"/>
        <w:tabs>
          <w:tab w:leader="none" w:pos="89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20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8.04. The Administrative Agent Individually</w:t>
      </w:r>
      <w:r>
        <w:rPr>
          <w:rFonts w:ascii="Times New Roman" w:cs="Times New Roman" w:eastAsia="Times New Roman" w:hAnsi="Times New Roman"/>
          <w:sz w:val="20"/>
          <w:szCs w:val="20"/>
          <w:color w:val="auto"/>
        </w:rPr>
        <w:t>. With respect to its Revolving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8.05. Successor Administrative Agent</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6" w:lineRule="auto"/>
        <w:tabs>
          <w:tab w:leader="none" w:pos="911"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397" w:right="339" w:bottom="1440" w:gutter="0" w:footer="0" w:header="0"/>
        </w:sectPr>
      </w:pPr>
    </w:p>
    <w:bookmarkStart w:id="149" w:name="page150"/>
    <w:bookmarkEnd w:id="149"/>
    <w:p>
      <w:pPr>
        <w:jc w:val="both"/>
        <w:ind w:firstLine="647"/>
        <w:spacing w:after="0" w:line="274" w:lineRule="auto"/>
        <w:tabs>
          <w:tab w:leader="none" w:pos="9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8.06. Acknowledgments of Lenders and Issuing Banks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7" w:lineRule="auto"/>
        <w:tabs>
          <w:tab w:leader="none" w:pos="929"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Arranger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39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based upon this Agreement, any other Loan Document or any related agreement or any document furnished hereunder or thereunder.</w:t>
      </w:r>
    </w:p>
    <w:p>
      <w:pPr>
        <w:spacing w:after="0" w:line="250" w:lineRule="exact"/>
        <w:rPr>
          <w:sz w:val="20"/>
          <w:szCs w:val="20"/>
          <w:color w:val="auto"/>
        </w:rPr>
      </w:pPr>
    </w:p>
    <w:p>
      <w:pPr>
        <w:jc w:val="both"/>
        <w:ind w:firstLine="647"/>
        <w:spacing w:after="0" w:line="250" w:lineRule="auto"/>
        <w:tabs>
          <w:tab w:leader="none" w:pos="94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216" w:lineRule="exact"/>
        <w:rPr>
          <w:rFonts w:ascii="Times New Roman" w:cs="Times New Roman" w:eastAsia="Times New Roman" w:hAnsi="Times New Roman"/>
          <w:sz w:val="20"/>
          <w:szCs w:val="20"/>
          <w:color w:val="auto"/>
        </w:rPr>
      </w:pPr>
    </w:p>
    <w:p>
      <w:pPr>
        <w:jc w:val="both"/>
        <w:ind w:firstLine="647"/>
        <w:spacing w:after="0" w:line="246" w:lineRule="auto"/>
        <w:tabs>
          <w:tab w:leader="none" w:pos="94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217" w:lineRule="exact"/>
        <w:rPr>
          <w:rFonts w:ascii="Times New Roman" w:cs="Times New Roman" w:eastAsia="Times New Roman" w:hAnsi="Times New Roman"/>
          <w:sz w:val="20"/>
          <w:szCs w:val="20"/>
          <w:color w:val="auto"/>
        </w:rPr>
      </w:pPr>
    </w:p>
    <w:p>
      <w:pPr>
        <w:jc w:val="both"/>
        <w:ind w:left="640" w:firstLine="648"/>
        <w:spacing w:after="0" w:line="247" w:lineRule="auto"/>
        <w:tabs>
          <w:tab w:leader="none" w:pos="1578"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25" w:lineRule="exact"/>
        <w:rPr>
          <w:rFonts w:ascii="Times New Roman" w:cs="Times New Roman" w:eastAsia="Times New Roman" w:hAnsi="Times New Roman"/>
          <w:sz w:val="20"/>
          <w:szCs w:val="20"/>
          <w:color w:val="auto"/>
        </w:rPr>
      </w:pPr>
    </w:p>
    <w:p>
      <w:pPr>
        <w:jc w:val="both"/>
        <w:ind w:left="640" w:firstLine="648"/>
        <w:spacing w:after="0" w:line="256" w:lineRule="auto"/>
        <w:tabs>
          <w:tab w:leader="none" w:pos="1625"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398" w:right="339" w:bottom="1440" w:gutter="0" w:footer="0" w:header="0"/>
        </w:sectPr>
      </w:pPr>
    </w:p>
    <w:bookmarkStart w:id="151" w:name="page152"/>
    <w:bookmarkEnd w:id="151"/>
    <w:p>
      <w:pPr>
        <w:ind w:left="640"/>
        <w:spacing w:after="0"/>
        <w:rPr>
          <w:sz w:val="20"/>
          <w:szCs w:val="20"/>
          <w:color w:val="auto"/>
        </w:rPr>
      </w:pPr>
      <w:r>
        <w:rPr>
          <w:rFonts w:ascii="Times New Roman" w:cs="Times New Roman" w:eastAsia="Times New Roman" w:hAnsi="Times New Roman"/>
          <w:sz w:val="20"/>
          <w:szCs w:val="20"/>
          <w:color w:val="auto"/>
        </w:rPr>
        <w:t>pay, prepay, repay, discharge or otherwise satisfy any Obligations owed by the Borrower or any other Loan Party.</w:t>
      </w:r>
    </w:p>
    <w:p>
      <w:pPr>
        <w:spacing w:after="0" w:line="250" w:lineRule="exact"/>
        <w:rPr>
          <w:sz w:val="20"/>
          <w:szCs w:val="20"/>
          <w:color w:val="auto"/>
        </w:rPr>
      </w:pPr>
    </w:p>
    <w:p>
      <w:pPr>
        <w:jc w:val="both"/>
        <w:ind w:left="640" w:firstLine="648"/>
        <w:spacing w:after="0" w:line="256" w:lineRule="auto"/>
        <w:tabs>
          <w:tab w:leader="none" w:pos="1641"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198" w:lineRule="exact"/>
        <w:rPr>
          <w:rFonts w:ascii="Times New Roman" w:cs="Times New Roman" w:eastAsia="Times New Roman" w:hAnsi="Times New Roman"/>
          <w:sz w:val="20"/>
          <w:szCs w:val="20"/>
          <w:color w:val="auto"/>
        </w:rPr>
      </w:pPr>
    </w:p>
    <w:p>
      <w:pPr>
        <w:jc w:val="both"/>
        <w:ind w:firstLine="647"/>
        <w:spacing w:after="0" w:line="277" w:lineRule="auto"/>
        <w:tabs>
          <w:tab w:leader="none" w:pos="92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8.07. Collateral Matters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8" w:lineRule="auto"/>
        <w:tabs>
          <w:tab w:leader="none" w:pos="91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209" w:lineRule="exact"/>
        <w:rPr>
          <w:rFonts w:ascii="Times New Roman" w:cs="Times New Roman" w:eastAsia="Times New Roman" w:hAnsi="Times New Roman"/>
          <w:sz w:val="20"/>
          <w:szCs w:val="20"/>
          <w:color w:val="auto"/>
        </w:rPr>
      </w:pPr>
    </w:p>
    <w:p>
      <w:pPr>
        <w:jc w:val="both"/>
        <w:ind w:firstLine="647"/>
        <w:spacing w:after="0" w:line="254" w:lineRule="auto"/>
        <w:tabs>
          <w:tab w:leader="none" w:pos="92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398" w:right="339" w:bottom="1440" w:gutter="0" w:footer="0" w:header="0"/>
        </w:sectPr>
      </w:pPr>
    </w:p>
    <w:bookmarkStart w:id="152" w:name="page153"/>
    <w:bookmarkEnd w:id="152"/>
    <w:p>
      <w:pPr>
        <w:jc w:val="both"/>
        <w:spacing w:after="0" w:line="298" w:lineRule="auto"/>
        <w:rPr>
          <w:sz w:val="20"/>
          <w:szCs w:val="20"/>
          <w:color w:val="auto"/>
        </w:rPr>
      </w:pPr>
      <w:r>
        <w:rPr>
          <w:rFonts w:ascii="Times New Roman" w:cs="Times New Roman" w:eastAsia="Times New Roman" w:hAnsi="Times New Roman"/>
          <w:sz w:val="18"/>
          <w:szCs w:val="18"/>
          <w:color w:val="auto"/>
        </w:rPr>
        <w:t>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6"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u w:val="single" w:color="auto"/>
          <w:color w:val="auto"/>
        </w:rPr>
        <w:t>SECTION 8.08. 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200" w:lineRule="exact"/>
        <w:rPr>
          <w:sz w:val="20"/>
          <w:szCs w:val="20"/>
          <w:color w:val="auto"/>
        </w:rPr>
      </w:pPr>
    </w:p>
    <w:p>
      <w:pPr>
        <w:spacing w:after="0" w:line="256" w:lineRule="exact"/>
        <w:rPr>
          <w:sz w:val="20"/>
          <w:szCs w:val="20"/>
          <w:color w:val="auto"/>
        </w:rPr>
      </w:pPr>
    </w:p>
    <w:p>
      <w:pPr>
        <w:jc w:val="both"/>
        <w:ind w:firstLine="7"/>
        <w:spacing w:after="0" w:line="245" w:lineRule="auto"/>
        <w:tabs>
          <w:tab w:leader="none" w:pos="35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398" w:right="339" w:bottom="1440" w:gutter="0" w:footer="0" w:header="0"/>
        </w:sectPr>
      </w:pPr>
    </w:p>
    <w:bookmarkStart w:id="153" w:name="page154"/>
    <w:bookmarkEnd w:id="153"/>
    <w:p>
      <w:pPr>
        <w:jc w:val="both"/>
        <w:spacing w:after="0" w:line="298" w:lineRule="auto"/>
        <w:rPr>
          <w:sz w:val="20"/>
          <w:szCs w:val="20"/>
          <w:color w:val="auto"/>
        </w:rPr>
      </w:pPr>
      <w:r>
        <w:rPr>
          <w:rFonts w:ascii="Times New Roman" w:cs="Times New Roman" w:eastAsia="Times New Roman" w:hAnsi="Times New Roman"/>
          <w:sz w:val="18"/>
          <w:szCs w:val="18"/>
          <w:color w:val="auto"/>
        </w:rPr>
        <w:t>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u w:val="single" w:color="auto"/>
          <w:color w:val="auto"/>
        </w:rPr>
        <w:t>SECTION 8.09. Certain ERISA Matters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54" w:lineRule="auto"/>
        <w:tabs>
          <w:tab w:leader="none" w:pos="91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at least one of the following is and will be true:</w:t>
      </w:r>
    </w:p>
    <w:p>
      <w:pPr>
        <w:spacing w:after="0" w:line="213" w:lineRule="exact"/>
        <w:rPr>
          <w:rFonts w:ascii="Times New Roman" w:cs="Times New Roman" w:eastAsia="Times New Roman" w:hAnsi="Times New Roman"/>
          <w:sz w:val="20"/>
          <w:szCs w:val="20"/>
          <w:color w:val="auto"/>
        </w:rPr>
      </w:pPr>
    </w:p>
    <w:p>
      <w:pPr>
        <w:ind w:left="640" w:firstLine="648"/>
        <w:spacing w:after="0" w:line="262" w:lineRule="auto"/>
        <w:tabs>
          <w:tab w:leader="none" w:pos="1522"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the Revolving Commitments or this Agreement,</w:t>
      </w:r>
    </w:p>
    <w:p>
      <w:pPr>
        <w:spacing w:after="0" w:line="205" w:lineRule="exact"/>
        <w:rPr>
          <w:rFonts w:ascii="Times New Roman" w:cs="Times New Roman" w:eastAsia="Times New Roman" w:hAnsi="Times New Roman"/>
          <w:sz w:val="20"/>
          <w:szCs w:val="20"/>
          <w:color w:val="auto"/>
        </w:rPr>
      </w:pPr>
    </w:p>
    <w:p>
      <w:pPr>
        <w:jc w:val="both"/>
        <w:ind w:left="640" w:firstLine="648"/>
        <w:spacing w:after="0" w:line="250" w:lineRule="auto"/>
        <w:tabs>
          <w:tab w:leader="none" w:pos="158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204" w:lineRule="exact"/>
        <w:rPr>
          <w:rFonts w:ascii="Times New Roman" w:cs="Times New Roman" w:eastAsia="Times New Roman" w:hAnsi="Times New Roman"/>
          <w:sz w:val="20"/>
          <w:szCs w:val="20"/>
          <w:color w:val="auto"/>
        </w:rPr>
      </w:pPr>
    </w:p>
    <w:p>
      <w:pPr>
        <w:jc w:val="both"/>
        <w:ind w:left="640" w:firstLine="648"/>
        <w:spacing w:after="0" w:line="282" w:lineRule="auto"/>
        <w:tabs>
          <w:tab w:leader="none" w:pos="162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78" w:lineRule="exact"/>
        <w:rPr>
          <w:rFonts w:ascii="Times New Roman" w:cs="Times New Roman" w:eastAsia="Times New Roman" w:hAnsi="Times New Roman"/>
          <w:sz w:val="18"/>
          <w:szCs w:val="18"/>
          <w:color w:val="auto"/>
        </w:rPr>
      </w:pPr>
    </w:p>
    <w:p>
      <w:pPr>
        <w:ind w:left="640" w:firstLine="648"/>
        <w:spacing w:after="0" w:line="275" w:lineRule="auto"/>
        <w:tabs>
          <w:tab w:leader="none" w:pos="163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80" w:lineRule="exact"/>
        <w:rPr>
          <w:rFonts w:ascii="Times New Roman" w:cs="Times New Roman" w:eastAsia="Times New Roman" w:hAnsi="Times New Roman"/>
          <w:sz w:val="20"/>
          <w:szCs w:val="20"/>
          <w:color w:val="auto"/>
        </w:rPr>
      </w:pPr>
    </w:p>
    <w:p>
      <w:pPr>
        <w:jc w:val="both"/>
        <w:ind w:firstLine="647"/>
        <w:spacing w:after="0" w:line="250" w:lineRule="auto"/>
        <w:tabs>
          <w:tab w:leader="none" w:pos="92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397" w:right="339" w:bottom="1440" w:gutter="0" w:footer="0" w:header="0"/>
        </w:sectPr>
      </w:pPr>
    </w:p>
    <w:bookmarkStart w:id="154" w:name="page155"/>
    <w:bookmarkEnd w:id="154"/>
    <w:p>
      <w:pPr>
        <w:jc w:val="both"/>
        <w:spacing w:after="0" w:line="254" w:lineRule="auto"/>
        <w:rPr>
          <w:sz w:val="20"/>
          <w:szCs w:val="20"/>
          <w:color w:val="auto"/>
        </w:rPr>
      </w:pPr>
      <w:r>
        <w:rPr>
          <w:rFonts w:ascii="Times New Roman" w:cs="Times New Roman" w:eastAsia="Times New Roman" w:hAnsi="Times New Roman"/>
          <w:sz w:val="20"/>
          <w:szCs w:val="20"/>
          <w:color w:val="auto"/>
        </w:rPr>
        <w:t>the Administrative Agent or the Arranger or any of their respective Affiliates is a fiduciary with respect to the assets of such Lender in connection with the Loans, the Letters of Credit, the Revolving Commitments or this Agreement (including in connection with the reservation or exercise of any rights by the Administrative Agent under this Agreement, any Loan Document or any documents related to hereto or thereto).</w:t>
      </w:r>
    </w:p>
    <w:p>
      <w:pPr>
        <w:spacing w:after="0" w:line="201" w:lineRule="exact"/>
        <w:rPr>
          <w:sz w:val="20"/>
          <w:szCs w:val="20"/>
          <w:color w:val="auto"/>
        </w:rPr>
      </w:pPr>
    </w:p>
    <w:p>
      <w:pPr>
        <w:jc w:val="both"/>
        <w:ind w:firstLine="647"/>
        <w:spacing w:after="0" w:line="279" w:lineRule="auto"/>
        <w:tabs>
          <w:tab w:leader="none" w:pos="9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2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8.10. Flood Laws</w:t>
      </w:r>
      <w:r>
        <w:rPr>
          <w:rFonts w:ascii="Times New Roman" w:cs="Times New Roman" w:eastAsia="Times New Roman" w:hAnsi="Times New Roman"/>
          <w:sz w:val="20"/>
          <w:szCs w:val="20"/>
          <w:color w:val="auto"/>
        </w:rPr>
        <w:t>. Chase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Chase, as administrative agent or collateral agent on a syndicated facility, will post on the applicable electronic platform (or otherwise distribute to each Lender in the syndicate) documents that it receives in connection with the Flood Laws. However, Chase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2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ARTICLE IX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9.01. Notices</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jc w:val="both"/>
        <w:ind w:firstLine="647"/>
        <w:spacing w:after="0" w:line="256" w:lineRule="auto"/>
        <w:tabs>
          <w:tab w:leader="none" w:pos="91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fax or Electronic Systems (and subject in each case to paragraph (b) below), all notices and other communications provided for herein shall be in writing and shall be delivered by hand or overnight courier service, mailed by certified or registered mail or sent by fax, as follows:</w:t>
      </w:r>
    </w:p>
    <w:p>
      <w:pPr>
        <w:spacing w:after="0" w:line="198" w:lineRule="exact"/>
        <w:rPr>
          <w:rFonts w:ascii="Times New Roman" w:cs="Times New Roman" w:eastAsia="Times New Roman" w:hAnsi="Times New Roman"/>
          <w:sz w:val="20"/>
          <w:szCs w:val="20"/>
          <w:color w:val="auto"/>
        </w:rPr>
      </w:pPr>
    </w:p>
    <w:p>
      <w:pPr>
        <w:ind w:left="1520" w:hanging="232"/>
        <w:spacing w:after="0"/>
        <w:tabs>
          <w:tab w:leader="none" w:pos="152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it in care of the Borrower at:</w:t>
      </w:r>
    </w:p>
    <w:p>
      <w:pPr>
        <w:spacing w:after="0" w:line="2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64 Sidney Street</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Cambridge, MA 02139</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Attention: Sean Flynn, General Counsel</w:t>
      </w: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398" w:right="339" w:bottom="1440" w:gutter="0" w:footer="0" w:header="0"/>
        </w:sectPr>
      </w:pPr>
    </w:p>
    <w:bookmarkStart w:id="155" w:name="page156"/>
    <w:bookmarkEnd w:id="155"/>
    <w:p>
      <w:pPr>
        <w:ind w:left="1920"/>
        <w:spacing w:after="0"/>
        <w:rPr>
          <w:sz w:val="20"/>
          <w:szCs w:val="20"/>
          <w:color w:val="auto"/>
        </w:rPr>
      </w:pPr>
      <w:r>
        <w:rPr>
          <w:rFonts w:ascii="Times New Roman" w:cs="Times New Roman" w:eastAsia="Times New Roman" w:hAnsi="Times New Roman"/>
          <w:sz w:val="20"/>
          <w:szCs w:val="20"/>
          <w:color w:val="auto"/>
        </w:rPr>
        <w:t>King &amp; Spalding LLP</w:t>
      </w:r>
    </w:p>
    <w:p>
      <w:pPr>
        <w:spacing w:after="0" w:line="2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110 N. Wacker Drive, Suite 3800</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Chicago, IL 60606</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Attention: Amy Peters</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Email: apeters@kslaw.com</w:t>
      </w:r>
    </w:p>
    <w:p>
      <w:pPr>
        <w:spacing w:after="0" w:line="228" w:lineRule="exact"/>
        <w:rPr>
          <w:sz w:val="20"/>
          <w:szCs w:val="20"/>
          <w:color w:val="auto"/>
        </w:rPr>
      </w:pPr>
    </w:p>
    <w:p>
      <w:pPr>
        <w:ind w:left="640" w:right="20" w:firstLine="648"/>
        <w:spacing w:after="0" w:line="275" w:lineRule="auto"/>
        <w:tabs>
          <w:tab w:leader="none" w:pos="159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the Swingline Lender, or Chase in its capacity as an Issuing Bank, to JPMorgan Chase Bank, N.A. at:</w:t>
      </w:r>
    </w:p>
    <w:p>
      <w:pPr>
        <w:spacing w:after="0" w:line="18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Middle Market Servicing</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10 South Dearborn, Floor L2</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Suite IL1-1145</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Chicago, IL, 60603-2300</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Attention: Michael Wilson</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Fax No: (312) 732-6688</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Email: Michael.w.wilson@chase.com</w:t>
      </w:r>
    </w:p>
    <w:p>
      <w:pPr>
        <w:spacing w:after="0" w:line="2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With a copy to:</w:t>
      </w:r>
    </w:p>
    <w:p>
      <w:pPr>
        <w:spacing w:after="0" w:line="2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Shared Mailbox</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Client Processing Specialist</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10 South Dearborn, Floor L2</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Chicago, IL 60603-2300</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u w:val="single" w:color="auto"/>
          <w:color w:val="auto"/>
        </w:rPr>
        <w:t>JPM.Agency.Servicing.1@JPMorgan.com</w:t>
      </w:r>
    </w:p>
    <w:p>
      <w:pPr>
        <w:spacing w:after="0" w:line="2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and for updates to the list of Competitors: JPMDQ_Contact@jpmorgan.com.</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(iii) if to any other Lender or Issuing Bank, to it at its address or fax number set forth in its Administrative Questionnaire.</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such notice or communication shall be deemed to have been given at the opening of business on the next Business Day of the recipient, or (iii) delivered through any Electronic Systems or Approved Electronic Platforms, as applicable, to the extent provided in paragraph (b) below shall be effective as provided in such paragraph (b).</w:t>
      </w:r>
    </w:p>
    <w:p>
      <w:pPr>
        <w:spacing w:after="0" w:line="202" w:lineRule="exact"/>
        <w:rPr>
          <w:sz w:val="20"/>
          <w:szCs w:val="20"/>
          <w:color w:val="auto"/>
        </w:rPr>
      </w:pPr>
    </w:p>
    <w:p>
      <w:pPr>
        <w:jc w:val="both"/>
        <w:ind w:firstLine="647"/>
        <w:spacing w:after="0" w:line="250" w:lineRule="auto"/>
        <w:tabs>
          <w:tab w:leader="none" w:pos="92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398" w:right="339" w:bottom="1440" w:gutter="0" w:footer="0" w:header="0"/>
        </w:sectPr>
      </w:pPr>
    </w:p>
    <w:bookmarkStart w:id="156" w:name="page157"/>
    <w:bookmarkEnd w:id="156"/>
    <w:p>
      <w:pPr>
        <w:jc w:val="both"/>
        <w:spacing w:after="0" w:line="279" w:lineRule="auto"/>
        <w:rPr>
          <w:sz w:val="20"/>
          <w:szCs w:val="20"/>
          <w:color w:val="auto"/>
        </w:rPr>
      </w:pPr>
      <w:r>
        <w:rPr>
          <w:rFonts w:ascii="Times New Roman" w:cs="Times New Roman" w:eastAsia="Times New Roman" w:hAnsi="Times New Roman"/>
          <w:sz w:val="18"/>
          <w:szCs w:val="18"/>
          <w:color w:val="auto"/>
        </w:rPr>
        <w:t>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7" w:lineRule="exact"/>
        <w:rPr>
          <w:sz w:val="20"/>
          <w:szCs w:val="20"/>
          <w:color w:val="auto"/>
        </w:rPr>
      </w:pPr>
    </w:p>
    <w:p>
      <w:pPr>
        <w:ind w:right="20" w:firstLine="647"/>
        <w:spacing w:after="0" w:line="262" w:lineRule="auto"/>
        <w:tabs>
          <w:tab w:leader="none" w:pos="917"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u w:val="single" w:color="auto"/>
          <w:color w:val="auto"/>
        </w:rPr>
        <w:t>SECTION 9.02. Waivers; Amendments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47" w:lineRule="auto"/>
        <w:tabs>
          <w:tab w:leader="none" w:pos="92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8" w:lineRule="exact"/>
        <w:rPr>
          <w:rFonts w:ascii="Times New Roman" w:cs="Times New Roman" w:eastAsia="Times New Roman" w:hAnsi="Times New Roman"/>
          <w:sz w:val="20"/>
          <w:szCs w:val="20"/>
          <w:color w:val="auto"/>
        </w:rPr>
      </w:pPr>
    </w:p>
    <w:p>
      <w:pPr>
        <w:jc w:val="both"/>
        <w:ind w:firstLine="647"/>
        <w:spacing w:after="0" w:line="247" w:lineRule="auto"/>
        <w:tabs>
          <w:tab w:leader="none" w:pos="94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Section 2.09 with respect to any Incremental Facility Amendment or modification of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and subject to Sections 2.14(b) and (c) and Sections 9.02(c) and (e),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Secured Obligations payable hereunder, or reduce the amount of, waive or excuse any such payment, or postpone the scheduled date of expiration of any Revolving Commitment, without the written consent of each Lender (including any such Lender that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398" w:right="339" w:bottom="1440" w:gutter="0" w:footer="0" w:header="0"/>
        </w:sectPr>
      </w:pPr>
    </w:p>
    <w:bookmarkStart w:id="157" w:name="page158"/>
    <w:bookmarkEnd w:id="157"/>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Defaulting Lender) directly affected thereby, (D) change Section 2.09(d) or Section 2.18(b) or (d) or any other provision of the Loan Documents requiring pro rata treatment of payments and prepayments (including the definition of Applicable Percentage) in a manner that would alter the ratable reduction of Revolving Commitments or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(it being understood that, solely with the consent of the parties prescribed by Section 2.09 to be parties to an Incremental Facility Amendment, Incremental Term Loans and additional Revolving Commitments may be included in the determination of Required Lenders on substantially the same basis as the initial Revolving Commitments and Loans are included on the Effective Date), (F) release the Borrower or release any Loan Guarantor from its obligation under its Loan Guaranty (except as otherwise permitted herein or in the other Loan Documents), without the written consent of each Lender (other than any Defaulting Lender), (G) except as provided in clause (c) of this Section or in any Collateral Document, release all or substantially all of the Collateral without the written consent of each Lender (other than any Defaulting Lender), (H) (i) subordinate the Liens securing the Secured Obligations to any other Lien securing any other Indebtedness or other obligation or (ii) subordinate any of the Obligations outstanding hereunder in the right of payment (including pursuant to any “waterfall” provision) to any other Indebtedness or other obligation or (I) change Section 2.20, without the consent of each Lender (other than any Defaulting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2.06 or any Letter of Credit Agreement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 9.04.</w:t>
      </w:r>
    </w:p>
    <w:p>
      <w:pPr>
        <w:spacing w:after="0" w:line="213" w:lineRule="exact"/>
        <w:rPr>
          <w:sz w:val="20"/>
          <w:szCs w:val="20"/>
          <w:color w:val="auto"/>
        </w:rPr>
      </w:pPr>
    </w:p>
    <w:p>
      <w:pPr>
        <w:jc w:val="both"/>
        <w:ind w:firstLine="647"/>
        <w:spacing w:after="0" w:line="278" w:lineRule="auto"/>
        <w:tabs>
          <w:tab w:leader="none" w:pos="91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Disposed of if the Loan Party Disposing of such property certifies to the Administrative 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Subsidiary, the Administrative Agent is authorized to release the Loan Guaranty provided by such Subsidiary, (iii) constituting property leased to a Loan Party under a lease which has expired or been terminated in a transaction permitted under this Agreement, or (iv) as required to effect any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or, to the extent required by Section 9.02(b), all of the Lenders. Any such release shall not in any manner discharge, affect, or impair the Secured Obligations or any Liens (other than those expressly being released)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398" w:right="339" w:bottom="1440" w:gutter="0" w:footer="0" w:header="0"/>
        </w:sectPr>
      </w:pPr>
    </w:p>
    <w:bookmarkStart w:id="158" w:name="page159"/>
    <w:bookmarkEnd w:id="158"/>
    <w:p>
      <w:pPr>
        <w:jc w:val="both"/>
        <w:spacing w:after="0" w:line="276" w:lineRule="auto"/>
        <w:rPr>
          <w:sz w:val="20"/>
          <w:szCs w:val="20"/>
          <w:color w:val="auto"/>
        </w:rPr>
      </w:pPr>
      <w:r>
        <w:rPr>
          <w:rFonts w:ascii="Times New Roman" w:cs="Times New Roman" w:eastAsia="Times New Roman" w:hAnsi="Times New Roman"/>
          <w:sz w:val="18"/>
          <w:szCs w:val="18"/>
          <w:color w:val="auto"/>
        </w:rPr>
        <w:t>(or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In addition, each of the Secured Parties, on behalf of itself and any of its Affiliates that are Secured Parties, irrevocably authorizes the Administrative Agent (or its designee), at its option and in its discretion, (x) to subordinate any Lien on any assets granted to or held by the Administrative Agent under any Loan Document to the holder of any Lien on such property that is permitted by Section 6.02(b) or 6.02(d), or (y)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(x)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00" w:lineRule="exact"/>
        <w:rPr>
          <w:sz w:val="20"/>
          <w:szCs w:val="20"/>
          <w:color w:val="auto"/>
        </w:rPr>
      </w:pPr>
    </w:p>
    <w:p>
      <w:pPr>
        <w:spacing w:after="0" w:line="228" w:lineRule="exact"/>
        <w:rPr>
          <w:sz w:val="20"/>
          <w:szCs w:val="20"/>
          <w:color w:val="auto"/>
        </w:rPr>
      </w:pPr>
    </w:p>
    <w:p>
      <w:pPr>
        <w:jc w:val="both"/>
        <w:ind w:firstLine="647"/>
        <w:spacing w:after="0" w:line="275" w:lineRule="auto"/>
        <w:tabs>
          <w:tab w:leader="none" w:pos="91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398" w:right="339" w:bottom="1440" w:gutter="0" w:footer="0" w:header="0"/>
        </w:sectPr>
      </w:pPr>
    </w:p>
    <w:bookmarkStart w:id="159" w:name="page160"/>
    <w:bookmarkEnd w:id="159"/>
    <w:p>
      <w:pPr>
        <w:ind w:right="20" w:firstLine="647"/>
        <w:spacing w:after="0" w:line="333" w:lineRule="auto"/>
        <w:tabs>
          <w:tab w:leader="none" w:pos="92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u w:val="single" w:color="auto"/>
          <w:color w:val="auto"/>
        </w:rPr>
        <w:t>SECTION 9.03. Expenses; Limitation of Liability; Indemnity; Etc</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76" w:lineRule="auto"/>
        <w:tabs>
          <w:tab w:leader="none" w:pos="906" w:val="left"/>
        </w:tabs>
        <w:numPr>
          <w:ilvl w:val="0"/>
          <w:numId w:val="1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jointly and severally, shall pay all (i) reasonable and documented out-of-pocket expenses incurred by the Administrative Agent and its Affiliates, including the reasonable fees, charges and disbursements of one primary counsel for the Administrative Agent and the Arranger, taken as a whole, one local counsel in each relevant jurisdiction and one regulatory counsel, and, solely, in the event of a conflict of interest, one additional counsel (and, if necessary, one regulatory counsel and one local counsel in each relevant jurisdiction) to each group of similarly situated affected Persons), in connection with the syndication and distribution (including, without limitation, via the internet or through an Electronic System or Approved Electronic Platform) of the credit facility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one primary counsel for the Administrative Agent, the Issuing Bank and the Lenders, taken as a whole, one local counsel in each relevant jurisdiction and one regulatory counsel, and, solely, in the event of a conflict of interest, one additional counsel (and, if necessary, one regulatory counsel and one local counsel in each relevant jurisdiction) to each group of similarly situated affected persons),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rFonts w:ascii="Times New Roman" w:cs="Times New Roman" w:eastAsia="Times New Roman" w:hAnsi="Times New Roman"/>
          <w:sz w:val="18"/>
          <w:szCs w:val="18"/>
          <w:u w:val="single" w:color="auto"/>
          <w:color w:val="auto"/>
        </w:rPr>
      </w:pPr>
    </w:p>
    <w:p>
      <w:pPr>
        <w:spacing w:after="0" w:line="218" w:lineRule="exact"/>
        <w:rPr>
          <w:rFonts w:ascii="Times New Roman" w:cs="Times New Roman" w:eastAsia="Times New Roman" w:hAnsi="Times New Roman"/>
          <w:sz w:val="18"/>
          <w:szCs w:val="18"/>
          <w:u w:val="single" w:color="auto"/>
          <w:color w:val="auto"/>
        </w:rPr>
      </w:pPr>
    </w:p>
    <w:p>
      <w:pPr>
        <w:jc w:val="both"/>
        <w:ind w:firstLine="647"/>
        <w:spacing w:after="0" w:line="247" w:lineRule="auto"/>
        <w:tabs>
          <w:tab w:leader="none" w:pos="917" w:val="left"/>
        </w:tabs>
        <w:numPr>
          <w:ilvl w:val="0"/>
          <w:numId w:val="1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(i) neither the Borrower nor any other Loan Party shall assert, and the Borrower and each other Loan Party hereby waives, any claim against the Administrative Agent, the Arranger, the Issuing Bank and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for any Liabilities arising from the use by others of information or other materials (including, without limitation, any personal data) obtained through telecommunications, electronic or other information transmission systems (including the Internet), except to the extent they are found by a final, non-appealable judgment of a court of competent jurisdiction to result from the willful misconduct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w:t>
      </w:r>
    </w:p>
    <w:p>
      <w:pPr>
        <w:spacing w:after="0" w:line="215" w:lineRule="exact"/>
        <w:rPr>
          <w:rFonts w:ascii="Times New Roman" w:cs="Times New Roman" w:eastAsia="Times New Roman" w:hAnsi="Times New Roman"/>
          <w:sz w:val="20"/>
          <w:szCs w:val="20"/>
          <w:u w:val="single" w:color="auto"/>
          <w:color w:val="auto"/>
        </w:rPr>
      </w:pPr>
    </w:p>
    <w:p>
      <w:pPr>
        <w:jc w:val="both"/>
        <w:ind w:firstLine="647"/>
        <w:spacing w:after="0" w:line="263" w:lineRule="auto"/>
        <w:tabs>
          <w:tab w:leader="none" w:pos="906" w:val="left"/>
        </w:tabs>
        <w:numPr>
          <w:ilvl w:val="0"/>
          <w:numId w:val="1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Loan Parties, jointly and severally, shall indemnify the Administrative Agent, the Arranger, the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398" w:right="339" w:bottom="1440" w:gutter="0" w:footer="0" w:header="0"/>
        </w:sectPr>
      </w:pPr>
    </w:p>
    <w:bookmarkStart w:id="160" w:name="page161"/>
    <w:bookmarkEnd w:id="160"/>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such Loan Party for Taxes pursuant to Section 2.17,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(x) the gross negligence, willful misconduct or material breach of the funding obligations (at a time where no Loan Party has breached its obligations under the Loan Documents) of such Indemnitee or (y) a dispute solely among Indemnitees not arising out of any act or omission on the part of any Loan Party or its Affiliates (other than any claims against an Indemnitee in its capacity or in fulfilling its role as the Arranger, Administrative Agent or any other agent or any other similar role under the Loan Documents). This Section 9.03(c) shall not apply with respect to Taxes other than any Taxes that represent losses, claims or damages arising from any non-Tax claim.</w:t>
      </w:r>
    </w:p>
    <w:p>
      <w:pPr>
        <w:spacing w:after="0" w:line="200" w:lineRule="exact"/>
        <w:rPr>
          <w:sz w:val="20"/>
          <w:szCs w:val="20"/>
          <w:color w:val="auto"/>
        </w:rPr>
      </w:pPr>
    </w:p>
    <w:p>
      <w:pPr>
        <w:spacing w:after="0" w:line="238" w:lineRule="exact"/>
        <w:rPr>
          <w:sz w:val="20"/>
          <w:szCs w:val="20"/>
          <w:color w:val="auto"/>
        </w:rPr>
      </w:pPr>
    </w:p>
    <w:p>
      <w:pPr>
        <w:jc w:val="both"/>
        <w:ind w:firstLine="647"/>
        <w:spacing w:after="0" w:line="246" w:lineRule="auto"/>
        <w:tabs>
          <w:tab w:leader="none" w:pos="924" w:val="left"/>
        </w:tabs>
        <w:numPr>
          <w:ilvl w:val="0"/>
          <w:numId w:val="1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Each Lender severally agrees to pay any amount required to be paid by any Loan Party under paragraphs (a), (b) or (c)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the Swingline Lender and the Issuing Bank,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398" w:right="339" w:bottom="1440" w:gutter="0" w:footer="0" w:header="0"/>
        </w:sectPr>
      </w:pPr>
    </w:p>
    <w:bookmarkStart w:id="161" w:name="page162"/>
    <w:bookmarkEnd w:id="161"/>
    <w:p>
      <w:pPr>
        <w:ind w:left="920" w:hanging="273"/>
        <w:spacing w:after="0"/>
        <w:tabs>
          <w:tab w:leader="none" w:pos="920" w:val="left"/>
        </w:tabs>
        <w:numPr>
          <w:ilvl w:val="0"/>
          <w:numId w:val="1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9.03 shall be payable promptly after written demand therefor.</w:t>
      </w:r>
    </w:p>
    <w:p>
      <w:pPr>
        <w:spacing w:after="0" w:line="2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u w:val="single" w:color="auto"/>
          <w:color w:val="auto"/>
        </w:rPr>
        <w:t>SECTION 9.04. Successors and Assigns</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8" w:lineRule="auto"/>
        <w:tabs>
          <w:tab w:leader="none" w:pos="90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22" w:lineRule="exact"/>
        <w:rPr>
          <w:rFonts w:ascii="Times New Roman" w:cs="Times New Roman" w:eastAsia="Times New Roman" w:hAnsi="Times New Roman"/>
          <w:sz w:val="20"/>
          <w:szCs w:val="20"/>
          <w:color w:val="auto"/>
        </w:rPr>
      </w:pPr>
    </w:p>
    <w:p>
      <w:pPr>
        <w:jc w:val="both"/>
        <w:ind w:firstLine="647"/>
        <w:spacing w:after="0" w:line="249" w:lineRule="auto"/>
        <w:tabs>
          <w:tab w:leader="none" w:pos="93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of:</w:t>
      </w:r>
    </w:p>
    <w:p>
      <w:pPr>
        <w:spacing w:after="0" w:line="219" w:lineRule="exact"/>
        <w:rPr>
          <w:rFonts w:ascii="Times New Roman" w:cs="Times New Roman" w:eastAsia="Times New Roman" w:hAnsi="Times New Roman"/>
          <w:sz w:val="20"/>
          <w:szCs w:val="20"/>
          <w:color w:val="auto"/>
        </w:rPr>
      </w:pPr>
    </w:p>
    <w:p>
      <w:pPr>
        <w:jc w:val="both"/>
        <w:ind w:left="1280" w:firstLine="648"/>
        <w:spacing w:after="0" w:line="250" w:lineRule="auto"/>
        <w:tabs>
          <w:tab w:leader="none" w:pos="2250"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has occurred and is continuing, any other assignee;</w:t>
      </w:r>
    </w:p>
    <w:p>
      <w:pPr>
        <w:spacing w:after="0" w:line="216" w:lineRule="exact"/>
        <w:rPr>
          <w:rFonts w:ascii="Times New Roman" w:cs="Times New Roman" w:eastAsia="Times New Roman" w:hAnsi="Times New Roman"/>
          <w:sz w:val="20"/>
          <w:szCs w:val="20"/>
          <w:color w:val="auto"/>
        </w:rPr>
      </w:pPr>
    </w:p>
    <w:p>
      <w:pPr>
        <w:jc w:val="both"/>
        <w:ind w:left="1280" w:firstLine="648"/>
        <w:spacing w:after="0" w:line="256" w:lineRule="auto"/>
        <w:tabs>
          <w:tab w:leader="none" w:pos="2283"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an assignee that is a Lender (other than a Defaulting Lender) with a Revolving Commitment immediately prior to giving effect to such assignment;</w:t>
      </w:r>
    </w:p>
    <w:p>
      <w:pPr>
        <w:spacing w:after="0" w:line="211" w:lineRule="exact"/>
        <w:rPr>
          <w:rFonts w:ascii="Times New Roman" w:cs="Times New Roman" w:eastAsia="Times New Roman" w:hAnsi="Times New Roman"/>
          <w:sz w:val="20"/>
          <w:szCs w:val="20"/>
          <w:color w:val="auto"/>
        </w:rPr>
      </w:pPr>
    </w:p>
    <w:p>
      <w:pPr>
        <w:ind w:left="2240" w:hanging="312"/>
        <w:spacing w:after="0"/>
        <w:tabs>
          <w:tab w:leader="none" w:pos="2240"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Bank; and</w:t>
      </w:r>
    </w:p>
    <w:p>
      <w:pPr>
        <w:spacing w:after="0" w:line="237" w:lineRule="exact"/>
        <w:rPr>
          <w:rFonts w:ascii="Times New Roman" w:cs="Times New Roman" w:eastAsia="Times New Roman" w:hAnsi="Times New Roman"/>
          <w:sz w:val="20"/>
          <w:szCs w:val="20"/>
          <w:color w:val="auto"/>
        </w:rPr>
      </w:pPr>
    </w:p>
    <w:p>
      <w:pPr>
        <w:ind w:left="2240" w:hanging="312"/>
        <w:spacing w:after="0"/>
        <w:tabs>
          <w:tab w:leader="none" w:pos="2240"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w:t>
      </w:r>
    </w:p>
    <w:p>
      <w:pPr>
        <w:spacing w:after="0" w:line="250" w:lineRule="exact"/>
        <w:rPr>
          <w:rFonts w:ascii="Times New Roman" w:cs="Times New Roman" w:eastAsia="Times New Roman" w:hAnsi="Times New Roman"/>
          <w:sz w:val="20"/>
          <w:szCs w:val="20"/>
          <w:color w:val="auto"/>
        </w:rPr>
      </w:pPr>
    </w:p>
    <w:p>
      <w:pPr>
        <w:ind w:left="1580" w:hanging="292"/>
        <w:spacing w:after="0"/>
        <w:tabs>
          <w:tab w:leader="none" w:pos="158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37" w:lineRule="exact"/>
        <w:rPr>
          <w:rFonts w:ascii="Times New Roman" w:cs="Times New Roman" w:eastAsia="Times New Roman" w:hAnsi="Times New Roman"/>
          <w:sz w:val="20"/>
          <w:szCs w:val="20"/>
          <w:color w:val="auto"/>
        </w:rPr>
      </w:pPr>
    </w:p>
    <w:p>
      <w:pPr>
        <w:jc w:val="both"/>
        <w:ind w:left="1280" w:firstLine="648"/>
        <w:spacing w:after="0" w:line="253" w:lineRule="auto"/>
        <w:tabs>
          <w:tab w:leader="none" w:pos="2244"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$10,000,000 unless each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398" w:right="339" w:bottom="1440" w:gutter="0" w:footer="0" w:header="0"/>
        </w:sectPr>
      </w:pPr>
    </w:p>
    <w:bookmarkStart w:id="162" w:name="page163"/>
    <w:bookmarkEnd w:id="162"/>
    <w:p>
      <w:pPr>
        <w:ind w:left="1280"/>
        <w:spacing w:after="0" w:line="275" w:lineRule="auto"/>
        <w:rPr>
          <w:sz w:val="20"/>
          <w:szCs w:val="20"/>
          <w:color w:val="auto"/>
        </w:rPr>
      </w:pPr>
      <w:r>
        <w:rPr>
          <w:rFonts w:ascii="Times New Roman" w:cs="Times New Roman" w:eastAsia="Times New Roman" w:hAnsi="Times New Roman"/>
          <w:sz w:val="20"/>
          <w:szCs w:val="20"/>
          <w:color w:val="auto"/>
        </w:rPr>
        <w:t xml:space="preserve">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180" w:lineRule="exact"/>
        <w:rPr>
          <w:sz w:val="20"/>
          <w:szCs w:val="20"/>
          <w:color w:val="auto"/>
        </w:rPr>
      </w:pPr>
    </w:p>
    <w:p>
      <w:pPr>
        <w:ind w:left="1280" w:firstLine="648"/>
        <w:spacing w:after="0" w:line="275" w:lineRule="auto"/>
        <w:tabs>
          <w:tab w:leader="none" w:pos="223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80" w:lineRule="exact"/>
        <w:rPr>
          <w:rFonts w:ascii="Times New Roman" w:cs="Times New Roman" w:eastAsia="Times New Roman" w:hAnsi="Times New Roman"/>
          <w:sz w:val="20"/>
          <w:szCs w:val="20"/>
          <w:color w:val="auto"/>
        </w:rPr>
      </w:pPr>
    </w:p>
    <w:p>
      <w:pPr>
        <w:jc w:val="both"/>
        <w:ind w:left="1280" w:firstLine="648"/>
        <w:spacing w:after="0" w:line="254" w:lineRule="auto"/>
        <w:tabs>
          <w:tab w:leader="none" w:pos="226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213" w:lineRule="exact"/>
        <w:rPr>
          <w:rFonts w:ascii="Times New Roman" w:cs="Times New Roman" w:eastAsia="Times New Roman" w:hAnsi="Times New Roman"/>
          <w:sz w:val="20"/>
          <w:szCs w:val="20"/>
          <w:color w:val="auto"/>
        </w:rPr>
      </w:pPr>
    </w:p>
    <w:p>
      <w:pPr>
        <w:jc w:val="both"/>
        <w:ind w:left="1280" w:firstLine="648"/>
        <w:spacing w:after="0" w:line="250" w:lineRule="auto"/>
        <w:tabs>
          <w:tab w:leader="none" w:pos="224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1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 “</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20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1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any Person that is an operating company directly and primarily engaged in substantially similar business operations as the Loan Parties or any of their respective Subsidiaries.</w:t>
      </w:r>
    </w:p>
    <w:p>
      <w:pPr>
        <w:spacing w:after="0" w:line="205"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xml:space="preserve">” means (a) a natural person, (b) a Defaulting Lender or its Parent, (c) a company, investment vehicle or trust for, or owned and operated for the primary benefit of, a natural person or relative(s) thereof, (d) a Loan Party or Subsidiary or other Affiliate of a Loan Party or (e) any Person that is (x) designated by the Borrower, by written notice delivered to the Administrative Agent on or prior to the Effective Date, as (i) an ineligible institution or (ii) a Competitor or (y) clearly identifiable, solely on the basis of such Person’s name, as an Affiliate of any Person referred to in clause (e)(i) or (e)(ii)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clause (c), such company, investment vehicle or trust shall not constitute an Ineligible Institution if it (x) has not been established for the primary purpose of acquiring any Loans or Revolving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Ineligible Institutions shall (A) exclude any Person that the Borrower has designated as no longer being a an Ineligible Institution by written notice delivered to Administrative Agent (including via e-mail, with receipt confirmed by Administrative Agent) from time to time and (B) include (I) any Person that is added as a Competitor and (II) any Person that is clearly identifiable, solely on the basis of such Person’s name, as an Affiliate of any Person referred to in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398" w:right="339" w:bottom="1440" w:gutter="0" w:footer="0" w:header="0"/>
        </w:sectPr>
      </w:pPr>
    </w:p>
    <w:bookmarkStart w:id="163" w:name="page164"/>
    <w:bookmarkEnd w:id="163"/>
    <w:p>
      <w:pPr>
        <w:jc w:val="both"/>
        <w:spacing w:after="0" w:line="254" w:lineRule="auto"/>
        <w:rPr>
          <w:sz w:val="20"/>
          <w:szCs w:val="20"/>
          <w:color w:val="auto"/>
        </w:rPr>
      </w:pPr>
      <w:r>
        <w:rPr>
          <w:rFonts w:ascii="Times New Roman" w:cs="Times New Roman" w:eastAsia="Times New Roman" w:hAnsi="Times New Roman"/>
          <w:sz w:val="20"/>
          <w:szCs w:val="20"/>
          <w:color w:val="auto"/>
        </w:rPr>
        <w:t>(B)(I), pursuant to a written supplement to the list of Competitors that are Ineligible Institutions, that is delivered by the Borrower after the date hereof to Administrative Agent. Such supplement shall become effective three (3) Business Days after the date that such written supplement is delivered to Administrative Agent for disclosure to the Lenders, but which shall not apply retroactively to disqualify any Persons that have previously acquired an assignment or participation interest in the Loans and/or Commitments as permitted herein.</w:t>
      </w:r>
    </w:p>
    <w:p>
      <w:pPr>
        <w:spacing w:after="0" w:line="201" w:lineRule="exact"/>
        <w:rPr>
          <w:sz w:val="20"/>
          <w:szCs w:val="20"/>
          <w:color w:val="auto"/>
        </w:rPr>
      </w:pPr>
    </w:p>
    <w:p>
      <w:pPr>
        <w:jc w:val="both"/>
        <w:ind w:left="640" w:firstLine="648"/>
        <w:spacing w:after="0" w:line="276" w:lineRule="auto"/>
        <w:tabs>
          <w:tab w:leader="none" w:pos="162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w:t>
      </w:r>
    </w:p>
    <w:p>
      <w:pPr>
        <w:spacing w:after="0" w:line="2" w:lineRule="exact"/>
        <w:rPr>
          <w:rFonts w:ascii="Times New Roman" w:cs="Times New Roman" w:eastAsia="Times New Roman" w:hAnsi="Times New Roman"/>
          <w:sz w:val="18"/>
          <w:szCs w:val="18"/>
          <w:color w:val="auto"/>
        </w:rPr>
      </w:pPr>
    </w:p>
    <w:p>
      <w:pPr>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9.04 shall be treated for purposes of this Agreement as a sale by such Lender of a participation in such rights and obligations in accordance with paragraph (c) of this Section.</w:t>
      </w:r>
    </w:p>
    <w:p>
      <w:pPr>
        <w:spacing w:after="0" w:line="219" w:lineRule="exact"/>
        <w:rPr>
          <w:rFonts w:ascii="Times New Roman" w:cs="Times New Roman" w:eastAsia="Times New Roman" w:hAnsi="Times New Roman"/>
          <w:sz w:val="18"/>
          <w:szCs w:val="18"/>
          <w:color w:val="auto"/>
        </w:rPr>
      </w:pPr>
    </w:p>
    <w:p>
      <w:pPr>
        <w:jc w:val="both"/>
        <w:ind w:left="640" w:firstLine="648"/>
        <w:spacing w:after="0" w:line="248" w:lineRule="auto"/>
        <w:tabs>
          <w:tab w:leader="none" w:pos="162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206" w:lineRule="exact"/>
        <w:rPr>
          <w:rFonts w:ascii="Times New Roman" w:cs="Times New Roman" w:eastAsia="Times New Roman" w:hAnsi="Times New Roman"/>
          <w:sz w:val="20"/>
          <w:szCs w:val="20"/>
          <w:color w:val="auto"/>
        </w:rPr>
      </w:pPr>
    </w:p>
    <w:p>
      <w:pPr>
        <w:ind w:left="1580" w:hanging="292"/>
        <w:spacing w:after="0"/>
        <w:tabs>
          <w:tab w:leader="none" w:pos="15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(x) a duly completed Assignment and Assumption executed by an assigning Lender and an assignee or</w:t>
      </w:r>
    </w:p>
    <w:p>
      <w:pPr>
        <w:spacing w:after="0" w:line="47" w:lineRule="exact"/>
        <w:rPr>
          <w:rFonts w:ascii="Times New Roman" w:cs="Times New Roman" w:eastAsia="Times New Roman" w:hAnsi="Times New Roman"/>
          <w:sz w:val="18"/>
          <w:szCs w:val="18"/>
          <w:color w:val="auto"/>
        </w:rPr>
      </w:pPr>
    </w:p>
    <w:p>
      <w:pPr>
        <w:jc w:val="both"/>
        <w:ind w:left="640" w:firstLine="7"/>
        <w:spacing w:after="0" w:line="245" w:lineRule="auto"/>
        <w:tabs>
          <w:tab w:leader="none" w:pos="95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398" w:right="339" w:bottom="1440" w:gutter="0" w:footer="0" w:header="0"/>
        </w:sectPr>
      </w:pPr>
    </w:p>
    <w:bookmarkStart w:id="164" w:name="page165"/>
    <w:bookmarkEnd w:id="164"/>
    <w:p>
      <w:pPr>
        <w:jc w:val="both"/>
        <w:ind w:firstLine="647"/>
        <w:spacing w:after="0" w:line="246" w:lineRule="auto"/>
        <w:tabs>
          <w:tab w:leader="none" w:pos="90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or notice to, the Borrower, the Administrative Agent, the Swingline Lender or the Issuing Bank,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22"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9" w:lineRule="exact"/>
        <w:rPr>
          <w:sz w:val="20"/>
          <w:szCs w:val="20"/>
          <w:color w:val="auto"/>
        </w:rPr>
      </w:pPr>
    </w:p>
    <w:p>
      <w:pPr>
        <w:jc w:val="both"/>
        <w:ind w:firstLine="647"/>
        <w:spacing w:after="0" w:line="291" w:lineRule="auto"/>
        <w:tabs>
          <w:tab w:leader="none" w:pos="92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398" w:right="339" w:bottom="1440" w:gutter="0" w:footer="0" w:header="0"/>
        </w:sectPr>
      </w:pPr>
    </w:p>
    <w:bookmarkStart w:id="165" w:name="page166"/>
    <w:bookmarkEnd w:id="165"/>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(e) Competitors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77" w:lineRule="auto"/>
        <w:tabs>
          <w:tab w:leader="none" w:pos="8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or participation shall be made to any Person that was a Competitor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assigning Lender entered into a binding agreement to sell and assign or grant a participation in all or a portion of its rights and obligations under this Agreement to such Person (unless the Borrower consented to such assignment or participation in writing in its sole and absolute discretion, in which case such Person will not be considered a Competitor for the purpose of such assignment or participation). For the avoidance of doubt, with respect to any assignee or Participant that becomes a Competitor after the applicable Trade Date (including as a result of the delivery of a written supplement to the list of “Competitors” referred to in, the definition of “Competitors”),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Competitor. Any assignment or participation in violation of this clause (e)(i) shall not be void, but the other provisions of this clause (e) shall apply.</w:t>
      </w:r>
    </w:p>
    <w:p>
      <w:pPr>
        <w:spacing w:after="0" w:line="198" w:lineRule="exact"/>
        <w:rPr>
          <w:rFonts w:ascii="Times New Roman" w:cs="Times New Roman" w:eastAsia="Times New Roman" w:hAnsi="Times New Roman"/>
          <w:sz w:val="18"/>
          <w:szCs w:val="18"/>
          <w:color w:val="auto"/>
        </w:rPr>
      </w:pPr>
    </w:p>
    <w:p>
      <w:pPr>
        <w:jc w:val="both"/>
        <w:ind w:firstLine="647"/>
        <w:spacing w:after="0" w:line="250" w:lineRule="auto"/>
        <w:tabs>
          <w:tab w:leader="none" w:pos="93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assignment or participation is made to any Competitor without the Borrower’s prior written consent in violation of clause (i) above, or if any Person becomes a Competitor after the applicable Trade Date, the Borrower may, at its sole expense and effort, upon notice to the applicable Competitor and the Administrative Agent, require such Competitor to assign, without recourse (in accordance with and subject to the restrictions contained in this Section 9.04), all of its interest, rights and obligations under this Agreement to one or more Persons (other than an Ineligible Institution) at the lesser of (x) the principal amount thereof and (y) the amount that such Competitor paid to acquire such interests, rights and obligations, in each case, plus accrued interest, accrued fees and all other amounts (other than principal amounts) payable to it hereunder.</w:t>
      </w:r>
    </w:p>
    <w:p>
      <w:pPr>
        <w:spacing w:after="0" w:line="204" w:lineRule="exact"/>
        <w:rPr>
          <w:rFonts w:ascii="Times New Roman" w:cs="Times New Roman" w:eastAsia="Times New Roman" w:hAnsi="Times New Roman"/>
          <w:sz w:val="20"/>
          <w:szCs w:val="20"/>
          <w:color w:val="auto"/>
        </w:rPr>
      </w:pPr>
    </w:p>
    <w:p>
      <w:pPr>
        <w:jc w:val="both"/>
        <w:ind w:firstLine="647"/>
        <w:spacing w:after="0" w:line="276" w:lineRule="auto"/>
        <w:tabs>
          <w:tab w:leader="none" w:pos="10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Competitors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Competitor will be deemed to have consented in the same proportion as the Lenders that are not Competitors consented to such matter and (y) for purposes of voting on any plan of reorganization, each Competitor party hereto hereby agrees (1) not to vote on such plan of reorganization, (2) if such Competitor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firstLine="647"/>
        <w:spacing w:after="0" w:line="263" w:lineRule="auto"/>
        <w:tabs>
          <w:tab w:leader="none" w:pos="97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Borrower hereby expressly authorize the Administrative Agent, to (A) post the list of Competitors and any updates thereto from time to time on an Approved Electronic Platform, including that portion of such Approved Electronic Platform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designated for “public side” Lenders and/or (B) provide the list of Competitors to each Lender or potential Lender requesting the same.</w:t>
      </w:r>
    </w:p>
    <w:p>
      <w:pPr>
        <w:spacing w:after="0" w:line="250" w:lineRule="exact"/>
        <w:rPr>
          <w:sz w:val="20"/>
          <w:szCs w:val="20"/>
          <w:color w:val="auto"/>
        </w:rPr>
      </w:pPr>
    </w:p>
    <w:p>
      <w:pPr>
        <w:jc w:val="both"/>
        <w:ind w:firstLine="647"/>
        <w:spacing w:after="0" w:line="250" w:lineRule="auto"/>
        <w:tabs>
          <w:tab w:leader="none" w:pos="92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not be responsible or have any liability for, or have any duty to ascertain, inquire into, monitor or enforce, compliance with the provisions hereof relating to Competitors. Without limiting the generality of the foregoing, neither the Administrative Agent nor any Lender shall (x) be obligated to ascertain, monitor or inquire as to whether any other Lender or Participant or prospective Lender or Participant is a Competitor or (y) have any liability with respect to or arising out of any assignment or participation of Loans, or disclosure of confidential information, by any other Person to any Competitor.</w:t>
      </w:r>
    </w:p>
    <w:p>
      <w:pPr>
        <w:spacing w:after="0" w:line="217"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9.05. 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Secured Obligations.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other Loan Document or any provision hereof or thereof.</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9.06. Counterparts; Integration; Effectiveness; Electronic Execution</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8" w:lineRule="auto"/>
        <w:tabs>
          <w:tab w:leader="none" w:pos="92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20" w:lineRule="exact"/>
        <w:rPr>
          <w:rFonts w:ascii="Times New Roman" w:cs="Times New Roman" w:eastAsia="Times New Roman" w:hAnsi="Times New Roman"/>
          <w:sz w:val="20"/>
          <w:szCs w:val="20"/>
          <w:color w:val="auto"/>
        </w:rPr>
      </w:pPr>
    </w:p>
    <w:p>
      <w:pPr>
        <w:jc w:val="both"/>
        <w:ind w:firstLine="647"/>
        <w:spacing w:after="0" w:line="248" w:lineRule="auto"/>
        <w:tabs>
          <w:tab w:leader="none" w:pos="949"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398" w:right="339" w:bottom="1440" w:gutter="0" w:footer="0" w:header="0"/>
        </w:sectPr>
      </w:pPr>
    </w:p>
    <w:bookmarkStart w:id="167" w:name="page168"/>
    <w:bookmarkEnd w:id="167"/>
    <w:p>
      <w:pPr>
        <w:jc w:val="both"/>
        <w:spacing w:after="0" w:line="274" w:lineRule="auto"/>
        <w:rPr>
          <w:sz w:val="20"/>
          <w:szCs w:val="20"/>
          <w:color w:val="auto"/>
        </w:rPr>
      </w:pPr>
      <w:r>
        <w:rPr>
          <w:rFonts w:ascii="Times New Roman" w:cs="Times New Roman" w:eastAsia="Times New Roman" w:hAnsi="Times New Roman"/>
          <w:sz w:val="18"/>
          <w:szCs w:val="18"/>
          <w:color w:val="auto"/>
        </w:rPr>
        <w:t>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9.07. 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1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9.08. Right of Setoff</w:t>
      </w:r>
      <w:r>
        <w:rPr>
          <w:rFonts w:ascii="Times New Roman" w:cs="Times New Roman" w:eastAsia="Times New Roman" w:hAnsi="Times New Roman"/>
          <w:sz w:val="20"/>
          <w:szCs w:val="20"/>
          <w:color w:val="auto"/>
        </w:rPr>
        <w:t>.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the Issuing Bank or any such Affiliate, to or for the credit or the account of any Loan Party against any and all of the Secured Obligations now or hereafter existing and owing to such Lender or the Issuing Bank or their respective Affiliates, irrespective of whether or not such Lender, the Issuing Bank or such Affiliate shall have made any demand under this Agreement or any other Loan Document and although such obligations of the Loan Parties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398" w:right="339" w:bottom="1440" w:gutter="0" w:footer="0" w:header="0"/>
        </w:sectPr>
      </w:pPr>
    </w:p>
    <w:bookmarkStart w:id="168" w:name="page169"/>
    <w:bookmarkEnd w:id="168"/>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9.09. Governing Law; Jurisdiction; Consent to Service of Process</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ind w:firstLine="647"/>
        <w:spacing w:after="0" w:line="247" w:lineRule="auto"/>
        <w:tabs>
          <w:tab w:leader="none" w:pos="91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and governed by the law of the State of New York.</w:t>
      </w:r>
    </w:p>
    <w:p>
      <w:pPr>
        <w:spacing w:after="0" w:line="219" w:lineRule="exact"/>
        <w:rPr>
          <w:rFonts w:ascii="Times New Roman" w:cs="Times New Roman" w:eastAsia="Times New Roman" w:hAnsi="Times New Roman"/>
          <w:sz w:val="20"/>
          <w:szCs w:val="20"/>
          <w:color w:val="auto"/>
        </w:rPr>
      </w:pPr>
    </w:p>
    <w:p>
      <w:pPr>
        <w:jc w:val="both"/>
        <w:ind w:firstLine="647"/>
        <w:spacing w:after="0" w:line="254" w:lineRule="auto"/>
        <w:tabs>
          <w:tab w:leader="none" w:pos="96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200" w:lineRule="exact"/>
        <w:rPr>
          <w:rFonts w:ascii="Times New Roman" w:cs="Times New Roman" w:eastAsia="Times New Roman" w:hAnsi="Times New Roman"/>
          <w:sz w:val="20"/>
          <w:szCs w:val="20"/>
          <w:color w:val="auto"/>
        </w:rPr>
      </w:pPr>
    </w:p>
    <w:p>
      <w:pPr>
        <w:jc w:val="both"/>
        <w:ind w:firstLine="647"/>
        <w:spacing w:after="0" w:line="247" w:lineRule="auto"/>
        <w:tabs>
          <w:tab w:leader="none" w:pos="90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225" w:lineRule="exact"/>
        <w:rPr>
          <w:rFonts w:ascii="Times New Roman" w:cs="Times New Roman" w:eastAsia="Times New Roman" w:hAnsi="Times New Roman"/>
          <w:sz w:val="20"/>
          <w:szCs w:val="20"/>
          <w:color w:val="auto"/>
        </w:rPr>
      </w:pPr>
    </w:p>
    <w:p>
      <w:pPr>
        <w:jc w:val="both"/>
        <w:ind w:firstLine="647"/>
        <w:spacing w:after="0" w:line="298" w:lineRule="auto"/>
        <w:tabs>
          <w:tab w:leader="none" w:pos="94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398" w:right="339" w:bottom="1440" w:gutter="0" w:footer="0" w:header="0"/>
        </w:sectPr>
      </w:pPr>
    </w:p>
    <w:bookmarkStart w:id="169" w:name="page170"/>
    <w:bookmarkEnd w:id="169"/>
    <w:p>
      <w:pPr>
        <w:spacing w:after="0" w:line="275" w:lineRule="auto"/>
        <w:rPr>
          <w:sz w:val="20"/>
          <w:szCs w:val="20"/>
          <w:color w:val="auto"/>
        </w:rPr>
      </w:pPr>
      <w:r>
        <w:rPr>
          <w:rFonts w:ascii="Times New Roman" w:cs="Times New Roman" w:eastAsia="Times New Roman" w:hAnsi="Times New Roman"/>
          <w:sz w:val="20"/>
          <w:szCs w:val="20"/>
          <w:color w:val="auto"/>
        </w:rPr>
        <w:t>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647"/>
        <w:spacing w:after="0" w:line="275" w:lineRule="auto"/>
        <w:tabs>
          <w:tab w:leader="none" w:pos="9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Section 9.01. Each Foreign Subsidiary that is a party hereto irrevocably designates and appoints the Borrower, as its authorized agent, to accept and acknowledge on its behalf, service of any and all process which may be served in any suit, action or proceeding of the nature referred to in Section 9.09(c) in any federal or New York State court sitting in New York City. The Borrower hereby represents, warrants and confirms that the Borrower has agreed to accept such appointment. Said designation and appointment shall be irrevocable by each such Foreign Subsidiary until Payment in Full of the Secured Obligations. Each Foreign Subsidiary party thereto hereby consents to process being served in any suit, action or proceeding of the nature referred to in Section 9.09(c) in any federal or New York State court sitting in New York City by service of process upon the Borrower as provided in this Section 9.09(e);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lawful and possible, notice of said service upon such agent shall be mailed by registered or certified air mail, postage prepaid, return receipt requested, to the Borrower and (if applicable to) such Foreign Subsidiary at its address set forth herein or in the Joinder Agreement pursuant to which such Foreign Subsidiary became a party hereto, as applicable, or to any other address of which such Foreign Subsidiary shall have given written notice to the Administrative Agent (with a copy thereof to the Borrower). Each Foreign Subsidiary party hereto irrevocably waives, to the fullest extent permitted by law, all claim of error by reason of any such service in such manner and agrees that such service shall be deemed in every respect effective service of process upon such Foreign Subsidiary in any such suit, action or proceeding and shall, to the fullest extent permitted by law, be taken and held to be valid and personal service upon and personal delivery to such Foreign Subsidiary. To the extent any Foreign Subsidiary party hereto has or hereafter may acquire any immunity from jurisdiction of any court or from any legal process (whether from service or notice, attachment prior to judgment, attachment in aid of execution of a judgment, execution or otherwise), each Foreign Subsidiary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spacing w:after="0" w:line="228"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9.10. 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23"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20"/>
          <w:szCs w:val="20"/>
          <w:u w:val="single" w:color="auto"/>
          <w:color w:val="auto"/>
        </w:rPr>
        <w:t>SECTION 9.11. 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5"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u w:val="single" w:color="auto"/>
          <w:color w:val="auto"/>
        </w:rPr>
        <w:t>SECTION 9.12. Confidentiality</w:t>
      </w:r>
      <w:r>
        <w:rPr>
          <w:rFonts w:ascii="Times New Roman" w:cs="Times New Roman" w:eastAsia="Times New Roman" w:hAnsi="Times New Roman"/>
          <w:sz w:val="20"/>
          <w:szCs w:val="20"/>
          <w:color w:val="auto"/>
        </w:rPr>
        <w:t>. Each of the Administrative Agent, the Issuing Bank and the Lenders agrees to maintain the confidentiality of the Information (as defined below),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398" w:right="339" w:bottom="1440" w:gutter="0" w:footer="0" w:header="0"/>
        </w:sectPr>
      </w:pPr>
    </w:p>
    <w:bookmarkStart w:id="170" w:name="page171"/>
    <w:bookmarkEnd w:id="170"/>
    <w:p>
      <w:pPr>
        <w:jc w:val="both"/>
        <w:spacing w:after="0" w:line="274" w:lineRule="auto"/>
        <w:rPr>
          <w:sz w:val="20"/>
          <w:szCs w:val="20"/>
          <w:color w:val="auto"/>
        </w:rPr>
      </w:pPr>
      <w:r>
        <w:rPr>
          <w:rFonts w:ascii="Times New Roman" w:cs="Times New Roman" w:eastAsia="Times New Roman" w:hAnsi="Times New Roman"/>
          <w:sz w:val="18"/>
          <w:szCs w:val="18"/>
          <w:color w:val="auto"/>
        </w:rPr>
        <w:t>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w:t>
      </w:r>
    </w:p>
    <w:p>
      <w:pPr>
        <w:spacing w:after="0" w:line="5" w:lineRule="exact"/>
        <w:rPr>
          <w:sz w:val="20"/>
          <w:szCs w:val="20"/>
          <w:color w:val="auto"/>
        </w:rPr>
      </w:pPr>
    </w:p>
    <w:p>
      <w:pPr>
        <w:jc w:val="both"/>
        <w:ind w:firstLine="7"/>
        <w:spacing w:after="0" w:line="245" w:lineRule="auto"/>
        <w:tabs>
          <w:tab w:leader="none" w:pos="31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prospective counterparty (or its advisors) to any swap or derivative transaction relating to the Loan Parties and their obligations, (g) on a confidential basis to (1) any rating agency in connection with rating the Borrower or its Subsidiaries or the credit facility provided for herein or (2) the CUSIP Service Bureau or any similar agency in connection with the issuance and monitoring of CUSIP numbers with respect to the credit facility provided for herein, (h) with the consent of the Borrower, (i) to any Person providing a Guarantee of all or any portion of the Secured Obligations, or (j)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EACH LENDER ACKNOWLEDGES THAT INFORMATION AS DEFINED IN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17"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398" w:right="339" w:bottom="1440" w:gutter="0" w:footer="0" w:header="0"/>
        </w:sectPr>
      </w:pPr>
    </w:p>
    <w:bookmarkStart w:id="171" w:name="page172"/>
    <w:bookmarkEnd w:id="171"/>
    <w:p>
      <w:pPr>
        <w:jc w:val="both"/>
        <w:spacing w:after="0" w:line="275" w:lineRule="auto"/>
        <w:rPr>
          <w:sz w:val="20"/>
          <w:szCs w:val="20"/>
          <w:color w:val="auto"/>
        </w:rPr>
      </w:pPr>
      <w:r>
        <w:rPr>
          <w:rFonts w:ascii="Times New Roman" w:cs="Times New Roman" w:eastAsia="Times New Roman" w:hAnsi="Times New Roman"/>
          <w:sz w:val="20"/>
          <w:szCs w:val="20"/>
          <w:color w:val="auto"/>
        </w:rPr>
        <w:t>ACCORDANCE WITH ITS COMPLIANCE PROCEDURES AND APPLICABLE LAW, INCLUDING FEDERAL AND STATE SECURITIES LAWS.</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9.13. Several Obligations; Nonreliance; Violation of Law</w:t>
      </w:r>
      <w:r>
        <w:rPr>
          <w:rFonts w:ascii="Times New Roman" w:cs="Times New Roman" w:eastAsia="Times New Roman" w:hAnsi="Times New Roman"/>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21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9.14. USA PATRIOT Act</w:t>
      </w:r>
      <w:r>
        <w:rPr>
          <w:rFonts w:ascii="Times New Roman" w:cs="Times New Roman" w:eastAsia="Times New Roman" w:hAnsi="Times New Roman"/>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20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9.15. Disclosure</w:t>
      </w:r>
      <w:r>
        <w:rPr>
          <w:rFonts w:ascii="Times New Roman" w:cs="Times New Roman" w:eastAsia="Times New Roman" w:hAnsi="Times New Roman"/>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2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9.16. Appointment for Perfection</w:t>
      </w:r>
      <w:r>
        <w:rPr>
          <w:rFonts w:ascii="Times New Roman" w:cs="Times New Roman" w:eastAsia="Times New Roman" w:hAnsi="Times New Roman"/>
          <w:sz w:val="20"/>
          <w:szCs w:val="20"/>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04"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u w:val="single" w:color="auto"/>
          <w:color w:val="auto"/>
        </w:rPr>
        <w:t>SECTION 9.17. 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9.18. No Fiduciary Duty, etc.</w:t>
      </w:r>
      <w:r>
        <w:rPr>
          <w:rFonts w:ascii="Times New Roman" w:cs="Times New Roman" w:eastAsia="Times New Roman" w:hAnsi="Times New Roman"/>
          <w:sz w:val="20"/>
          <w:szCs w:val="20"/>
          <w:color w:val="auto"/>
        </w:rPr>
        <w:t>. (a) 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Loan Parties with respect to the Loan Documents and the transactions contemplated therein and not as a financial advisor or a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398" w:right="339" w:bottom="1440" w:gutter="0" w:footer="0" w:header="0"/>
        </w:sectPr>
      </w:pPr>
    </w:p>
    <w:bookmarkStart w:id="172" w:name="page173"/>
    <w:bookmarkEnd w:id="172"/>
    <w:p>
      <w:pPr>
        <w:jc w:val="both"/>
        <w:spacing w:after="0" w:line="250" w:lineRule="auto"/>
        <w:rPr>
          <w:sz w:val="20"/>
          <w:szCs w:val="20"/>
          <w:color w:val="auto"/>
        </w:rPr>
      </w:pPr>
      <w:r>
        <w:rPr>
          <w:rFonts w:ascii="Times New Roman" w:cs="Times New Roman" w:eastAsia="Times New Roman" w:hAnsi="Times New Roman"/>
          <w:sz w:val="20"/>
          <w:szCs w:val="20"/>
          <w:color w:val="auto"/>
        </w:rPr>
        <w:t>to, or an agent of, any Loan Party or any other person. Each Loan Party agrees that it will not assert any claim against any Credit Party based on an alleged breach of fiduciary duty by such Credit Party in connection with this Agreement and the transactions contemplated by the Loan Documents. Additionally, each Loan Party acknowledges and agrees that no Credit Party is advising the Loan Parties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by the Loan Documents, and the Credit Parties shall have no responsibility or liability to any Loan Party with respect thereto.</w:t>
      </w:r>
    </w:p>
    <w:p>
      <w:pPr>
        <w:spacing w:after="0" w:line="217" w:lineRule="exact"/>
        <w:rPr>
          <w:sz w:val="20"/>
          <w:szCs w:val="20"/>
          <w:color w:val="auto"/>
        </w:rPr>
      </w:pPr>
    </w:p>
    <w:p>
      <w:pPr>
        <w:jc w:val="both"/>
        <w:ind w:firstLine="647"/>
        <w:spacing w:after="0" w:line="248" w:lineRule="auto"/>
        <w:tabs>
          <w:tab w:leader="none" w:pos="9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6" w:lineRule="exact"/>
        <w:rPr>
          <w:rFonts w:ascii="Times New Roman" w:cs="Times New Roman" w:eastAsia="Times New Roman" w:hAnsi="Times New Roman"/>
          <w:sz w:val="20"/>
          <w:szCs w:val="20"/>
          <w:color w:val="auto"/>
        </w:rPr>
      </w:pPr>
    </w:p>
    <w:p>
      <w:pPr>
        <w:jc w:val="both"/>
        <w:ind w:firstLine="647"/>
        <w:spacing w:after="0" w:line="248" w:lineRule="auto"/>
        <w:tabs>
          <w:tab w:leader="none" w:pos="92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both"/>
        <w:ind w:firstLine="640"/>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9.20. Acknowledgment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25" w:lineRule="exact"/>
        <w:rPr>
          <w:sz w:val="20"/>
          <w:szCs w:val="20"/>
          <w:color w:val="auto"/>
        </w:rPr>
      </w:pPr>
    </w:p>
    <w:p>
      <w:pPr>
        <w:ind w:right="20" w:firstLine="647"/>
        <w:spacing w:after="0" w:line="275" w:lineRule="auto"/>
        <w:tabs>
          <w:tab w:leader="none" w:pos="92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w:t>
      </w:r>
    </w:p>
    <w:p>
      <w:pPr>
        <w:spacing w:after="0" w:line="180" w:lineRule="exact"/>
        <w:rPr>
          <w:rFonts w:ascii="Times New Roman" w:cs="Times New Roman" w:eastAsia="Times New Roman" w:hAnsi="Times New Roman"/>
          <w:sz w:val="20"/>
          <w:szCs w:val="20"/>
          <w:color w:val="auto"/>
        </w:rPr>
      </w:pPr>
    </w:p>
    <w:p>
      <w:pPr>
        <w:ind w:left="920" w:hanging="273"/>
        <w:spacing w:after="0"/>
        <w:tabs>
          <w:tab w:leader="none" w:pos="9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the effects of any Bail-In Action on any such liability, including, if applicable:</w:t>
      </w:r>
    </w:p>
    <w:p>
      <w:pPr>
        <w:spacing w:after="0" w:line="250" w:lineRule="exact"/>
        <w:rPr>
          <w:rFonts w:ascii="Times New Roman" w:cs="Times New Roman" w:eastAsia="Times New Roman" w:hAnsi="Times New Roman"/>
          <w:sz w:val="20"/>
          <w:szCs w:val="20"/>
          <w:color w:val="auto"/>
        </w:rPr>
      </w:pPr>
    </w:p>
    <w:p>
      <w:pPr>
        <w:ind w:left="1520" w:hanging="232"/>
        <w:spacing w:after="0"/>
        <w:tabs>
          <w:tab w:leader="none" w:pos="15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398" w:right="339" w:bottom="1440" w:gutter="0" w:footer="0" w:header="0"/>
        </w:sectPr>
      </w:pPr>
    </w:p>
    <w:bookmarkStart w:id="173" w:name="page174"/>
    <w:bookmarkEnd w:id="173"/>
    <w:p>
      <w:pPr>
        <w:jc w:val="both"/>
        <w:ind w:left="640" w:firstLine="648"/>
        <w:spacing w:after="0" w:line="254" w:lineRule="auto"/>
        <w:tabs>
          <w:tab w:leader="none" w:pos="157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rFonts w:ascii="Times New Roman" w:cs="Times New Roman" w:eastAsia="Times New Roman" w:hAnsi="Times New Roman"/>
          <w:sz w:val="20"/>
          <w:szCs w:val="20"/>
          <w:color w:val="auto"/>
        </w:rPr>
      </w:pPr>
    </w:p>
    <w:p>
      <w:pPr>
        <w:ind w:left="640" w:firstLine="648"/>
        <w:spacing w:after="0" w:line="275" w:lineRule="auto"/>
        <w:tabs>
          <w:tab w:leader="none" w:pos="163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93"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u w:val="single" w:color="auto"/>
          <w:color w:val="auto"/>
        </w:rPr>
        <w:t>SECTION 9.21.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25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10.01. Guaranty</w:t>
      </w:r>
      <w:r>
        <w:rPr>
          <w:rFonts w:ascii="Times New Roman" w:cs="Times New Roman" w:eastAsia="Times New Roman" w:hAnsi="Times New Roman"/>
          <w:sz w:val="20"/>
          <w:szCs w:val="20"/>
          <w:color w:val="auto"/>
        </w:rPr>
        <w:t>. Each Loan Guarantor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Guaranteed Obligations of such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398" w:right="339" w:bottom="1440" w:gutter="0" w:footer="0" w:header="0"/>
        </w:sectPr>
      </w:pPr>
    </w:p>
    <w:bookmarkStart w:id="174" w:name="page175"/>
    <w:bookmarkEnd w:id="174"/>
    <w:p>
      <w:pPr>
        <w:jc w:val="both"/>
        <w:spacing w:after="0" w:line="275" w:lineRule="auto"/>
        <w:rPr>
          <w:sz w:val="20"/>
          <w:szCs w:val="20"/>
          <w:color w:val="auto"/>
        </w:rPr>
      </w:pPr>
      <w:r>
        <w:rPr>
          <w:rFonts w:ascii="Times New Roman" w:cs="Times New Roman" w:eastAsia="Times New Roman" w:hAnsi="Times New Roman"/>
          <w:sz w:val="20"/>
          <w:szCs w:val="20"/>
          <w:color w:val="auto"/>
        </w:rPr>
        <w:t>may be enforced by or on behalf of any domestic or foreign branch or Affiliate of any Lender that extended any portion of the Guaranteed Obligations.</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10.02. Guaranty of Payment</w:t>
      </w:r>
      <w:r>
        <w:rPr>
          <w:rFonts w:ascii="Times New Roman" w:cs="Times New Roman" w:eastAsia="Times New Roman" w:hAnsi="Times New Roman"/>
          <w:sz w:val="20"/>
          <w:szCs w:val="20"/>
          <w:color w:val="auto"/>
        </w:rPr>
        <w:t>. This Loan Guaranty is a guaranty of payment and not of collection. Each Loan Guarantor waives any right to require the Administrative Agent, the Issuing Bank or any Lender to sue the Borrower, any Loan Guarantor, any other guarantor of,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10.03. No Discharge or Diminishment of Loan Guaranty</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firstLine="647"/>
        <w:spacing w:after="0" w:line="248" w:lineRule="auto"/>
        <w:tabs>
          <w:tab w:leader="none" w:pos="91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220" w:lineRule="exact"/>
        <w:rPr>
          <w:rFonts w:ascii="Times New Roman" w:cs="Times New Roman" w:eastAsia="Times New Roman" w:hAnsi="Times New Roman"/>
          <w:sz w:val="20"/>
          <w:szCs w:val="20"/>
          <w:color w:val="auto"/>
        </w:rPr>
      </w:pPr>
    </w:p>
    <w:p>
      <w:pPr>
        <w:jc w:val="both"/>
        <w:ind w:firstLine="647"/>
        <w:spacing w:after="0" w:line="254" w:lineRule="auto"/>
        <w:tabs>
          <w:tab w:leader="none" w:pos="96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200" w:lineRule="exact"/>
        <w:rPr>
          <w:rFonts w:ascii="Times New Roman" w:cs="Times New Roman" w:eastAsia="Times New Roman" w:hAnsi="Times New Roman"/>
          <w:sz w:val="20"/>
          <w:szCs w:val="20"/>
          <w:color w:val="auto"/>
        </w:rPr>
      </w:pPr>
    </w:p>
    <w:p>
      <w:pPr>
        <w:jc w:val="both"/>
        <w:ind w:firstLine="647"/>
        <w:spacing w:after="0" w:line="248" w:lineRule="auto"/>
        <w:tabs>
          <w:tab w:leader="none" w:pos="91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21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10.04. Defenses Waived</w:t>
      </w:r>
      <w:r>
        <w:rPr>
          <w:rFonts w:ascii="Times New Roman" w:cs="Times New Roman" w:eastAsia="Times New Roman" w:hAnsi="Times New Roman"/>
          <w:sz w:val="20"/>
          <w:szCs w:val="20"/>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398" w:right="339" w:bottom="1440" w:gutter="0" w:footer="0" w:header="0"/>
        </w:sectPr>
      </w:pPr>
    </w:p>
    <w:bookmarkStart w:id="175" w:name="page176"/>
    <w:bookmarkEnd w:id="175"/>
    <w:p>
      <w:pPr>
        <w:jc w:val="both"/>
        <w:spacing w:after="0" w:line="278" w:lineRule="auto"/>
        <w:rPr>
          <w:sz w:val="20"/>
          <w:szCs w:val="20"/>
          <w:color w:val="auto"/>
        </w:rPr>
      </w:pPr>
      <w:r>
        <w:rPr>
          <w:rFonts w:ascii="Times New Roman" w:cs="Times New Roman" w:eastAsia="Times New Roman" w:hAnsi="Times New Roman"/>
          <w:sz w:val="18"/>
          <w:szCs w:val="18"/>
          <w:color w:val="auto"/>
        </w:rPr>
        <w:t>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0" w:lineRule="exact"/>
        <w:rPr>
          <w:sz w:val="20"/>
          <w:szCs w:val="20"/>
          <w:color w:val="auto"/>
        </w:rPr>
      </w:pPr>
    </w:p>
    <w:p>
      <w:pPr>
        <w:spacing w:after="0" w:line="23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u w:val="single" w:color="auto"/>
          <w:color w:val="auto"/>
        </w:rPr>
        <w:t>SECTION 10.05. Rights of Subrogation</w:t>
      </w:r>
      <w:r>
        <w:rPr>
          <w:rFonts w:ascii="Times New Roman" w:cs="Times New Roman" w:eastAsia="Times New Roman" w:hAnsi="Times New Roman"/>
          <w:sz w:val="20"/>
          <w:szCs w:val="20"/>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11"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u w:val="single" w:color="auto"/>
          <w:color w:val="auto"/>
        </w:rPr>
        <w:t>SECTION 10.06. 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8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10.07. Information</w:t>
      </w:r>
      <w:r>
        <w:rPr>
          <w:rFonts w:ascii="Times New Roman" w:cs="Times New Roman" w:eastAsia="Times New Roman" w:hAnsi="Times New Roman"/>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10.08. Release of Loan Guarantors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0" w:lineRule="auto"/>
        <w:tabs>
          <w:tab w:leader="none" w:pos="92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Subsidiary Guarantor shall automatically be released from its obligations under the Loan Guaranty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398" w:right="339" w:bottom="1440" w:gutter="0" w:footer="0" w:header="0"/>
        </w:sectPr>
      </w:pPr>
    </w:p>
    <w:bookmarkStart w:id="176" w:name="page177"/>
    <w:bookmarkEnd w:id="176"/>
    <w:p>
      <w:pPr>
        <w:spacing w:after="0" w:line="275" w:lineRule="auto"/>
        <w:rPr>
          <w:sz w:val="20"/>
          <w:szCs w:val="20"/>
          <w:color w:val="auto"/>
        </w:rPr>
      </w:pPr>
      <w:r>
        <w:rPr>
          <w:rFonts w:ascii="Times New Roman" w:cs="Times New Roman" w:eastAsia="Times New Roman" w:hAnsi="Times New Roman"/>
          <w:sz w:val="20"/>
          <w:szCs w:val="20"/>
          <w:color w:val="auto"/>
        </w:rPr>
        <w:t>request to evidence such termination or release. Any execution and delivery of documents pursuant to this Section shall be without recourse to or warranty by the Administrative Agent.</w:t>
      </w:r>
    </w:p>
    <w:p>
      <w:pPr>
        <w:spacing w:after="0" w:line="180" w:lineRule="exact"/>
        <w:rPr>
          <w:sz w:val="20"/>
          <w:szCs w:val="20"/>
          <w:color w:val="auto"/>
        </w:rPr>
      </w:pPr>
    </w:p>
    <w:p>
      <w:pPr>
        <w:jc w:val="both"/>
        <w:ind w:firstLine="647"/>
        <w:spacing w:after="0" w:line="282" w:lineRule="auto"/>
        <w:tabs>
          <w:tab w:leader="none" w:pos="9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the Administrative Agent may (and is hereby irrevocably authorized by each Lender to), upon the request of the Borrower, release any Subsidiary Guarantor from its obligations under the Loan Guaranty if such Subsidiary Guarantor constitutes an Excluded Subsidiary (other than an Excluded Subsidiary of the type described in clause (vi) of the definition thereof, unless such Subsidiary either (x) becomes non-Wholly-Owned pursuant to a bona fide equity investment by a non-Affiliate third-party or (y) becomes a bona fide joint venture with a non-Affiliated third party as determined in good faith by the Borrower in consultation with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release shall occur if such Subsidiary Guarantor continues (after giving effect to the consummation of such transaction or designation) to be a guarantor or provide any credit support in respect of any Material Indebtedness of the Borrower or any Subsidiary.</w:t>
      </w:r>
    </w:p>
    <w:p>
      <w:pPr>
        <w:spacing w:after="0" w:line="178" w:lineRule="exact"/>
        <w:rPr>
          <w:rFonts w:ascii="Times New Roman" w:cs="Times New Roman" w:eastAsia="Times New Roman" w:hAnsi="Times New Roman"/>
          <w:sz w:val="18"/>
          <w:szCs w:val="18"/>
          <w:color w:val="auto"/>
        </w:rPr>
      </w:pPr>
    </w:p>
    <w:p>
      <w:pPr>
        <w:jc w:val="both"/>
        <w:ind w:firstLine="647"/>
        <w:spacing w:after="0" w:line="263" w:lineRule="auto"/>
        <w:tabs>
          <w:tab w:leader="none" w:pos="93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Payment in Full of all Secured Obligations,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9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10.09. Taxes</w:t>
      </w:r>
      <w:r>
        <w:rPr>
          <w:rFonts w:ascii="Times New Roman" w:cs="Times New Roman" w:eastAsia="Times New Roman" w:hAnsi="Times New Roman"/>
          <w:sz w:val="20"/>
          <w:szCs w:val="20"/>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20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10.10. Maximum Liability</w:t>
      </w:r>
      <w:r>
        <w:rPr>
          <w:rFonts w:ascii="Times New Roman" w:cs="Times New Roman" w:eastAsia="Times New Roman" w:hAnsi="Times New Roman"/>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auto"/>
        </w:rPr>
        <w:t>SECTION 10.11. Contribution</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7"/>
        <w:spacing w:after="0" w:line="250" w:lineRule="auto"/>
        <w:tabs>
          <w:tab w:leader="none" w:pos="90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398" w:right="339" w:bottom="1440" w:gutter="0" w:footer="0" w:header="0"/>
        </w:sectPr>
      </w:pPr>
    </w:p>
    <w:bookmarkStart w:id="177" w:name="page178"/>
    <w:bookmarkEnd w:id="177"/>
    <w:p>
      <w:pPr>
        <w:jc w:val="both"/>
        <w:spacing w:after="0" w:line="256" w:lineRule="auto"/>
        <w:rPr>
          <w:sz w:val="20"/>
          <w:szCs w:val="20"/>
          <w:color w:val="auto"/>
        </w:rPr>
      </w:pPr>
      <w:r>
        <w:rPr>
          <w:rFonts w:ascii="Times New Roman" w:cs="Times New Roman" w:eastAsia="Times New Roman" w:hAnsi="Times New Roman"/>
          <w:sz w:val="20"/>
          <w:szCs w:val="20"/>
          <w:color w:val="auto"/>
        </w:rPr>
        <w:t>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211" w:lineRule="exact"/>
        <w:rPr>
          <w:sz w:val="20"/>
          <w:szCs w:val="20"/>
          <w:color w:val="auto"/>
        </w:rPr>
      </w:pPr>
    </w:p>
    <w:p>
      <w:pPr>
        <w:jc w:val="both"/>
        <w:ind w:firstLine="647"/>
        <w:spacing w:after="0" w:line="250" w:lineRule="auto"/>
        <w:tabs>
          <w:tab w:leader="none" w:pos="93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216" w:lineRule="exact"/>
        <w:rPr>
          <w:rFonts w:ascii="Times New Roman" w:cs="Times New Roman" w:eastAsia="Times New Roman" w:hAnsi="Times New Roman"/>
          <w:sz w:val="20"/>
          <w:szCs w:val="20"/>
          <w:color w:val="auto"/>
        </w:rPr>
      </w:pPr>
    </w:p>
    <w:p>
      <w:pPr>
        <w:jc w:val="both"/>
        <w:ind w:firstLine="647"/>
        <w:spacing w:after="0" w:line="256" w:lineRule="auto"/>
        <w:tabs>
          <w:tab w:leader="none" w:pos="913"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211" w:lineRule="exact"/>
        <w:rPr>
          <w:rFonts w:ascii="Times New Roman" w:cs="Times New Roman" w:eastAsia="Times New Roman" w:hAnsi="Times New Roman"/>
          <w:sz w:val="20"/>
          <w:szCs w:val="20"/>
          <w:color w:val="auto"/>
        </w:rPr>
      </w:pPr>
    </w:p>
    <w:p>
      <w:pPr>
        <w:ind w:firstLine="647"/>
        <w:spacing w:after="0" w:line="262" w:lineRule="auto"/>
        <w:tabs>
          <w:tab w:leader="none" w:pos="93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205" w:lineRule="exact"/>
        <w:rPr>
          <w:rFonts w:ascii="Times New Roman" w:cs="Times New Roman" w:eastAsia="Times New Roman" w:hAnsi="Times New Roman"/>
          <w:sz w:val="20"/>
          <w:szCs w:val="20"/>
          <w:color w:val="auto"/>
        </w:rPr>
      </w:pPr>
    </w:p>
    <w:p>
      <w:pPr>
        <w:ind w:firstLine="647"/>
        <w:spacing w:after="0" w:line="262" w:lineRule="auto"/>
        <w:tabs>
          <w:tab w:leader="none" w:pos="91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20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u w:val="single" w:color="auto"/>
          <w:color w:val="auto"/>
        </w:rPr>
        <w:t>SECTION 10.12. Liability Cumulative</w:t>
      </w:r>
      <w:r>
        <w:rPr>
          <w:rFonts w:ascii="Times New Roman" w:cs="Times New Roman" w:eastAsia="Times New Roman" w:hAnsi="Times New Roman"/>
          <w:sz w:val="20"/>
          <w:szCs w:val="20"/>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1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u w:val="single" w:color="auto"/>
          <w:color w:val="auto"/>
        </w:rPr>
        <w:t>SECTION 10.13. Keepwell</w:t>
      </w:r>
      <w:r>
        <w:rPr>
          <w:rFonts w:ascii="Times New Roman" w:cs="Times New Roman" w:eastAsia="Times New Roman" w:hAnsi="Times New Roman"/>
          <w:sz w:val="20"/>
          <w:szCs w:val="20"/>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Signature Page Follows</w:t>
      </w:r>
      <w:r>
        <w:rPr>
          <w:rFonts w:ascii="Times New Roman" w:cs="Times New Roman" w:eastAsia="Times New Roman" w:hAnsi="Times New Roman"/>
          <w:sz w:val="20"/>
          <w:szCs w:val="20"/>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398" w:right="3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248"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2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 /s/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-12065</wp:posOffset>
            </wp:positionV>
            <wp:extent cx="1748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left="384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Dominick Colangelo</w:t>
      </w: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11240"/>
          </w:cols>
          <w:pgMar w:left="320" w:top="1398" w:right="339" w:bottom="1440" w:gutter="0" w:footer="0" w:header="0"/>
        </w:sectPr>
      </w:pPr>
    </w:p>
    <w:bookmarkStart w:id="180" w:name="page181"/>
    <w:bookmarkEnd w:id="180"/>
    <w:p>
      <w:pPr>
        <w:spacing w:after="0" w:line="1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JPMORGAN CHASE BANK, N.A., individually as a</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Lender, and as Administrative Agent, Swingline Lender</w:t>
      </w:r>
    </w:p>
    <w:p>
      <w:pPr>
        <w:spacing w:after="0" w:line="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and Issuing Bank</w:t>
      </w:r>
    </w:p>
    <w:p>
      <w:pPr>
        <w:spacing w:after="0" w:line="20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/s/ LEAH ZVALEUSKAS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-12065</wp:posOffset>
            </wp:positionV>
            <wp:extent cx="1339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Leah Zvaleuskas</w:t>
      </w:r>
    </w:p>
    <w:p>
      <w:pPr>
        <w:ind w:left="27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9019"/>
          </w:cols>
          <w:pgMar w:left="1440" w:top="1440" w:right="1440" w:bottom="1440" w:gutter="0" w:footer="0" w:header="0"/>
        </w:sectPr>
      </w:pPr>
    </w:p>
    <w:bookmarkStart w:id="181" w:name="page182"/>
    <w:bookmarkEnd w:id="181"/>
    <w:p>
      <w:pPr>
        <w:spacing w:after="0" w:line="200" w:lineRule="exact"/>
        <w:rPr>
          <w:sz w:val="20"/>
          <w:szCs w:val="20"/>
          <w:color w:val="auto"/>
        </w:rPr>
      </w:pPr>
    </w:p>
    <w:p>
      <w:pPr>
        <w:spacing w:after="0" w:line="238"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20"/>
          <w:szCs w:val="20"/>
          <w:color w:val="auto"/>
        </w:rPr>
        <w:t>KEYBANK NATIONAL ASSOCIATION, as a Lender</w:t>
      </w:r>
    </w:p>
    <w:p>
      <w:pPr>
        <w:spacing w:after="0" w:line="200" w:lineRule="exact"/>
        <w:rPr>
          <w:sz w:val="20"/>
          <w:szCs w:val="20"/>
          <w:color w:val="auto"/>
        </w:rPr>
      </w:pPr>
    </w:p>
    <w:p>
      <w:pPr>
        <w:spacing w:after="0" w:line="2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By: /s/ J.T.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-12065</wp:posOffset>
            </wp:positionV>
            <wp:extent cx="869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ind w:left="1520"/>
        <w:spacing w:after="0" w:line="228" w:lineRule="auto"/>
        <w:rPr>
          <w:sz w:val="20"/>
          <w:szCs w:val="20"/>
          <w:color w:val="auto"/>
        </w:rPr>
      </w:pPr>
      <w:r>
        <w:rPr>
          <w:rFonts w:ascii="Times New Roman" w:cs="Times New Roman" w:eastAsia="Times New Roman" w:hAnsi="Times New Roman"/>
          <w:sz w:val="20"/>
          <w:szCs w:val="20"/>
          <w:color w:val="auto"/>
        </w:rPr>
        <w:t>Name: J.T.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-15240</wp:posOffset>
            </wp:positionV>
            <wp:extent cx="561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SVP and Group Head, Banking Group Portfolio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SILICON VALLEY BANK, as a Lender and Issuing</w:t>
      </w:r>
    </w:p>
    <w:p>
      <w:pPr>
        <w:spacing w:after="0" w:line="2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Bank</w:t>
      </w:r>
    </w:p>
    <w:p>
      <w:pPr>
        <w:spacing w:after="0" w:line="21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/s/ JUSTIN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-12065</wp:posOffset>
            </wp:positionV>
            <wp:extent cx="11760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Justin Roberts</w:t>
      </w:r>
    </w:p>
    <w:p>
      <w:pPr>
        <w:ind w:left="27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1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5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/s/ MONIQUE DUBISKY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-12065</wp:posOffset>
            </wp:positionV>
            <wp:extent cx="1348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Monique Dubisky</w:t>
      </w:r>
    </w:p>
    <w:p>
      <w:pPr>
        <w:ind w:left="27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Vericel Corporation</w:t>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1.01(A) - Existing Letters of Credit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3.05 – Properties, etc.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3.12 – Material Contracts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3.15 – Capitalization and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3.24 – Healthcare and Regulatory Authority Matters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5.14 – Post-Closing Requirements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6.01 – Existing Indebtedness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6.02 – Existing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6.09 – Existing Transactions with Affiliates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6.04 – Existing Investments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6.10 – Existing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0139"/>
          </w:cols>
          <w:pgMar w:left="320" w:top="1440" w:right="1440" w:bottom="1440" w:gutter="0" w:footer="0" w:header="0"/>
        </w:sectPr>
      </w:pPr>
    </w:p>
    <w:bookmarkStart w:id="185" w:name="page186"/>
    <w:bookmarkEnd w:id="185"/>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COMMITMENT SCHEDULE</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COMMITMENT SCHEDULE</w:t>
      </w:r>
    </w:p>
    <w:p>
      <w:pPr>
        <w:spacing w:after="0" w:line="290" w:lineRule="exact"/>
        <w:rPr>
          <w:sz w:val="20"/>
          <w:szCs w:val="20"/>
          <w:color w:val="auto"/>
        </w:rPr>
      </w:pPr>
    </w:p>
    <w:tbl>
      <w:tblPr>
        <w:tblLayout w:type="fixed"/>
        <w:tblInd w:w="1330" w:type="dxa"/>
        <w:tblCellMar>
          <w:top w:w="0" w:type="dxa"/>
          <w:left w:w="0" w:type="dxa"/>
          <w:bottom w:w="0" w:type="dxa"/>
          <w:right w:w="0" w:type="dxa"/>
        </w:tblCellMar>
      </w:tblPr>
      <w:tr>
        <w:trPr>
          <w:trHeight w:val="301"/>
        </w:trPr>
        <w:tc>
          <w:tcPr>
            <w:tcW w:w="4320" w:type="dxa"/>
            <w:vAlign w:val="bottom"/>
            <w:tcBorders>
              <w:top w:val="single" w:sz="8" w:color="auto"/>
              <w:left w:val="single" w:sz="8" w:color="auto"/>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21"/>
                <w:szCs w:val="21"/>
                <w:b w:val="1"/>
                <w:bCs w:val="1"/>
                <w:color w:val="auto"/>
              </w:rPr>
              <w:t>Lender</w:t>
            </w:r>
          </w:p>
        </w:tc>
        <w:tc>
          <w:tcPr>
            <w:tcW w:w="432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1"/>
                <w:szCs w:val="21"/>
                <w:b w:val="1"/>
                <w:bCs w:val="1"/>
                <w:color w:val="auto"/>
              </w:rPr>
              <w:t>Revolving Commitment</w:t>
            </w:r>
          </w:p>
        </w:tc>
      </w:tr>
      <w:tr>
        <w:trPr>
          <w:trHeight w:val="262"/>
        </w:trPr>
        <w:tc>
          <w:tcPr>
            <w:tcW w:w="4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JPMorgan Chase Bank, N.A.</w:t>
            </w: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$60,000,000</w:t>
            </w:r>
          </w:p>
        </w:tc>
      </w:tr>
      <w:tr>
        <w:trPr>
          <w:trHeight w:val="260"/>
        </w:trPr>
        <w:tc>
          <w:tcPr>
            <w:tcW w:w="4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KeyBank National Association</w:t>
            </w: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$30,000,000</w:t>
            </w:r>
          </w:p>
        </w:tc>
      </w:tr>
      <w:tr>
        <w:trPr>
          <w:trHeight w:val="260"/>
        </w:trPr>
        <w:tc>
          <w:tcPr>
            <w:tcW w:w="4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Silicon Valley Bank</w:t>
            </w: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$30,000,000</w:t>
            </w:r>
          </w:p>
        </w:tc>
      </w:tr>
      <w:tr>
        <w:trPr>
          <w:trHeight w:val="260"/>
        </w:trPr>
        <w:tc>
          <w:tcPr>
            <w:tcW w:w="4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$30,000,000</w:t>
            </w:r>
          </w:p>
        </w:tc>
      </w:tr>
      <w:tr>
        <w:trPr>
          <w:trHeight w:val="286"/>
        </w:trPr>
        <w:tc>
          <w:tcPr>
            <w:tcW w:w="4320" w:type="dxa"/>
            <w:vAlign w:val="bottom"/>
            <w:tcBorders>
              <w:left w:val="single" w:sz="8" w:color="auto"/>
              <w:bottom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21"/>
                <w:szCs w:val="21"/>
                <w:b w:val="1"/>
                <w:bCs w:val="1"/>
                <w:color w:val="auto"/>
              </w:rPr>
              <w:t>Total</w:t>
            </w: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rPr>
              <w:t>$150,000,000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SCHEDULE 1.01 (A)</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Existing Letters of Credit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SCHEDULE 3.05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Schedule 3.05</w:t>
      </w:r>
    </w:p>
    <w:p>
      <w:pPr>
        <w:spacing w:after="0" w:line="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Properties, etc.</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44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1"/>
          <w:szCs w:val="21"/>
          <w:color w:val="auto"/>
        </w:rPr>
        <w:t>SCHEDULE 3.12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3.12</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Material Contracts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Vericel’s existing material agreements are referenced in the Borrower’s most recent Annual Report on Form 10-K, filed with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and Exchange Commission on February 24, 2022. Such agreements include:</w:t>
      </w:r>
    </w:p>
    <w:p>
      <w:pPr>
        <w:spacing w:after="0" w:line="215" w:lineRule="exact"/>
        <w:rPr>
          <w:sz w:val="20"/>
          <w:szCs w:val="20"/>
          <w:color w:val="auto"/>
        </w:rPr>
      </w:pPr>
    </w:p>
    <w:p>
      <w:pPr>
        <w:ind w:left="640" w:right="32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Employment Agreement, executed March 4, 2013 and effective March 1, 2013, by and between the Borrower and Dominick C. Colangelo (reference to Exhibit 10.1 to the Borrower’s Report on Form 8-K, filed on March 8, 2013).</w:t>
      </w:r>
    </w:p>
    <w:p>
      <w:pPr>
        <w:spacing w:after="0" w:line="167" w:lineRule="exact"/>
        <w:rPr>
          <w:rFonts w:ascii="Times New Roman" w:cs="Times New Roman" w:eastAsia="Times New Roman" w:hAnsi="Times New Roman"/>
          <w:sz w:val="21"/>
          <w:szCs w:val="21"/>
          <w:color w:val="auto"/>
        </w:rPr>
      </w:pPr>
    </w:p>
    <w:p>
      <w:pPr>
        <w:ind w:left="640" w:right="22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Asset Purchase Agreement, dated as of April 19, 2014, by and between the Borrower and Sanofi (reference to Exhibit 2.1 to the Borrower’s Current Report on Form 8-K filed on April 23, 2014).</w:t>
      </w:r>
    </w:p>
    <w:p>
      <w:pPr>
        <w:spacing w:after="0" w:line="167" w:lineRule="exact"/>
        <w:rPr>
          <w:rFonts w:ascii="Times New Roman" w:cs="Times New Roman" w:eastAsia="Times New Roman" w:hAnsi="Times New Roman"/>
          <w:sz w:val="21"/>
          <w:szCs w:val="21"/>
          <w:color w:val="auto"/>
        </w:rPr>
      </w:pPr>
    </w:p>
    <w:p>
      <w:pPr>
        <w:ind w:left="640" w:right="380" w:hanging="313"/>
        <w:spacing w:after="0" w:line="261"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Agreement, dated November 30, 2005, by and between the Borrower and Up 64 Sidney Street, LLC, as amended (reference to Exhibit 10.57 to the Borrower’s Annual Report on Form 10-K, filed March 14, 2016).</w:t>
      </w:r>
    </w:p>
    <w:p>
      <w:pPr>
        <w:spacing w:after="0" w:line="181" w:lineRule="exact"/>
        <w:rPr>
          <w:rFonts w:ascii="Times New Roman" w:cs="Times New Roman" w:eastAsia="Times New Roman" w:hAnsi="Times New Roman"/>
          <w:sz w:val="21"/>
          <w:szCs w:val="21"/>
          <w:color w:val="auto"/>
        </w:rPr>
      </w:pPr>
    </w:p>
    <w:p>
      <w:pPr>
        <w:ind w:left="640" w:right="60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Agreement, dated October 21, 2020 by and between the Borrower and Up 64 Sidney Street, LLC, as amended, (reference to Exhibit 10.7 to the Borrower’s Annual Report on Form 10-K, filed February 24, 2021).</w:t>
      </w:r>
    </w:p>
    <w:p>
      <w:pPr>
        <w:spacing w:after="0" w:line="167" w:lineRule="exact"/>
        <w:rPr>
          <w:rFonts w:ascii="Times New Roman" w:cs="Times New Roman" w:eastAsia="Times New Roman" w:hAnsi="Times New Roman"/>
          <w:sz w:val="21"/>
          <w:szCs w:val="21"/>
          <w:color w:val="auto"/>
        </w:rPr>
      </w:pPr>
    </w:p>
    <w:p>
      <w:pPr>
        <w:ind w:left="640" w:right="24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Vericel Corporation 2015 Employee Stock Purchase Plan (reference to Appendix I of the Borrower’s Proxy Statement on Schedule 14A for the fiscal year ended December 31, 2014, filed on March 25, 2015).</w:t>
      </w:r>
    </w:p>
    <w:p>
      <w:pPr>
        <w:spacing w:after="0" w:line="167" w:lineRule="exact"/>
        <w:rPr>
          <w:rFonts w:ascii="Times New Roman" w:cs="Times New Roman" w:eastAsia="Times New Roman" w:hAnsi="Times New Roman"/>
          <w:sz w:val="21"/>
          <w:szCs w:val="21"/>
          <w:color w:val="auto"/>
        </w:rPr>
      </w:pPr>
    </w:p>
    <w:p>
      <w:pPr>
        <w:ind w:left="640" w:right="64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 Agreement by and between Orsini Pharmaceutical Services, Inc. and the Borrower, dated May 15, 2017 (reference to Exhibit 10.1 on Form 8-K/A filed June 2, 2017).</w:t>
      </w:r>
    </w:p>
    <w:p>
      <w:pPr>
        <w:spacing w:after="0" w:line="167" w:lineRule="exact"/>
        <w:rPr>
          <w:rFonts w:ascii="Times New Roman" w:cs="Times New Roman" w:eastAsia="Times New Roman" w:hAnsi="Times New Roman"/>
          <w:sz w:val="21"/>
          <w:szCs w:val="21"/>
          <w:color w:val="auto"/>
        </w:rPr>
      </w:pPr>
    </w:p>
    <w:p>
      <w:pPr>
        <w:ind w:left="640" w:right="22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Amendment to Executive Employment Agreement by and between Dominick C. Colangelo and the Borrower, dated September 14, 2017 (reference to Exhibit 10.1 on Form 8-K filed September 19, 2017).</w:t>
      </w:r>
    </w:p>
    <w:p>
      <w:pPr>
        <w:spacing w:after="0" w:line="167" w:lineRule="exact"/>
        <w:rPr>
          <w:rFonts w:ascii="Times New Roman" w:cs="Times New Roman" w:eastAsia="Times New Roman" w:hAnsi="Times New Roman"/>
          <w:sz w:val="21"/>
          <w:szCs w:val="21"/>
          <w:color w:val="auto"/>
        </w:rPr>
      </w:pPr>
    </w:p>
    <w:p>
      <w:pPr>
        <w:ind w:left="640" w:right="8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Amendment to Distribution Agreement between Orsini Pharmaceutical Services, Inc. and the Borrower, dated August 10, 2017 (reference to Exhibit 10.8 on Form 10-Q filed November 7, 2017).</w:t>
      </w:r>
    </w:p>
    <w:p>
      <w:pPr>
        <w:spacing w:after="0" w:line="153" w:lineRule="exact"/>
        <w:rPr>
          <w:rFonts w:ascii="Times New Roman" w:cs="Times New Roman" w:eastAsia="Times New Roman" w:hAnsi="Times New Roman"/>
          <w:sz w:val="21"/>
          <w:szCs w:val="21"/>
          <w:color w:val="auto"/>
        </w:rPr>
      </w:pPr>
    </w:p>
    <w:p>
      <w:pPr>
        <w:ind w:left="640" w:right="52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Amendment to Distribution Agreement between Orsini Pharmaceutical Services, Inc. and the Borrower, dated October 13, 2017 (reference to Exhibit 10.56 on Form 10-K filed March 8, 2018).</w:t>
      </w:r>
    </w:p>
    <w:p>
      <w:pPr>
        <w:spacing w:after="0" w:line="167" w:lineRule="exact"/>
        <w:rPr>
          <w:rFonts w:ascii="Times New Roman" w:cs="Times New Roman" w:eastAsia="Times New Roman" w:hAnsi="Times New Roman"/>
          <w:sz w:val="21"/>
          <w:szCs w:val="21"/>
          <w:color w:val="auto"/>
        </w:rPr>
      </w:pPr>
    </w:p>
    <w:p>
      <w:pPr>
        <w:ind w:left="640" w:right="660" w:hanging="313"/>
        <w:spacing w:after="0" w:line="275" w:lineRule="auto"/>
        <w:tabs>
          <w:tab w:leader="none" w:pos="6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Amendment to Distribution Agreement between Orsini Pharmaceutical Services, Inc. and the Borrower, dated November 14, 2017 (reference to Exhibit 10.57 on Form 10-K filed March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color w:val="auto"/>
        </w:rPr>
        <w:t>SCHEDULE 3.12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160" w:hanging="313"/>
        <w:spacing w:after="0" w:line="275" w:lineRule="auto"/>
        <w:tabs>
          <w:tab w:leader="none" w:pos="63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Amendment to Distribution Agreement between Orsini Pharmaceutical Services, Inc. and the Borrower, dated July 25, 2018 (reference to Exhibit 10.1 on Form 10-Q filed November 6, 2018).</w:t>
      </w:r>
    </w:p>
    <w:p>
      <w:pPr>
        <w:spacing w:after="0" w:line="167" w:lineRule="exact"/>
        <w:rPr>
          <w:rFonts w:ascii="Times New Roman" w:cs="Times New Roman" w:eastAsia="Times New Roman" w:hAnsi="Times New Roman"/>
          <w:sz w:val="21"/>
          <w:szCs w:val="21"/>
          <w:color w:val="auto"/>
        </w:rPr>
      </w:pPr>
    </w:p>
    <w:p>
      <w:pPr>
        <w:ind w:left="640" w:right="4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Dispensing Agreement by and between AllCare Plus Pharmacy and the Borrower, dated July 26, 2018 (reference to Exhibit 10.2 on Form 10-Q, filed November 6, 2018).</w:t>
      </w:r>
    </w:p>
    <w:p>
      <w:pPr>
        <w:spacing w:after="0" w:line="167" w:lineRule="exact"/>
        <w:rPr>
          <w:rFonts w:ascii="Times New Roman" w:cs="Times New Roman" w:eastAsia="Times New Roman" w:hAnsi="Times New Roman"/>
          <w:sz w:val="21"/>
          <w:szCs w:val="21"/>
          <w:color w:val="auto"/>
        </w:rPr>
      </w:pPr>
    </w:p>
    <w:p>
      <w:pPr>
        <w:ind w:left="640" w:right="72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Amendment to Distribution Agreement between Orsini Pharmaceutical Services, Inc. and the Borrower, dated October 18, 2018 (reference to Exhibit 10.3 on Form 10-Q filed November 6, 2018).</w:t>
      </w:r>
    </w:p>
    <w:p>
      <w:pPr>
        <w:spacing w:after="0" w:line="153" w:lineRule="exact"/>
        <w:rPr>
          <w:rFonts w:ascii="Times New Roman" w:cs="Times New Roman" w:eastAsia="Times New Roman" w:hAnsi="Times New Roman"/>
          <w:sz w:val="21"/>
          <w:szCs w:val="21"/>
          <w:color w:val="auto"/>
        </w:rPr>
      </w:pPr>
    </w:p>
    <w:p>
      <w:pPr>
        <w:ind w:left="640" w:right="28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Amended and Restated ACI-Maix Supply Agreement, dated March 17, 2018, as amended, by and between the Borrower and Matricel GMBH (reference to Exhibit 10.1 on Form 10-Q filed May 8, 2018).</w:t>
      </w:r>
    </w:p>
    <w:p>
      <w:pPr>
        <w:spacing w:after="0" w:line="167" w:lineRule="exact"/>
        <w:rPr>
          <w:rFonts w:ascii="Times New Roman" w:cs="Times New Roman" w:eastAsia="Times New Roman" w:hAnsi="Times New Roman"/>
          <w:sz w:val="21"/>
          <w:szCs w:val="21"/>
          <w:color w:val="auto"/>
        </w:rPr>
      </w:pPr>
    </w:p>
    <w:p>
      <w:pPr>
        <w:ind w:left="640" w:right="18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Sixth Amendment to Distribution Agreement between Orsini Pharmaceutical Services, Inc. and the Borrower, dated April 18, 2019 (reference to Exhibit 10.1 on Form 10-Q filed August 6, 2019).</w:t>
      </w:r>
    </w:p>
    <w:p>
      <w:pPr>
        <w:spacing w:after="0" w:line="167" w:lineRule="exact"/>
        <w:rPr>
          <w:rFonts w:ascii="Times New Roman" w:cs="Times New Roman" w:eastAsia="Times New Roman" w:hAnsi="Times New Roman"/>
          <w:sz w:val="21"/>
          <w:szCs w:val="21"/>
          <w:color w:val="auto"/>
        </w:rPr>
      </w:pPr>
    </w:p>
    <w:p>
      <w:pPr>
        <w:ind w:left="640" w:right="16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Amendment to Dispensing Agreement by and between AllCare Plus Pharmacy and the Borrower, dated May 1, 2019 (reference to Exhibit 10.2 on Form 10-Q, filed August 6, 2019).</w:t>
      </w:r>
    </w:p>
    <w:p>
      <w:pPr>
        <w:spacing w:after="0" w:line="167" w:lineRule="exact"/>
        <w:rPr>
          <w:rFonts w:ascii="Times New Roman" w:cs="Times New Roman" w:eastAsia="Times New Roman" w:hAnsi="Times New Roman"/>
          <w:sz w:val="21"/>
          <w:szCs w:val="21"/>
          <w:color w:val="auto"/>
        </w:rPr>
      </w:pPr>
    </w:p>
    <w:p>
      <w:pPr>
        <w:ind w:left="640" w:right="26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 Agreement between the Borrower and MediWound LTD., dated May 6, 2019 (reference to Exhibit 10.9 on Form 10-Q filed August 6, 2019).</w:t>
      </w:r>
    </w:p>
    <w:p>
      <w:pPr>
        <w:spacing w:after="0" w:line="167" w:lineRule="exact"/>
        <w:rPr>
          <w:rFonts w:ascii="Times New Roman" w:cs="Times New Roman" w:eastAsia="Times New Roman" w:hAnsi="Times New Roman"/>
          <w:sz w:val="21"/>
          <w:szCs w:val="21"/>
          <w:color w:val="auto"/>
        </w:rPr>
      </w:pPr>
    </w:p>
    <w:p>
      <w:pPr>
        <w:ind w:left="640" w:right="40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Supply Agreement between the Borrower and MediWound LTD., dated May 6, 2019 (incorporated reference to Exhibit 10.10 on Form 10-Q filed August 6, 2019).</w:t>
      </w:r>
    </w:p>
    <w:p>
      <w:pPr>
        <w:spacing w:after="0" w:line="167" w:lineRule="exact"/>
        <w:rPr>
          <w:rFonts w:ascii="Times New Roman" w:cs="Times New Roman" w:eastAsia="Times New Roman" w:hAnsi="Times New Roman"/>
          <w:sz w:val="21"/>
          <w:szCs w:val="21"/>
          <w:color w:val="auto"/>
        </w:rPr>
      </w:pPr>
    </w:p>
    <w:p>
      <w:pPr>
        <w:ind w:left="640" w:right="280" w:hanging="313"/>
        <w:spacing w:after="0" w:line="261"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Amended and Restated Employment Agreement by and between Michael Halpin and the Borrower, dated September 14, 2017 (reference to Exhibit 10.11 on Form 10-Q filed August 6, 2019).</w:t>
      </w:r>
    </w:p>
    <w:p>
      <w:pPr>
        <w:spacing w:after="0" w:line="181" w:lineRule="exact"/>
        <w:rPr>
          <w:rFonts w:ascii="Times New Roman" w:cs="Times New Roman" w:eastAsia="Times New Roman" w:hAnsi="Times New Roman"/>
          <w:sz w:val="21"/>
          <w:szCs w:val="21"/>
          <w:color w:val="auto"/>
        </w:rPr>
      </w:pPr>
    </w:p>
    <w:p>
      <w:pPr>
        <w:ind w:left="640" w:right="2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Amendment to Executive Employment Agreement, executed and effective June 3, 2019, by and between the Borrower and Michael Halpin (reference to Exhibit 10.12 on Form 10-Q, filed August 6, 2019).</w:t>
      </w:r>
    </w:p>
    <w:p>
      <w:pPr>
        <w:spacing w:after="0" w:line="167" w:lineRule="exact"/>
        <w:rPr>
          <w:rFonts w:ascii="Times New Roman" w:cs="Times New Roman" w:eastAsia="Times New Roman" w:hAnsi="Times New Roman"/>
          <w:sz w:val="21"/>
          <w:szCs w:val="21"/>
          <w:color w:val="auto"/>
        </w:rPr>
      </w:pPr>
    </w:p>
    <w:p>
      <w:pPr>
        <w:ind w:left="640" w:right="2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 Agreement, dated January 25, 2021, by and between the Borrower and Joseph Mara (reference to Exhibit 10.1 on Form 8-K filed January 25, 2021).</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7" w:lineRule="exact"/>
        <w:rPr>
          <w:rFonts w:ascii="Times New Roman" w:cs="Times New Roman" w:eastAsia="Times New Roman" w:hAnsi="Times New Roman"/>
          <w:sz w:val="21"/>
          <w:szCs w:val="21"/>
          <w:color w:val="auto"/>
        </w:rPr>
      </w:pPr>
    </w:p>
    <w:p>
      <w:pPr>
        <w:ind w:left="640" w:right="240" w:hanging="313"/>
        <w:spacing w:after="0" w:line="275" w:lineRule="auto"/>
        <w:tabs>
          <w:tab w:leader="none" w:pos="64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 Agreement, dated November 4, 2019 by and between the Borrower and Sean C. Flynn (reference to Exhibit 10.43 on the Borrower’s Annual Report on Form 10-K filed 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1"/>
          <w:szCs w:val="21"/>
          <w:color w:val="auto"/>
        </w:rPr>
        <w:t>SCHEDULE 3.12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40" w:right="24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 Agreement, dated August 20, 2018 by and between the Borrower and Dr. Jonathan M. Hopper (reference to Exhibit 10.44 on the Borrower’s Annual Report on Form 10-K filed February 24, 2021).</w:t>
      </w:r>
    </w:p>
    <w:p>
      <w:pPr>
        <w:spacing w:after="0" w:line="167" w:lineRule="exact"/>
        <w:rPr>
          <w:rFonts w:ascii="Times New Roman" w:cs="Times New Roman" w:eastAsia="Times New Roman" w:hAnsi="Times New Roman"/>
          <w:sz w:val="21"/>
          <w:szCs w:val="21"/>
          <w:color w:val="auto"/>
        </w:rPr>
      </w:pPr>
    </w:p>
    <w:p>
      <w:pPr>
        <w:ind w:left="640" w:right="96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Amendment to the Dispensing Agreement between AllCare Plus Pharmacy, Inc. and the Borrower, dated September 20, 2021 (reference to Exhibit 32.3 on Form 10-Q filed November 9, 2021).</w:t>
      </w:r>
    </w:p>
    <w:p>
      <w:pPr>
        <w:spacing w:after="0" w:line="167" w:lineRule="exact"/>
        <w:rPr>
          <w:rFonts w:ascii="Times New Roman" w:cs="Times New Roman" w:eastAsia="Times New Roman" w:hAnsi="Times New Roman"/>
          <w:sz w:val="21"/>
          <w:szCs w:val="21"/>
          <w:color w:val="auto"/>
        </w:rPr>
      </w:pPr>
    </w:p>
    <w:p>
      <w:pPr>
        <w:ind w:left="640" w:right="14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Seventh Amendment to the Distribution Agreement between Orsini Pharmaceutical Services, Inc. and the Borrower, dated October 1, 2021 (reference to Exhibit 32.4 on Form 10-Q filed November 9, 2021).</w:t>
      </w:r>
    </w:p>
    <w:p>
      <w:pPr>
        <w:spacing w:after="0" w:line="153"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Agreement, dated January 28, 2022, by and between the Borrower and NBD Property Owner 2, L.P.</w:t>
      </w:r>
    </w:p>
    <w:p>
      <w:pPr>
        <w:spacing w:after="0" w:line="238" w:lineRule="exact"/>
        <w:rPr>
          <w:rFonts w:ascii="Times New Roman" w:cs="Times New Roman" w:eastAsia="Times New Roman" w:hAnsi="Times New Roman"/>
          <w:sz w:val="21"/>
          <w:szCs w:val="21"/>
          <w:color w:val="auto"/>
        </w:rPr>
      </w:pPr>
    </w:p>
    <w:p>
      <w:pPr>
        <w:ind w:left="640" w:right="26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Eighth Amendment to the Distribution Agreement between Orsini Pharmaceutical Services, Inc. and the Borrower, dated May 15, 2022.</w:t>
      </w:r>
    </w:p>
    <w:p>
      <w:pPr>
        <w:spacing w:after="0" w:line="167" w:lineRule="exact"/>
        <w:rPr>
          <w:rFonts w:ascii="Times New Roman" w:cs="Times New Roman" w:eastAsia="Times New Roman" w:hAnsi="Times New Roman"/>
          <w:sz w:val="21"/>
          <w:szCs w:val="21"/>
          <w:color w:val="auto"/>
        </w:rPr>
      </w:pPr>
    </w:p>
    <w:p>
      <w:pPr>
        <w:ind w:left="640" w:right="34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Amendment to the Dispensing Agreement between AllCare Plus Pharmacy, Inc. and the Borrower, dated May 16, 2022.</w:t>
      </w:r>
    </w:p>
    <w:p>
      <w:pPr>
        <w:spacing w:after="0" w:line="167"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New Hire Incentive Stock Option Agreement under the 2022 Omnibus Incentive Plan (effective April 26, 2022).</w:t>
      </w:r>
    </w:p>
    <w:p>
      <w:pPr>
        <w:spacing w:after="0" w:line="238" w:lineRule="exact"/>
        <w:rPr>
          <w:rFonts w:ascii="Times New Roman" w:cs="Times New Roman" w:eastAsia="Times New Roman" w:hAnsi="Times New Roman"/>
          <w:sz w:val="21"/>
          <w:szCs w:val="21"/>
          <w:color w:val="auto"/>
        </w:rPr>
      </w:pPr>
    </w:p>
    <w:p>
      <w:pPr>
        <w:ind w:left="640" w:right="10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Current Employee Incentive Stock Option Agreement under the 2022 Omnibus Incentive Plan (effective April 26, 2022).</w:t>
      </w:r>
    </w:p>
    <w:p>
      <w:pPr>
        <w:spacing w:after="0" w:line="167" w:lineRule="exact"/>
        <w:rPr>
          <w:rFonts w:ascii="Times New Roman" w:cs="Times New Roman" w:eastAsia="Times New Roman" w:hAnsi="Times New Roman"/>
          <w:sz w:val="21"/>
          <w:szCs w:val="21"/>
          <w:color w:val="auto"/>
        </w:rPr>
      </w:pPr>
    </w:p>
    <w:p>
      <w:pPr>
        <w:ind w:left="640" w:right="26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Restricted Stock Unit Award Agreement for Employees under the 2022 Omnibus Incentive Plan (effective April 26, 2022).</w:t>
      </w:r>
    </w:p>
    <w:p>
      <w:pPr>
        <w:spacing w:after="0" w:line="167" w:lineRule="exact"/>
        <w:rPr>
          <w:rFonts w:ascii="Times New Roman" w:cs="Times New Roman" w:eastAsia="Times New Roman" w:hAnsi="Times New Roman"/>
          <w:sz w:val="21"/>
          <w:szCs w:val="21"/>
          <w:color w:val="auto"/>
        </w:rPr>
      </w:pPr>
    </w:p>
    <w:p>
      <w:pPr>
        <w:ind w:left="640" w:right="460" w:hanging="313"/>
        <w:spacing w:after="0" w:line="261"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Restricted Stock Unit Award Agreement for Non-employee Directors under the 2022 Omnibus Incentive Plan (effective April 26, 2022).</w:t>
      </w:r>
    </w:p>
    <w:p>
      <w:pPr>
        <w:spacing w:after="0" w:line="181" w:lineRule="exact"/>
        <w:rPr>
          <w:rFonts w:ascii="Times New Roman" w:cs="Times New Roman" w:eastAsia="Times New Roman" w:hAnsi="Times New Roman"/>
          <w:sz w:val="21"/>
          <w:szCs w:val="21"/>
          <w:color w:val="auto"/>
        </w:rPr>
      </w:pPr>
    </w:p>
    <w:p>
      <w:pPr>
        <w:ind w:left="640" w:right="280" w:hanging="313"/>
        <w:spacing w:after="0" w:line="275" w:lineRule="auto"/>
        <w:tabs>
          <w:tab w:leader="none" w:pos="6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Non-Qualified Stock Option Award Agreement for Non-Employee Directors under the 2022 Omnibus Incentive Plan (effective April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1"/>
          <w:szCs w:val="21"/>
          <w:color w:val="auto"/>
        </w:rPr>
        <w:t>SCHEDULE 3.15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3.15</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Capitalization and Subsidiaries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Corporation, a Michigan corporation</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380" w:type="dxa"/>
            <w:vAlign w:val="bottom"/>
            <w:tcBorders>
              <w:top w:val="single" w:sz="8" w:color="auto"/>
              <w:left w:val="single" w:sz="8" w:color="auto"/>
              <w:right w:val="single" w:sz="8" w:color="auto"/>
            </w:tcBorders>
            <w:gridSpan w:val="3"/>
            <w:shd w:val="clear" w:color="auto" w:fill="E5E5E5"/>
          </w:tcPr>
          <w:p>
            <w:pPr>
              <w:ind w:left="40"/>
              <w:spacing w:after="0" w:line="227" w:lineRule="exact"/>
              <w:rPr>
                <w:sz w:val="20"/>
                <w:szCs w:val="20"/>
                <w:color w:val="auto"/>
              </w:rPr>
            </w:pPr>
            <w:r>
              <w:rPr>
                <w:rFonts w:ascii="Times New Roman" w:cs="Times New Roman" w:eastAsia="Times New Roman" w:hAnsi="Times New Roman"/>
                <w:sz w:val="20"/>
                <w:szCs w:val="20"/>
                <w:color w:val="auto"/>
              </w:rPr>
              <w:t>Subsidiary</w:t>
            </w:r>
          </w:p>
        </w:tc>
        <w:tc>
          <w:tcPr>
            <w:tcW w:w="2200" w:type="dxa"/>
            <w:vAlign w:val="bottom"/>
            <w:tcBorders>
              <w:top w:val="single" w:sz="8" w:color="auto"/>
              <w:right w:val="single" w:sz="8" w:color="auto"/>
            </w:tcBorders>
            <w:gridSpan w:val="5"/>
            <w:shd w:val="clear" w:color="auto" w:fill="E5E5E5"/>
          </w:tcPr>
          <w:p>
            <w:pPr>
              <w:jc w:val="center"/>
              <w:ind w:right="20"/>
              <w:spacing w:after="0" w:line="227" w:lineRule="exact"/>
              <w:rPr>
                <w:sz w:val="20"/>
                <w:szCs w:val="20"/>
                <w:color w:val="auto"/>
              </w:rPr>
            </w:pPr>
            <w:r>
              <w:rPr>
                <w:rFonts w:ascii="Times New Roman" w:cs="Times New Roman" w:eastAsia="Times New Roman" w:hAnsi="Times New Roman"/>
                <w:sz w:val="20"/>
                <w:szCs w:val="20"/>
                <w:color w:val="auto"/>
                <w:w w:val="98"/>
              </w:rPr>
              <w:t>Classes of Authorized</w:t>
            </w:r>
          </w:p>
        </w:tc>
        <w:tc>
          <w:tcPr>
            <w:tcW w:w="860" w:type="dxa"/>
            <w:vAlign w:val="bottom"/>
            <w:tcBorders>
              <w:top w:val="single" w:sz="8" w:color="auto"/>
            </w:tcBorders>
            <w:shd w:val="clear" w:color="auto" w:fill="E5E5E5"/>
          </w:tcPr>
          <w:p>
            <w:pPr>
              <w:spacing w:after="0"/>
              <w:rPr>
                <w:sz w:val="19"/>
                <w:szCs w:val="19"/>
                <w:color w:val="auto"/>
              </w:rPr>
            </w:pPr>
          </w:p>
        </w:tc>
        <w:tc>
          <w:tcPr>
            <w:tcW w:w="1720" w:type="dxa"/>
            <w:vAlign w:val="bottom"/>
            <w:tcBorders>
              <w:top w:val="single" w:sz="8" w:color="auto"/>
              <w:right w:val="single" w:sz="8" w:color="auto"/>
            </w:tcBorders>
            <w:gridSpan w:val="2"/>
            <w:shd w:val="clear" w:color="auto" w:fill="E5E5E5"/>
          </w:tcPr>
          <w:p>
            <w:pPr>
              <w:spacing w:after="0" w:line="227" w:lineRule="exact"/>
              <w:rPr>
                <w:sz w:val="20"/>
                <w:szCs w:val="20"/>
                <w:color w:val="auto"/>
              </w:rPr>
            </w:pPr>
            <w:r>
              <w:rPr>
                <w:rFonts w:ascii="Times New Roman" w:cs="Times New Roman" w:eastAsia="Times New Roman" w:hAnsi="Times New Roman"/>
                <w:sz w:val="20"/>
                <w:szCs w:val="20"/>
                <w:color w:val="auto"/>
              </w:rPr>
              <w:t>Ownership</w:t>
            </w:r>
          </w:p>
        </w:tc>
        <w:tc>
          <w:tcPr>
            <w:tcW w:w="560" w:type="dxa"/>
            <w:vAlign w:val="bottom"/>
            <w:tcBorders>
              <w:top w:val="single" w:sz="8" w:color="auto"/>
            </w:tcBorders>
            <w:shd w:val="clear" w:color="auto" w:fill="E5E5E5"/>
          </w:tcPr>
          <w:p>
            <w:pPr>
              <w:spacing w:after="0"/>
              <w:rPr>
                <w:sz w:val="19"/>
                <w:szCs w:val="19"/>
                <w:color w:val="auto"/>
              </w:rPr>
            </w:pPr>
          </w:p>
        </w:tc>
        <w:tc>
          <w:tcPr>
            <w:tcW w:w="1460" w:type="dxa"/>
            <w:vAlign w:val="bottom"/>
            <w:tcBorders>
              <w:top w:val="single" w:sz="8" w:color="auto"/>
              <w:right w:val="single" w:sz="8" w:color="auto"/>
            </w:tcBorders>
            <w:gridSpan w:val="2"/>
            <w:shd w:val="clear" w:color="auto" w:fill="E5E5E5"/>
          </w:tcPr>
          <w:p>
            <w:pPr>
              <w:spacing w:after="0" w:line="227" w:lineRule="exact"/>
              <w:rPr>
                <w:sz w:val="20"/>
                <w:szCs w:val="20"/>
                <w:color w:val="auto"/>
              </w:rPr>
            </w:pPr>
            <w:r>
              <w:rPr>
                <w:rFonts w:ascii="Times New Roman" w:cs="Times New Roman" w:eastAsia="Times New Roman" w:hAnsi="Times New Roman"/>
                <w:sz w:val="20"/>
                <w:szCs w:val="20"/>
                <w:color w:val="auto"/>
              </w:rPr>
              <w:t>Loan Party</w:t>
            </w:r>
          </w:p>
        </w:tc>
        <w:tc>
          <w:tcPr>
            <w:tcW w:w="220" w:type="dxa"/>
            <w:vAlign w:val="bottom"/>
            <w:tcBorders>
              <w:top w:val="single" w:sz="8" w:color="auto"/>
            </w:tcBorders>
            <w:shd w:val="clear" w:color="auto" w:fill="E5E5E5"/>
          </w:tcPr>
          <w:p>
            <w:pPr>
              <w:spacing w:after="0"/>
              <w:rPr>
                <w:sz w:val="19"/>
                <w:szCs w:val="19"/>
                <w:color w:val="auto"/>
              </w:rPr>
            </w:pPr>
          </w:p>
        </w:tc>
        <w:tc>
          <w:tcPr>
            <w:tcW w:w="1800" w:type="dxa"/>
            <w:vAlign w:val="bottom"/>
            <w:tcBorders>
              <w:top w:val="single" w:sz="8" w:color="auto"/>
              <w:right w:val="single" w:sz="8" w:color="auto"/>
            </w:tcBorders>
            <w:gridSpan w:val="2"/>
            <w:shd w:val="clear" w:color="auto" w:fill="E5E5E5"/>
          </w:tcPr>
          <w:p>
            <w:pPr>
              <w:spacing w:after="0" w:line="227" w:lineRule="exact"/>
              <w:rPr>
                <w:sz w:val="20"/>
                <w:szCs w:val="20"/>
                <w:color w:val="auto"/>
              </w:rPr>
            </w:pPr>
            <w:r>
              <w:rPr>
                <w:rFonts w:ascii="Times New Roman" w:cs="Times New Roman" w:eastAsia="Times New Roman" w:hAnsi="Times New Roman"/>
                <w:sz w:val="20"/>
                <w:szCs w:val="20"/>
                <w:color w:val="auto"/>
              </w:rPr>
              <w:t>Material Subsidiary</w:t>
            </w:r>
          </w:p>
        </w:tc>
      </w:tr>
      <w:tr>
        <w:trPr>
          <w:trHeight w:val="260"/>
        </w:trPr>
        <w:tc>
          <w:tcPr>
            <w:tcW w:w="40" w:type="dxa"/>
            <w:vAlign w:val="bottom"/>
            <w:tcBorders>
              <w:top w:val="single" w:sz="8" w:color="E5E5E5"/>
              <w:left w:val="single" w:sz="8" w:color="auto"/>
              <w:bottom w:val="single" w:sz="8" w:color="auto"/>
            </w:tcBorders>
            <w:shd w:val="clear" w:color="auto" w:fill="E5E5E5"/>
          </w:tcPr>
          <w:p>
            <w:pPr>
              <w:spacing w:after="0"/>
              <w:rPr>
                <w:sz w:val="22"/>
                <w:szCs w:val="22"/>
                <w:color w:val="auto"/>
              </w:rPr>
            </w:pPr>
          </w:p>
        </w:tc>
        <w:tc>
          <w:tcPr>
            <w:tcW w:w="840" w:type="dxa"/>
            <w:vAlign w:val="bottom"/>
            <w:tcBorders>
              <w:top w:val="single" w:sz="8" w:color="auto"/>
              <w:bottom w:val="single" w:sz="8" w:color="auto"/>
            </w:tcBorders>
            <w:shd w:val="clear" w:color="auto" w:fill="E5E5E5"/>
          </w:tcPr>
          <w:p>
            <w:pPr>
              <w:spacing w:after="0"/>
              <w:rPr>
                <w:sz w:val="22"/>
                <w:szCs w:val="22"/>
                <w:color w:val="auto"/>
              </w:rPr>
            </w:pPr>
          </w:p>
        </w:tc>
        <w:tc>
          <w:tcPr>
            <w:tcW w:w="1500" w:type="dxa"/>
            <w:vAlign w:val="bottom"/>
            <w:tcBorders>
              <w:top w:val="single" w:sz="8" w:color="E5E5E5"/>
              <w:bottom w:val="single" w:sz="8" w:color="auto"/>
              <w:right w:val="single" w:sz="8" w:color="auto"/>
            </w:tcBorders>
            <w:shd w:val="clear" w:color="auto" w:fill="E5E5E5"/>
          </w:tcPr>
          <w:p>
            <w:pPr>
              <w:spacing w:after="0"/>
              <w:rPr>
                <w:sz w:val="22"/>
                <w:szCs w:val="22"/>
                <w:color w:val="auto"/>
              </w:rPr>
            </w:pPr>
          </w:p>
        </w:tc>
        <w:tc>
          <w:tcPr>
            <w:tcW w:w="220" w:type="dxa"/>
            <w:vAlign w:val="bottom"/>
            <w:tcBorders>
              <w:top w:val="single" w:sz="8" w:color="E5E5E5"/>
              <w:bottom w:val="single" w:sz="8" w:color="auto"/>
            </w:tcBorders>
            <w:shd w:val="clear" w:color="auto" w:fill="E5E5E5"/>
          </w:tcPr>
          <w:p>
            <w:pPr>
              <w:spacing w:after="0"/>
              <w:rPr>
                <w:sz w:val="22"/>
                <w:szCs w:val="22"/>
                <w:color w:val="auto"/>
              </w:rPr>
            </w:pPr>
          </w:p>
        </w:tc>
        <w:tc>
          <w:tcPr>
            <w:tcW w:w="1740" w:type="dxa"/>
            <w:vAlign w:val="bottom"/>
            <w:tcBorders>
              <w:top w:val="single" w:sz="8" w:color="auto"/>
              <w:bottom w:val="single" w:sz="8" w:color="auto"/>
            </w:tcBorders>
            <w:gridSpan w:val="3"/>
            <w:shd w:val="clear" w:color="auto" w:fill="E5E5E5"/>
          </w:tcPr>
          <w:p>
            <w:pPr>
              <w:jc w:val="center"/>
              <w:spacing w:after="0" w:line="207" w:lineRule="exact"/>
              <w:rPr>
                <w:sz w:val="20"/>
                <w:szCs w:val="20"/>
                <w:color w:val="auto"/>
              </w:rPr>
            </w:pPr>
            <w:r>
              <w:rPr>
                <w:rFonts w:ascii="Times New Roman" w:cs="Times New Roman" w:eastAsia="Times New Roman" w:hAnsi="Times New Roman"/>
                <w:sz w:val="20"/>
                <w:szCs w:val="20"/>
                <w:color w:val="auto"/>
                <w:w w:val="96"/>
              </w:rPr>
              <w:t>Equity Interests</w:t>
            </w:r>
          </w:p>
        </w:tc>
        <w:tc>
          <w:tcPr>
            <w:tcW w:w="240" w:type="dxa"/>
            <w:vAlign w:val="bottom"/>
            <w:tcBorders>
              <w:top w:val="single" w:sz="8" w:color="E5E5E5"/>
              <w:bottom w:val="single" w:sz="8" w:color="auto"/>
              <w:right w:val="single" w:sz="8" w:color="auto"/>
            </w:tcBorders>
            <w:shd w:val="clear" w:color="auto" w:fill="E5E5E5"/>
          </w:tcPr>
          <w:p>
            <w:pPr>
              <w:spacing w:after="0"/>
              <w:rPr>
                <w:sz w:val="22"/>
                <w:szCs w:val="22"/>
                <w:color w:val="auto"/>
              </w:rPr>
            </w:pPr>
          </w:p>
        </w:tc>
        <w:tc>
          <w:tcPr>
            <w:tcW w:w="860" w:type="dxa"/>
            <w:vAlign w:val="bottom"/>
            <w:tcBorders>
              <w:top w:val="single" w:sz="8" w:color="E5E5E5"/>
              <w:bottom w:val="single" w:sz="8" w:color="auto"/>
            </w:tcBorders>
            <w:shd w:val="clear" w:color="auto" w:fill="E5E5E5"/>
          </w:tcPr>
          <w:p>
            <w:pPr>
              <w:spacing w:after="0"/>
              <w:rPr>
                <w:sz w:val="22"/>
                <w:szCs w:val="22"/>
                <w:color w:val="auto"/>
              </w:rPr>
            </w:pPr>
          </w:p>
        </w:tc>
        <w:tc>
          <w:tcPr>
            <w:tcW w:w="860" w:type="dxa"/>
            <w:vAlign w:val="bottom"/>
            <w:tcBorders>
              <w:top w:val="single" w:sz="8" w:color="auto"/>
              <w:bottom w:val="single" w:sz="8" w:color="auto"/>
            </w:tcBorders>
            <w:shd w:val="clear" w:color="auto" w:fill="E5E5E5"/>
          </w:tcPr>
          <w:p>
            <w:pPr>
              <w:spacing w:after="0"/>
              <w:rPr>
                <w:sz w:val="22"/>
                <w:szCs w:val="22"/>
                <w:color w:val="auto"/>
              </w:rPr>
            </w:pPr>
          </w:p>
        </w:tc>
        <w:tc>
          <w:tcPr>
            <w:tcW w:w="860" w:type="dxa"/>
            <w:vAlign w:val="bottom"/>
            <w:tcBorders>
              <w:top w:val="single" w:sz="8" w:color="E5E5E5"/>
              <w:bottom w:val="single" w:sz="8" w:color="auto"/>
              <w:right w:val="single" w:sz="8" w:color="auto"/>
            </w:tcBorders>
            <w:shd w:val="clear" w:color="auto" w:fill="E5E5E5"/>
          </w:tcPr>
          <w:p>
            <w:pPr>
              <w:spacing w:after="0"/>
              <w:rPr>
                <w:sz w:val="22"/>
                <w:szCs w:val="22"/>
                <w:color w:val="auto"/>
              </w:rPr>
            </w:pPr>
          </w:p>
        </w:tc>
        <w:tc>
          <w:tcPr>
            <w:tcW w:w="560" w:type="dxa"/>
            <w:vAlign w:val="bottom"/>
            <w:tcBorders>
              <w:top w:val="single" w:sz="8" w:color="E5E5E5"/>
              <w:bottom w:val="single" w:sz="8" w:color="auto"/>
            </w:tcBorders>
            <w:shd w:val="clear" w:color="auto" w:fill="E5E5E5"/>
          </w:tcPr>
          <w:p>
            <w:pPr>
              <w:spacing w:after="0"/>
              <w:rPr>
                <w:sz w:val="22"/>
                <w:szCs w:val="22"/>
                <w:color w:val="auto"/>
              </w:rPr>
            </w:pPr>
          </w:p>
        </w:tc>
        <w:tc>
          <w:tcPr>
            <w:tcW w:w="880" w:type="dxa"/>
            <w:vAlign w:val="bottom"/>
            <w:tcBorders>
              <w:top w:val="single" w:sz="8" w:color="auto"/>
              <w:bottom w:val="single" w:sz="8" w:color="auto"/>
            </w:tcBorders>
            <w:shd w:val="clear" w:color="auto" w:fill="E5E5E5"/>
          </w:tcPr>
          <w:p>
            <w:pPr>
              <w:spacing w:after="0"/>
              <w:rPr>
                <w:sz w:val="22"/>
                <w:szCs w:val="22"/>
                <w:color w:val="auto"/>
              </w:rPr>
            </w:pPr>
          </w:p>
        </w:tc>
        <w:tc>
          <w:tcPr>
            <w:tcW w:w="580" w:type="dxa"/>
            <w:vAlign w:val="bottom"/>
            <w:tcBorders>
              <w:top w:val="single" w:sz="8" w:color="E5E5E5"/>
              <w:bottom w:val="single" w:sz="8" w:color="auto"/>
              <w:right w:val="single" w:sz="8" w:color="auto"/>
            </w:tcBorders>
            <w:shd w:val="clear" w:color="auto" w:fill="E5E5E5"/>
          </w:tcPr>
          <w:p>
            <w:pPr>
              <w:spacing w:after="0"/>
              <w:rPr>
                <w:sz w:val="22"/>
                <w:szCs w:val="22"/>
                <w:color w:val="auto"/>
              </w:rPr>
            </w:pPr>
          </w:p>
        </w:tc>
        <w:tc>
          <w:tcPr>
            <w:tcW w:w="220" w:type="dxa"/>
            <w:vAlign w:val="bottom"/>
            <w:tcBorders>
              <w:top w:val="single" w:sz="8" w:color="E5E5E5"/>
              <w:bottom w:val="single" w:sz="8" w:color="auto"/>
            </w:tcBorders>
            <w:shd w:val="clear" w:color="auto" w:fill="E5E5E5"/>
          </w:tcPr>
          <w:p>
            <w:pPr>
              <w:spacing w:after="0"/>
              <w:rPr>
                <w:sz w:val="22"/>
                <w:szCs w:val="22"/>
                <w:color w:val="auto"/>
              </w:rPr>
            </w:pPr>
          </w:p>
        </w:tc>
        <w:tc>
          <w:tcPr>
            <w:tcW w:w="1540" w:type="dxa"/>
            <w:vAlign w:val="bottom"/>
            <w:tcBorders>
              <w:top w:val="single" w:sz="8" w:color="auto"/>
              <w:bottom w:val="single" w:sz="8" w:color="auto"/>
            </w:tcBorders>
            <w:shd w:val="clear" w:color="auto" w:fill="E5E5E5"/>
          </w:tcPr>
          <w:p>
            <w:pPr>
              <w:spacing w:after="0"/>
              <w:rPr>
                <w:sz w:val="22"/>
                <w:szCs w:val="22"/>
                <w:color w:val="auto"/>
              </w:rPr>
            </w:pPr>
          </w:p>
        </w:tc>
        <w:tc>
          <w:tcPr>
            <w:tcW w:w="260" w:type="dxa"/>
            <w:vAlign w:val="bottom"/>
            <w:tcBorders>
              <w:top w:val="single" w:sz="8" w:color="E5E5E5"/>
              <w:bottom w:val="single" w:sz="8" w:color="auto"/>
              <w:right w:val="single" w:sz="8" w:color="auto"/>
            </w:tcBorders>
            <w:shd w:val="clear" w:color="auto" w:fill="E5E5E5"/>
          </w:tcPr>
          <w:p>
            <w:pPr>
              <w:spacing w:after="0"/>
              <w:rPr>
                <w:sz w:val="22"/>
                <w:szCs w:val="22"/>
                <w:color w:val="auto"/>
              </w:rPr>
            </w:pPr>
          </w:p>
        </w:tc>
      </w:tr>
      <w:tr>
        <w:trPr>
          <w:trHeight w:val="224"/>
        </w:trPr>
        <w:tc>
          <w:tcPr>
            <w:tcW w:w="2380" w:type="dxa"/>
            <w:vAlign w:val="bottom"/>
            <w:tcBorders>
              <w:left w:val="single" w:sz="8" w:color="auto"/>
              <w:right w:val="single" w:sz="8" w:color="auto"/>
            </w:tcBorders>
            <w:gridSpan w:val="3"/>
          </w:tcPr>
          <w:p>
            <w:pPr>
              <w:ind w:left="40"/>
              <w:spacing w:after="0" w:line="224" w:lineRule="exact"/>
              <w:rPr>
                <w:sz w:val="20"/>
                <w:szCs w:val="20"/>
                <w:color w:val="auto"/>
              </w:rPr>
            </w:pPr>
            <w:r>
              <w:rPr>
                <w:rFonts w:ascii="Times New Roman" w:cs="Times New Roman" w:eastAsia="Times New Roman" w:hAnsi="Times New Roman"/>
                <w:sz w:val="20"/>
                <w:szCs w:val="20"/>
                <w:color w:val="auto"/>
                <w:w w:val="96"/>
              </w:rPr>
              <w:t>Vericel Security Corporation,</w:t>
            </w:r>
          </w:p>
        </w:tc>
        <w:tc>
          <w:tcPr>
            <w:tcW w:w="2200" w:type="dxa"/>
            <w:vAlign w:val="bottom"/>
            <w:tcBorders>
              <w:right w:val="single" w:sz="8" w:color="auto"/>
            </w:tcBorders>
            <w:gridSpan w:val="5"/>
          </w:tcPr>
          <w:p>
            <w:pPr>
              <w:spacing w:after="0" w:line="224" w:lineRule="exact"/>
              <w:rPr>
                <w:sz w:val="20"/>
                <w:szCs w:val="20"/>
                <w:color w:val="auto"/>
              </w:rPr>
            </w:pPr>
            <w:r>
              <w:rPr>
                <w:rFonts w:ascii="Times New Roman" w:cs="Times New Roman" w:eastAsia="Times New Roman" w:hAnsi="Times New Roman"/>
                <w:sz w:val="20"/>
                <w:szCs w:val="20"/>
                <w:color w:val="auto"/>
              </w:rPr>
              <w:t>Capital stock</w:t>
            </w:r>
          </w:p>
        </w:tc>
        <w:tc>
          <w:tcPr>
            <w:tcW w:w="2580" w:type="dxa"/>
            <w:vAlign w:val="bottom"/>
            <w:tcBorders>
              <w:right w:val="single" w:sz="8" w:color="auto"/>
            </w:tcBorders>
            <w:gridSpan w:val="3"/>
          </w:tcPr>
          <w:p>
            <w:pPr>
              <w:ind w:left="20"/>
              <w:spacing w:after="0" w:line="224" w:lineRule="exact"/>
              <w:rPr>
                <w:sz w:val="20"/>
                <w:szCs w:val="20"/>
                <w:color w:val="auto"/>
              </w:rPr>
            </w:pPr>
            <w:r>
              <w:rPr>
                <w:rFonts w:ascii="Times New Roman" w:cs="Times New Roman" w:eastAsia="Times New Roman" w:hAnsi="Times New Roman"/>
                <w:sz w:val="20"/>
                <w:szCs w:val="20"/>
                <w:color w:val="auto"/>
              </w:rPr>
              <w:t>Wholly-owned by Borrower</w:t>
            </w:r>
          </w:p>
        </w:tc>
        <w:tc>
          <w:tcPr>
            <w:tcW w:w="2020" w:type="dxa"/>
            <w:vAlign w:val="bottom"/>
            <w:tcBorders>
              <w:right w:val="single" w:sz="8" w:color="auto"/>
            </w:tcBorders>
            <w:gridSpan w:val="3"/>
          </w:tcPr>
          <w:p>
            <w:pPr>
              <w:ind w:left="20"/>
              <w:spacing w:after="0" w:line="224" w:lineRule="exact"/>
              <w:rPr>
                <w:sz w:val="20"/>
                <w:szCs w:val="20"/>
                <w:color w:val="auto"/>
              </w:rPr>
            </w:pPr>
            <w:r>
              <w:rPr>
                <w:rFonts w:ascii="Times New Roman" w:cs="Times New Roman" w:eastAsia="Times New Roman" w:hAnsi="Times New Roman"/>
                <w:sz w:val="20"/>
                <w:szCs w:val="20"/>
                <w:color w:val="auto"/>
              </w:rPr>
              <w:t>No</w:t>
            </w:r>
          </w:p>
        </w:tc>
        <w:tc>
          <w:tcPr>
            <w:tcW w:w="2020" w:type="dxa"/>
            <w:vAlign w:val="bottom"/>
            <w:tcBorders>
              <w:right w:val="single" w:sz="8" w:color="auto"/>
            </w:tcBorders>
            <w:gridSpan w:val="3"/>
          </w:tcPr>
          <w:p>
            <w:pPr>
              <w:ind w:left="20"/>
              <w:spacing w:after="0" w:line="224" w:lineRule="exact"/>
              <w:rPr>
                <w:sz w:val="20"/>
                <w:szCs w:val="20"/>
                <w:color w:val="auto"/>
              </w:rPr>
            </w:pPr>
            <w:r>
              <w:rPr>
                <w:rFonts w:ascii="Times New Roman" w:cs="Times New Roman" w:eastAsia="Times New Roman" w:hAnsi="Times New Roman"/>
                <w:sz w:val="20"/>
                <w:szCs w:val="20"/>
                <w:color w:val="auto"/>
              </w:rPr>
              <w:t>Yes</w:t>
            </w:r>
          </w:p>
        </w:tc>
      </w:tr>
      <w:tr>
        <w:trPr>
          <w:trHeight w:val="259"/>
        </w:trPr>
        <w:tc>
          <w:tcPr>
            <w:tcW w:w="2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a Massachusetts corporation</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r>
      <w:tr>
        <w:trPr>
          <w:trHeight w:val="228"/>
        </w:trPr>
        <w:tc>
          <w:tcPr>
            <w:tcW w:w="2380" w:type="dxa"/>
            <w:vAlign w:val="bottom"/>
            <w:tcBorders>
              <w:left w:val="single" w:sz="8" w:color="auto"/>
              <w:right w:val="single" w:sz="8" w:color="auto"/>
            </w:tcBorders>
            <w:gridSpan w:val="3"/>
          </w:tcPr>
          <w:p>
            <w:pPr>
              <w:ind w:left="40"/>
              <w:spacing w:after="0" w:line="229" w:lineRule="exact"/>
              <w:rPr>
                <w:sz w:val="20"/>
                <w:szCs w:val="20"/>
                <w:color w:val="auto"/>
              </w:rPr>
            </w:pPr>
            <w:r>
              <w:rPr>
                <w:rFonts w:ascii="Times New Roman" w:cs="Times New Roman" w:eastAsia="Times New Roman" w:hAnsi="Times New Roman"/>
                <w:sz w:val="20"/>
                <w:szCs w:val="20"/>
                <w:color w:val="auto"/>
              </w:rPr>
              <w:t>Vericel Denmark ApS, a</w:t>
            </w:r>
          </w:p>
        </w:tc>
        <w:tc>
          <w:tcPr>
            <w:tcW w:w="2200" w:type="dxa"/>
            <w:vAlign w:val="bottom"/>
            <w:tcBorders>
              <w:right w:val="single" w:sz="8" w:color="auto"/>
            </w:tcBorders>
            <w:gridSpan w:val="5"/>
          </w:tcPr>
          <w:p>
            <w:pPr>
              <w:spacing w:after="0" w:line="229" w:lineRule="exact"/>
              <w:rPr>
                <w:sz w:val="20"/>
                <w:szCs w:val="20"/>
                <w:color w:val="auto"/>
              </w:rPr>
            </w:pPr>
            <w:r>
              <w:rPr>
                <w:rFonts w:ascii="Times New Roman" w:cs="Times New Roman" w:eastAsia="Times New Roman" w:hAnsi="Times New Roman"/>
                <w:sz w:val="20"/>
                <w:szCs w:val="20"/>
                <w:color w:val="auto"/>
              </w:rPr>
              <w:t>Capital stock</w:t>
            </w:r>
          </w:p>
        </w:tc>
        <w:tc>
          <w:tcPr>
            <w:tcW w:w="2580" w:type="dxa"/>
            <w:vAlign w:val="bottom"/>
            <w:tcBorders>
              <w:right w:val="single" w:sz="8" w:color="auto"/>
            </w:tcBorders>
            <w:gridSpan w:val="3"/>
          </w:tcPr>
          <w:p>
            <w:pPr>
              <w:ind w:left="20"/>
              <w:spacing w:after="0" w:line="229" w:lineRule="exact"/>
              <w:rPr>
                <w:sz w:val="20"/>
                <w:szCs w:val="20"/>
                <w:color w:val="auto"/>
              </w:rPr>
            </w:pPr>
            <w:r>
              <w:rPr>
                <w:rFonts w:ascii="Times New Roman" w:cs="Times New Roman" w:eastAsia="Times New Roman" w:hAnsi="Times New Roman"/>
                <w:sz w:val="20"/>
                <w:szCs w:val="20"/>
                <w:color w:val="auto"/>
              </w:rPr>
              <w:t>Wholly-owned by Borrower</w:t>
            </w:r>
          </w:p>
        </w:tc>
        <w:tc>
          <w:tcPr>
            <w:tcW w:w="2020" w:type="dxa"/>
            <w:vAlign w:val="bottom"/>
            <w:tcBorders>
              <w:right w:val="single" w:sz="8" w:color="auto"/>
            </w:tcBorders>
            <w:gridSpan w:val="3"/>
          </w:tcPr>
          <w:p>
            <w:pPr>
              <w:ind w:left="20"/>
              <w:spacing w:after="0" w:line="229" w:lineRule="exact"/>
              <w:rPr>
                <w:sz w:val="20"/>
                <w:szCs w:val="20"/>
                <w:color w:val="auto"/>
              </w:rPr>
            </w:pPr>
            <w:r>
              <w:rPr>
                <w:rFonts w:ascii="Times New Roman" w:cs="Times New Roman" w:eastAsia="Times New Roman" w:hAnsi="Times New Roman"/>
                <w:sz w:val="20"/>
                <w:szCs w:val="20"/>
                <w:color w:val="auto"/>
              </w:rPr>
              <w:t>No</w:t>
            </w:r>
          </w:p>
        </w:tc>
        <w:tc>
          <w:tcPr>
            <w:tcW w:w="2020" w:type="dxa"/>
            <w:vAlign w:val="bottom"/>
            <w:tcBorders>
              <w:right w:val="single" w:sz="8" w:color="auto"/>
            </w:tcBorders>
            <w:gridSpan w:val="3"/>
          </w:tcPr>
          <w:p>
            <w:pPr>
              <w:ind w:left="20"/>
              <w:spacing w:after="0" w:line="229" w:lineRule="exact"/>
              <w:rPr>
                <w:sz w:val="20"/>
                <w:szCs w:val="20"/>
                <w:color w:val="auto"/>
              </w:rPr>
            </w:pPr>
            <w:r>
              <w:rPr>
                <w:rFonts w:ascii="Times New Roman" w:cs="Times New Roman" w:eastAsia="Times New Roman" w:hAnsi="Times New Roman"/>
                <w:sz w:val="20"/>
                <w:szCs w:val="20"/>
                <w:color w:val="auto"/>
              </w:rPr>
              <w:t>No</w:t>
            </w:r>
          </w:p>
        </w:tc>
      </w:tr>
      <w:tr>
        <w:trPr>
          <w:trHeight w:val="213"/>
        </w:trPr>
        <w:tc>
          <w:tcPr>
            <w:tcW w:w="2380" w:type="dxa"/>
            <w:vAlign w:val="bottom"/>
            <w:tcBorders>
              <w:left w:val="single" w:sz="8" w:color="auto"/>
              <w:right w:val="single" w:sz="8" w:color="auto"/>
            </w:tcBorders>
            <w:gridSpan w:val="3"/>
          </w:tcPr>
          <w:p>
            <w:pPr>
              <w:ind w:left="40"/>
              <w:spacing w:after="0" w:line="213" w:lineRule="exact"/>
              <w:rPr>
                <w:sz w:val="20"/>
                <w:szCs w:val="20"/>
                <w:color w:val="auto"/>
              </w:rPr>
            </w:pPr>
            <w:r>
              <w:rPr>
                <w:rFonts w:ascii="Times New Roman" w:cs="Times New Roman" w:eastAsia="Times New Roman" w:hAnsi="Times New Roman"/>
                <w:sz w:val="20"/>
                <w:szCs w:val="20"/>
                <w:color w:val="auto"/>
              </w:rPr>
              <w:t>Danish private limited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59"/>
        </w:trPr>
        <w:tc>
          <w:tcPr>
            <w:tcW w:w="238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company</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1"/>
          <w:szCs w:val="21"/>
          <w:color w:val="auto"/>
        </w:rPr>
        <w:t>SCHEDULE 3.24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3.24</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Healthcare and Regulatory Authority Matters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1"/>
          <w:szCs w:val="21"/>
          <w:color w:val="auto"/>
        </w:rPr>
        <w:t>SCHEDULE 5.14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5.14</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Post-Closing Requirements</w:t>
      </w:r>
    </w:p>
    <w:p>
      <w:pPr>
        <w:spacing w:after="0" w:line="200" w:lineRule="exact"/>
        <w:rPr>
          <w:sz w:val="20"/>
          <w:szCs w:val="20"/>
          <w:color w:val="auto"/>
        </w:rPr>
      </w:pPr>
    </w:p>
    <w:p>
      <w:pPr>
        <w:spacing w:after="0" w:line="255" w:lineRule="exact"/>
        <w:rPr>
          <w:sz w:val="20"/>
          <w:szCs w:val="20"/>
          <w:color w:val="auto"/>
        </w:rPr>
      </w:pPr>
    </w:p>
    <w:p>
      <w:pPr>
        <w:ind w:left="640" w:right="60" w:hanging="313"/>
        <w:spacing w:after="0" w:line="245" w:lineRule="auto"/>
        <w:tabs>
          <w:tab w:leader="none" w:pos="64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the date that is thirty (30) days after the Effective Date (or such longer period as may be agreed to by the Administrative Agent in its sole discretion), Borrower shall deliver to the Administrative Agent certificates and endorsements with respect to its property and business interruption insurance policies and general and excess liability insurance policies naming the Administrative Agent, on behalf of the Secured Parties, as lender’s loss payee or as additional insured, as applicable, in a manner consistent with the requirements in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of the Credit Agreement and the Collateral Documents.</w:t>
      </w:r>
    </w:p>
    <w:p>
      <w:pPr>
        <w:spacing w:after="0" w:line="202" w:lineRule="exact"/>
        <w:rPr>
          <w:rFonts w:ascii="Times New Roman" w:cs="Times New Roman" w:eastAsia="Times New Roman" w:hAnsi="Times New Roman"/>
          <w:sz w:val="21"/>
          <w:szCs w:val="21"/>
          <w:color w:val="auto"/>
        </w:rPr>
      </w:pPr>
    </w:p>
    <w:p>
      <w:pPr>
        <w:ind w:left="640" w:right="140" w:hanging="313"/>
        <w:spacing w:after="0" w:line="250" w:lineRule="auto"/>
        <w:tabs>
          <w:tab w:leader="none" w:pos="64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the date that is thirty (30) days after the Effective Date (or such longer period as may be agreed to by the Administrative Agent in its sole discretion), Borrower shall deliver to the Administrative Agent all duly executed Account Control Agreements (as defined in the Security Agreement) with respect to the accounts at Silicon Valley Bank listed on Exhibit B to the Security Agreement as required under </w:t>
      </w:r>
      <w:r>
        <w:rPr>
          <w:rFonts w:ascii="Times New Roman" w:cs="Times New Roman" w:eastAsia="Times New Roman" w:hAnsi="Times New Roman"/>
          <w:sz w:val="21"/>
          <w:szCs w:val="21"/>
          <w:u w:val="single" w:color="auto"/>
          <w:color w:val="auto"/>
        </w:rPr>
        <w:t>Section 4.14</w:t>
      </w:r>
      <w:r>
        <w:rPr>
          <w:rFonts w:ascii="Times New Roman" w:cs="Times New Roman" w:eastAsia="Times New Roman" w:hAnsi="Times New Roman"/>
          <w:sz w:val="21"/>
          <w:szCs w:val="21"/>
          <w:color w:val="auto"/>
        </w:rPr>
        <w:t xml:space="preserve"> of the Security Agreement.</w:t>
      </w:r>
    </w:p>
    <w:p>
      <w:pPr>
        <w:spacing w:after="0" w:line="181" w:lineRule="exact"/>
        <w:rPr>
          <w:rFonts w:ascii="Times New Roman" w:cs="Times New Roman" w:eastAsia="Times New Roman" w:hAnsi="Times New Roman"/>
          <w:sz w:val="21"/>
          <w:szCs w:val="21"/>
          <w:color w:val="auto"/>
        </w:rPr>
      </w:pPr>
    </w:p>
    <w:p>
      <w:pPr>
        <w:ind w:left="640" w:right="20" w:hanging="313"/>
        <w:spacing w:after="0" w:line="250" w:lineRule="auto"/>
        <w:tabs>
          <w:tab w:leader="none" w:pos="64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the date that is thirty (30) days after the Effective Date (or such longer period as may be agreed to by the Administrative Agent in its sole discretion), Borrower shall deliver to the Administrative Agent all duly executed Collateral Access Agreements with respect to the locations listed in Part VII of Exhibit A to the Security Agreement as required under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of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1"/>
          <w:szCs w:val="21"/>
          <w:color w:val="auto"/>
        </w:rPr>
        <w:t>SCHEDULE 6.01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6.01</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Indebtedness</w:t>
      </w:r>
    </w:p>
    <w:p>
      <w:pPr>
        <w:spacing w:after="0" w:line="200" w:lineRule="exact"/>
        <w:rPr>
          <w:sz w:val="20"/>
          <w:szCs w:val="20"/>
          <w:color w:val="auto"/>
        </w:rPr>
      </w:pPr>
    </w:p>
    <w:p>
      <w:pPr>
        <w:spacing w:after="0" w:line="242" w:lineRule="exact"/>
        <w:rPr>
          <w:sz w:val="20"/>
          <w:szCs w:val="20"/>
          <w:color w:val="auto"/>
        </w:rPr>
      </w:pPr>
    </w:p>
    <w:p>
      <w:pPr>
        <w:ind w:left="640" w:right="60" w:hanging="313"/>
        <w:spacing w:after="0" w:line="243" w:lineRule="auto"/>
        <w:tabs>
          <w:tab w:leader="none" w:pos="64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Contingent milestone payments to MediWound LTD. to commercialize NexoBrid in North America pursuant to that certain License Agreement between the Borrower and MediWound LTD., dated May 6, 2019, and that certain Supply Agreement between the Borrower and MediWound LTD., dated May 6, 2019 (each as in effect on the Effective Date):</w:t>
      </w:r>
    </w:p>
    <w:p>
      <w:pPr>
        <w:spacing w:after="0" w:line="187" w:lineRule="exact"/>
        <w:rPr>
          <w:rFonts w:ascii="Times New Roman" w:cs="Times New Roman" w:eastAsia="Times New Roman" w:hAnsi="Times New Roman"/>
          <w:sz w:val="21"/>
          <w:szCs w:val="21"/>
          <w:color w:val="auto"/>
        </w:rPr>
      </w:pPr>
    </w:p>
    <w:p>
      <w:pPr>
        <w:ind w:left="1280" w:hanging="313"/>
        <w:spacing w:after="0"/>
        <w:tabs>
          <w:tab w:leader="none" w:pos="128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Regulatory approval - $7,500,000</w:t>
      </w:r>
    </w:p>
    <w:p>
      <w:pPr>
        <w:spacing w:after="0" w:line="225" w:lineRule="exact"/>
        <w:rPr>
          <w:rFonts w:ascii="Times New Roman" w:cs="Times New Roman" w:eastAsia="Times New Roman" w:hAnsi="Times New Roman"/>
          <w:sz w:val="21"/>
          <w:szCs w:val="21"/>
          <w:color w:val="auto"/>
        </w:rPr>
      </w:pPr>
    </w:p>
    <w:p>
      <w:pPr>
        <w:ind w:left="1280" w:hanging="313"/>
        <w:spacing w:after="0"/>
        <w:tabs>
          <w:tab w:leader="none" w:pos="128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milestones – up to $125,000,000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1"/>
          <w:szCs w:val="21"/>
          <w:color w:val="auto"/>
        </w:rPr>
        <w:t>SCHEDULE 6.02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Schedule 6.02</w:t>
      </w:r>
    </w:p>
    <w:p>
      <w:pPr>
        <w:spacing w:after="0" w:line="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Existing Liens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5"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1"/>
          <w:szCs w:val="21"/>
          <w:color w:val="auto"/>
        </w:rPr>
        <w:t>SCHEDULE 6.04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6.04</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Investments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1"/>
          <w:szCs w:val="21"/>
          <w:color w:val="auto"/>
        </w:rPr>
        <w:t>SCHEDULE 6.09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6.09</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Transactions with Affiliates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6"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1"/>
          <w:szCs w:val="21"/>
          <w:color w:val="auto"/>
        </w:rPr>
        <w:t>SCHEDULE 6.10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6.10</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Existing Restrictions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4868-7139-7163v.6</w:t>
      </w:r>
    </w:p>
    <w:p>
      <w:pPr>
        <w:sectPr>
          <w:pgSz w:w="11900" w:h="16838" w:orient="portrait"/>
          <w:cols w:equalWidth="0" w:num="1">
            <w:col w:w="11240"/>
          </w:cols>
          <w:pgMar w:left="320" w:top="12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ASSIGNMENT AND ASSUMPTION</w:t>
      </w:r>
    </w:p>
    <w:p>
      <w:pPr>
        <w:spacing w:after="0" w:line="23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This Assignment and Assumption (this “</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0"/>
          <w:szCs w:val="20"/>
          <w:color w:val="auto"/>
        </w:rPr>
        <w:t xml:space="preserve">”) is dated as of the Effective Date set forth below and is entered into by and between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1"/>
          <w:szCs w:val="21"/>
          <w:i w:val="1"/>
          <w:iCs w:val="1"/>
          <w:color w:val="auto"/>
        </w:rPr>
        <w:t>Insert name of Assignor</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1"/>
          <w:szCs w:val="21"/>
          <w:i w:val="1"/>
          <w:iCs w:val="1"/>
          <w:color w:val="auto"/>
        </w:rPr>
        <w:t>Insert name of Assignee</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0"/>
          <w:szCs w:val="20"/>
          <w:color w:val="auto"/>
        </w:rPr>
        <w:t>”). Capitalized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0"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(including any letters of credit and guarantees and swingline loans included in such facility)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21"/>
          <w:szCs w:val="21"/>
          <w:u w:val="single" w:color="auto"/>
          <w:color w:val="auto"/>
        </w:rPr>
        <w:t>Assigned Interest</w:t>
      </w:r>
      <w:r>
        <w:rPr>
          <w:rFonts w:ascii="Times New Roman" w:cs="Times New Roman" w:eastAsia="Times New Roman" w:hAnsi="Times New Roman"/>
          <w:sz w:val="20"/>
          <w:szCs w:val="20"/>
          <w:color w:val="auto"/>
        </w:rPr>
        <w:t>”). Such sale and assignment is without recourse to the Assignor and, except as expressly provided in this Assignment and Assumption, without representation or warranty by the Assignor.</w:t>
      </w:r>
    </w:p>
    <w:p>
      <w:pPr>
        <w:spacing w:after="0" w:line="221" w:lineRule="exact"/>
        <w:rPr>
          <w:sz w:val="20"/>
          <w:szCs w:val="20"/>
          <w:color w:val="auto"/>
        </w:rPr>
      </w:pPr>
    </w:p>
    <w:p>
      <w:pPr>
        <w:ind w:left="200" w:hanging="193"/>
        <w:spacing w:after="0"/>
        <w:tabs>
          <w:tab w:leader="none" w:pos="2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Assignor: ______________________________</w:t>
      </w:r>
    </w:p>
    <w:p>
      <w:pPr>
        <w:spacing w:after="0" w:line="250" w:lineRule="exact"/>
        <w:rPr>
          <w:rFonts w:ascii="Times New Roman" w:cs="Times New Roman" w:eastAsia="Times New Roman" w:hAnsi="Times New Roman"/>
          <w:sz w:val="20"/>
          <w:szCs w:val="20"/>
          <w:color w:val="auto"/>
        </w:rPr>
      </w:pPr>
    </w:p>
    <w:p>
      <w:pPr>
        <w:ind w:left="200" w:hanging="193"/>
        <w:spacing w:after="0"/>
        <w:tabs>
          <w:tab w:leader="none" w:pos="2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Assignee:</w:t>
      </w:r>
      <w:r>
        <w:rPr>
          <w:rFonts w:ascii="Times New Roman" w:cs="Times New Roman" w:eastAsia="Times New Roman" w:hAnsi="Times New Roman"/>
          <w:sz w:val="18"/>
          <w:szCs w:val="18"/>
          <w:color w:val="auto"/>
        </w:rPr>
        <w:t>______________________________</w:t>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and is an Affiliate/Approved Fund of</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1"/>
          <w:szCs w:val="21"/>
          <w:i w:val="1"/>
          <w:iCs w:val="1"/>
          <w:color w:val="auto"/>
        </w:rPr>
        <w:t>identify Lender</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5"/>
          <w:szCs w:val="25"/>
          <w:b w:val="1"/>
          <w:bCs w:val="1"/>
          <w:u w:val="single" w:color="auto"/>
          <w:color w:val="auto"/>
        </w:rPr>
        <w:t>]</w:t>
      </w:r>
    </w:p>
    <w:p>
      <w:pPr>
        <w:spacing w:after="0" w:line="232" w:lineRule="exact"/>
        <w:rPr>
          <w:sz w:val="20"/>
          <w:szCs w:val="20"/>
          <w:color w:val="auto"/>
        </w:rPr>
      </w:pPr>
    </w:p>
    <w:p>
      <w:pPr>
        <w:ind w:left="200" w:hanging="193"/>
        <w:spacing w:after="0"/>
        <w:tabs>
          <w:tab w:leader="none" w:pos="2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Vericel Corporation</w:t>
      </w:r>
    </w:p>
    <w:p>
      <w:pPr>
        <w:spacing w:after="0" w:line="250" w:lineRule="exact"/>
        <w:rPr>
          <w:rFonts w:ascii="Times New Roman" w:cs="Times New Roman" w:eastAsia="Times New Roman" w:hAnsi="Times New Roman"/>
          <w:sz w:val="20"/>
          <w:szCs w:val="20"/>
          <w:color w:val="auto"/>
        </w:rPr>
      </w:pPr>
    </w:p>
    <w:p>
      <w:pPr>
        <w:ind w:left="200" w:hanging="193"/>
        <w:spacing w:after="0"/>
        <w:tabs>
          <w:tab w:leader="none" w:pos="2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Agent: JPMorgan Chase Bank, N.A., as the administrative agent under the Credit Agreement</w:t>
      </w:r>
    </w:p>
    <w:p>
      <w:pPr>
        <w:spacing w:after="0" w:line="250" w:lineRule="exact"/>
        <w:rPr>
          <w:rFonts w:ascii="Times New Roman" w:cs="Times New Roman" w:eastAsia="Times New Roman" w:hAnsi="Times New Roman"/>
          <w:sz w:val="20"/>
          <w:szCs w:val="20"/>
          <w:color w:val="auto"/>
        </w:rPr>
      </w:pPr>
    </w:p>
    <w:p>
      <w:pPr>
        <w:ind w:firstLine="7"/>
        <w:spacing w:after="0" w:line="248" w:lineRule="auto"/>
        <w:tabs>
          <w:tab w:leader="none" w:pos="213"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The Credit Agreement dated as of July 29, 2022 among Vericel Corporation, the other Loan Parties party thereto, the Lenders party thereto and JPMorgan Chase Bank, N.A., as Administrative Agent</w:t>
      </w:r>
    </w:p>
    <w:p>
      <w:pPr>
        <w:spacing w:after="0" w:line="218" w:lineRule="exact"/>
        <w:rPr>
          <w:rFonts w:ascii="Times New Roman" w:cs="Times New Roman" w:eastAsia="Times New Roman" w:hAnsi="Times New Roman"/>
          <w:sz w:val="20"/>
          <w:szCs w:val="20"/>
          <w:color w:val="auto"/>
        </w:rPr>
      </w:pPr>
    </w:p>
    <w:p>
      <w:pPr>
        <w:ind w:left="200" w:hanging="193"/>
        <w:spacing w:after="0"/>
        <w:tabs>
          <w:tab w:leader="none" w:pos="2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Assigned Interest:</w:t>
      </w:r>
    </w:p>
    <w:p>
      <w:pPr>
        <w:spacing w:after="0" w:line="194" w:lineRule="exact"/>
        <w:rPr>
          <w:sz w:val="20"/>
          <w:szCs w:val="20"/>
          <w:color w:val="auto"/>
        </w:rPr>
      </w:pPr>
    </w:p>
    <w:p>
      <w:pPr>
        <w:ind w:left="120" w:hanging="113"/>
        <w:spacing w:after="0"/>
        <w:tabs>
          <w:tab w:leader="none" w:pos="120" w:val="left"/>
        </w:tabs>
        <w:numPr>
          <w:ilvl w:val="0"/>
          <w:numId w:val="2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2" w:right="339" w:bottom="1440" w:gutter="0" w:footer="0" w:header="0"/>
        </w:sectPr>
      </w:pPr>
    </w:p>
    <w:bookmarkStart w:id="200" w:name="page201"/>
    <w:bookmarkEnd w:id="200"/>
    <w:tbl>
      <w:tblPr>
        <w:tblLayout w:type="fixed"/>
        <w:tblInd w:w="10" w:type="dxa"/>
        <w:tblCellMar>
          <w:top w:w="0" w:type="dxa"/>
          <w:left w:w="0" w:type="dxa"/>
          <w:bottom w:w="0" w:type="dxa"/>
          <w:right w:w="0" w:type="dxa"/>
        </w:tblCellMar>
      </w:tblPr>
      <w:tr>
        <w:trPr>
          <w:trHeight w:val="231"/>
        </w:trPr>
        <w:tc>
          <w:tcPr>
            <w:tcW w:w="3000" w:type="dxa"/>
            <w:vAlign w:val="bottom"/>
            <w:tcBorders>
              <w:top w:val="single" w:sz="8" w:color="auto"/>
              <w:left w:val="single" w:sz="8" w:color="auto"/>
              <w:right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Aggregate Amount of Revolving</w:t>
            </w:r>
          </w:p>
        </w:tc>
        <w:tc>
          <w:tcPr>
            <w:tcW w:w="3000" w:type="dxa"/>
            <w:vAlign w:val="bottom"/>
            <w:tcBorders>
              <w:top w:val="single" w:sz="8" w:color="auto"/>
              <w:right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color w:val="auto"/>
              </w:rPr>
              <w:t>Amount of Revolving</w:t>
            </w:r>
          </w:p>
        </w:tc>
        <w:tc>
          <w:tcPr>
            <w:tcW w:w="2980" w:type="dxa"/>
            <w:vAlign w:val="bottom"/>
            <w:tcBorders>
              <w:top w:val="single" w:sz="8" w:color="auto"/>
              <w:right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Percentage Assigned of Revolving</w:t>
            </w:r>
          </w:p>
        </w:tc>
      </w:tr>
      <w:tr>
        <w:trPr>
          <w:trHeight w:val="276"/>
        </w:trPr>
        <w:tc>
          <w:tcPr>
            <w:tcW w:w="3000" w:type="dxa"/>
            <w:vAlign w:val="bottom"/>
            <w:tcBorders>
              <w:left w:val="single" w:sz="8" w:color="auto"/>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Commitment/Loans for all Lenders</w:t>
            </w:r>
          </w:p>
        </w:tc>
        <w:tc>
          <w:tcPr>
            <w:tcW w:w="3000" w:type="dxa"/>
            <w:vAlign w:val="bottom"/>
            <w:tcBorders>
              <w:bottom w:val="single" w:sz="8" w:color="auto"/>
              <w:right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rPr>
              <w:t>Commitment/Loans Assigned</w:t>
            </w:r>
          </w:p>
        </w:tc>
        <w:tc>
          <w:tcPr>
            <w:tcW w:w="2980" w:type="dxa"/>
            <w:vAlign w:val="bottom"/>
            <w:tcBorders>
              <w:bottom w:val="single" w:sz="8" w:color="auto"/>
              <w:right w:val="single" w:sz="8" w:color="auto"/>
            </w:tcBorders>
          </w:tcPr>
          <w:p>
            <w:pPr>
              <w:jc w:val="right"/>
              <w:ind w:right="562"/>
              <w:spacing w:after="0" w:line="276" w:lineRule="exact"/>
              <w:rPr>
                <w:sz w:val="20"/>
                <w:szCs w:val="20"/>
                <w:color w:val="auto"/>
              </w:rPr>
            </w:pPr>
            <w:r>
              <w:rPr>
                <w:rFonts w:ascii="Times New Roman" w:cs="Times New Roman" w:eastAsia="Times New Roman" w:hAnsi="Times New Roman"/>
                <w:sz w:val="20"/>
                <w:szCs w:val="20"/>
                <w:color w:val="auto"/>
              </w:rPr>
              <w:t xml:space="preserve">Commitment/Loans </w:t>
            </w:r>
            <w:r>
              <w:rPr>
                <w:rFonts w:ascii="Times New Roman" w:cs="Times New Roman" w:eastAsia="Times New Roman" w:hAnsi="Times New Roman"/>
                <w:sz w:val="25"/>
                <w:szCs w:val="25"/>
                <w:color w:val="auto"/>
                <w:vertAlign w:val="superscript"/>
              </w:rPr>
              <w:t>2</w:t>
            </w:r>
          </w:p>
        </w:tc>
      </w:tr>
      <w:tr>
        <w:trPr>
          <w:trHeight w:val="256"/>
        </w:trPr>
        <w:tc>
          <w:tcPr>
            <w:tcW w:w="3000" w:type="dxa"/>
            <w:vAlign w:val="bottom"/>
            <w:tcBorders>
              <w:left w:val="single" w:sz="8" w:color="auto"/>
              <w:bottom w:val="single" w:sz="8" w:color="auto"/>
              <w:right w:val="single" w:sz="8" w:color="auto"/>
            </w:tcBorders>
          </w:tcPr>
          <w:p>
            <w:pPr>
              <w:jc w:val="right"/>
              <w:ind w:right="2762"/>
              <w:spacing w:after="0"/>
              <w:rPr>
                <w:sz w:val="20"/>
                <w:szCs w:val="20"/>
                <w:color w:val="auto"/>
              </w:rPr>
            </w:pPr>
            <w:r>
              <w:rPr>
                <w:rFonts w:ascii="Times New Roman" w:cs="Times New Roman" w:eastAsia="Times New Roman" w:hAnsi="Times New Roman"/>
                <w:sz w:val="20"/>
                <w:szCs w:val="20"/>
                <w:color w:val="auto"/>
              </w:rPr>
              <w:t>$</w:t>
            </w:r>
          </w:p>
        </w:tc>
        <w:tc>
          <w:tcPr>
            <w:tcW w:w="3000" w:type="dxa"/>
            <w:vAlign w:val="bottom"/>
            <w:tcBorders>
              <w:bottom w:val="single" w:sz="8" w:color="auto"/>
              <w:right w:val="single" w:sz="8" w:color="auto"/>
            </w:tcBorders>
          </w:tcPr>
          <w:p>
            <w:pPr>
              <w:jc w:val="right"/>
              <w:ind w:right="2782"/>
              <w:spacing w:after="0"/>
              <w:rPr>
                <w:sz w:val="20"/>
                <w:szCs w:val="20"/>
                <w:color w:val="auto"/>
              </w:rPr>
            </w:pPr>
            <w:r>
              <w:rPr>
                <w:rFonts w:ascii="Times New Roman" w:cs="Times New Roman" w:eastAsia="Times New Roman" w:hAnsi="Times New Roman"/>
                <w:sz w:val="20"/>
                <w:szCs w:val="20"/>
                <w:color w:val="auto"/>
                <w:w w:val="99"/>
              </w:rPr>
              <w:t>$</w:t>
            </w:r>
          </w:p>
        </w:tc>
        <w:tc>
          <w:tcPr>
            <w:tcW w:w="2980" w:type="dxa"/>
            <w:vAlign w:val="bottom"/>
            <w:tcBorders>
              <w:bottom w:val="single" w:sz="8" w:color="auto"/>
              <w:right w:val="single" w:sz="8" w:color="auto"/>
            </w:tcBorders>
          </w:tcPr>
          <w:p>
            <w:pPr>
              <w:jc w:val="right"/>
              <w:ind w:right="2722"/>
              <w:spacing w:after="0"/>
              <w:rPr>
                <w:sz w:val="20"/>
                <w:szCs w:val="20"/>
                <w:color w:val="auto"/>
              </w:rPr>
            </w:pPr>
            <w:r>
              <w:rPr>
                <w:rFonts w:ascii="Times New Roman" w:cs="Times New Roman" w:eastAsia="Times New Roman" w:hAnsi="Times New Roman"/>
                <w:sz w:val="20"/>
                <w:szCs w:val="20"/>
                <w:color w:val="auto"/>
                <w:w w:val="83"/>
              </w:rPr>
              <w:t>%</w:t>
            </w:r>
          </w:p>
        </w:tc>
      </w:tr>
      <w:tr>
        <w:trPr>
          <w:trHeight w:val="260"/>
        </w:trPr>
        <w:tc>
          <w:tcPr>
            <w:tcW w:w="3000" w:type="dxa"/>
            <w:vAlign w:val="bottom"/>
            <w:tcBorders>
              <w:left w:val="single" w:sz="8" w:color="auto"/>
              <w:bottom w:val="single" w:sz="8" w:color="auto"/>
              <w:right w:val="single" w:sz="8" w:color="auto"/>
            </w:tcBorders>
          </w:tcPr>
          <w:p>
            <w:pPr>
              <w:jc w:val="right"/>
              <w:ind w:right="2762"/>
              <w:spacing w:after="0"/>
              <w:rPr>
                <w:sz w:val="20"/>
                <w:szCs w:val="20"/>
                <w:color w:val="auto"/>
              </w:rPr>
            </w:pPr>
            <w:r>
              <w:rPr>
                <w:rFonts w:ascii="Times New Roman" w:cs="Times New Roman" w:eastAsia="Times New Roman" w:hAnsi="Times New Roman"/>
                <w:sz w:val="20"/>
                <w:szCs w:val="20"/>
                <w:color w:val="auto"/>
              </w:rPr>
              <w:t>$</w:t>
            </w:r>
          </w:p>
        </w:tc>
        <w:tc>
          <w:tcPr>
            <w:tcW w:w="3000" w:type="dxa"/>
            <w:vAlign w:val="bottom"/>
            <w:tcBorders>
              <w:bottom w:val="single" w:sz="8" w:color="auto"/>
              <w:right w:val="single" w:sz="8" w:color="auto"/>
            </w:tcBorders>
          </w:tcPr>
          <w:p>
            <w:pPr>
              <w:jc w:val="right"/>
              <w:ind w:right="2782"/>
              <w:spacing w:after="0"/>
              <w:rPr>
                <w:sz w:val="20"/>
                <w:szCs w:val="20"/>
                <w:color w:val="auto"/>
              </w:rPr>
            </w:pPr>
            <w:r>
              <w:rPr>
                <w:rFonts w:ascii="Times New Roman" w:cs="Times New Roman" w:eastAsia="Times New Roman" w:hAnsi="Times New Roman"/>
                <w:sz w:val="20"/>
                <w:szCs w:val="20"/>
                <w:color w:val="auto"/>
                <w:w w:val="99"/>
              </w:rPr>
              <w:t>$</w:t>
            </w:r>
          </w:p>
        </w:tc>
        <w:tc>
          <w:tcPr>
            <w:tcW w:w="2980" w:type="dxa"/>
            <w:vAlign w:val="bottom"/>
            <w:tcBorders>
              <w:bottom w:val="single" w:sz="8" w:color="auto"/>
              <w:right w:val="single" w:sz="8" w:color="auto"/>
            </w:tcBorders>
          </w:tcPr>
          <w:p>
            <w:pPr>
              <w:jc w:val="right"/>
              <w:ind w:right="2722"/>
              <w:spacing w:after="0"/>
              <w:rPr>
                <w:sz w:val="20"/>
                <w:szCs w:val="20"/>
                <w:color w:val="auto"/>
              </w:rPr>
            </w:pPr>
            <w:r>
              <w:rPr>
                <w:rFonts w:ascii="Times New Roman" w:cs="Times New Roman" w:eastAsia="Times New Roman" w:hAnsi="Times New Roman"/>
                <w:sz w:val="20"/>
                <w:szCs w:val="20"/>
                <w:color w:val="auto"/>
                <w:w w:val="83"/>
              </w:rPr>
              <w:t>%</w:t>
            </w:r>
          </w:p>
        </w:tc>
      </w:tr>
      <w:tr>
        <w:trPr>
          <w:trHeight w:val="260"/>
        </w:trPr>
        <w:tc>
          <w:tcPr>
            <w:tcW w:w="3000" w:type="dxa"/>
            <w:vAlign w:val="bottom"/>
            <w:tcBorders>
              <w:left w:val="single" w:sz="8" w:color="auto"/>
              <w:bottom w:val="single" w:sz="8" w:color="auto"/>
              <w:right w:val="single" w:sz="8" w:color="auto"/>
            </w:tcBorders>
          </w:tcPr>
          <w:p>
            <w:pPr>
              <w:jc w:val="right"/>
              <w:ind w:right="2762"/>
              <w:spacing w:after="0"/>
              <w:rPr>
                <w:sz w:val="20"/>
                <w:szCs w:val="20"/>
                <w:color w:val="auto"/>
              </w:rPr>
            </w:pPr>
            <w:r>
              <w:rPr>
                <w:rFonts w:ascii="Times New Roman" w:cs="Times New Roman" w:eastAsia="Times New Roman" w:hAnsi="Times New Roman"/>
                <w:sz w:val="20"/>
                <w:szCs w:val="20"/>
                <w:color w:val="auto"/>
              </w:rPr>
              <w:t>$</w:t>
            </w:r>
          </w:p>
        </w:tc>
        <w:tc>
          <w:tcPr>
            <w:tcW w:w="3000" w:type="dxa"/>
            <w:vAlign w:val="bottom"/>
            <w:tcBorders>
              <w:bottom w:val="single" w:sz="8" w:color="auto"/>
              <w:right w:val="single" w:sz="8" w:color="auto"/>
            </w:tcBorders>
          </w:tcPr>
          <w:p>
            <w:pPr>
              <w:jc w:val="right"/>
              <w:ind w:right="2782"/>
              <w:spacing w:after="0"/>
              <w:rPr>
                <w:sz w:val="20"/>
                <w:szCs w:val="20"/>
                <w:color w:val="auto"/>
              </w:rPr>
            </w:pPr>
            <w:r>
              <w:rPr>
                <w:rFonts w:ascii="Times New Roman" w:cs="Times New Roman" w:eastAsia="Times New Roman" w:hAnsi="Times New Roman"/>
                <w:sz w:val="20"/>
                <w:szCs w:val="20"/>
                <w:color w:val="auto"/>
                <w:w w:val="99"/>
              </w:rPr>
              <w:t>$</w:t>
            </w:r>
          </w:p>
        </w:tc>
        <w:tc>
          <w:tcPr>
            <w:tcW w:w="2980" w:type="dxa"/>
            <w:vAlign w:val="bottom"/>
            <w:tcBorders>
              <w:bottom w:val="single" w:sz="8" w:color="auto"/>
              <w:right w:val="single" w:sz="8" w:color="auto"/>
            </w:tcBorders>
          </w:tcPr>
          <w:p>
            <w:pPr>
              <w:jc w:val="right"/>
              <w:ind w:right="2722"/>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Effective Date: _____________ ___, 20___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TO BE INSERTED BY ADMINISTRATIVE AGENT AND WHICH SHALL BE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OF RECORDATION OF TRANSFER IN THE REGISTER THEREFOR.</w:t>
      </w:r>
      <w:r>
        <w:rPr>
          <w:rFonts w:ascii="Times New Roman" w:cs="Times New Roman" w:eastAsia="Times New Roman" w:hAnsi="Times New Roman"/>
          <w:sz w:val="24"/>
          <w:szCs w:val="24"/>
          <w:b w:val="1"/>
          <w:bCs w:val="1"/>
          <w:u w:val="single" w:color="auto"/>
          <w:color w:val="auto"/>
        </w:rPr>
        <w:t>]</w:t>
      </w:r>
    </w:p>
    <w:p>
      <w:pPr>
        <w:spacing w:after="0" w:line="2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3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u w:val="single" w:color="auto"/>
          <w:color w:val="auto"/>
        </w:rPr>
        <w:t>ASSIGNOR</w:t>
      </w:r>
    </w:p>
    <w:p>
      <w:pPr>
        <w:spacing w:after="0" w:line="2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ASSIGNOR</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9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Name:___________________________</w:t>
      </w:r>
    </w:p>
    <w:p>
      <w:pPr>
        <w:ind w:left="384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5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u w:val="single" w:color="auto"/>
          <w:color w:val="auto"/>
        </w:rPr>
        <w:t>ASSIGNEE</w:t>
      </w:r>
    </w:p>
    <w:p>
      <w:pPr>
        <w:spacing w:after="0" w:line="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ASSIGNEE</w:t>
      </w:r>
      <w:r>
        <w:rPr>
          <w:rFonts w:ascii="Times New Roman" w:cs="Times New Roman" w:eastAsia="Times New Roman" w:hAnsi="Times New Roman"/>
          <w:sz w:val="25"/>
          <w:szCs w:val="25"/>
          <w:b w:val="1"/>
          <w:bCs w:val="1"/>
          <w:u w:val="single" w:color="auto"/>
          <w:color w:val="auto"/>
        </w:rPr>
        <w:t>]</w:t>
      </w:r>
    </w:p>
    <w:p>
      <w:pPr>
        <w:ind w:left="3840"/>
        <w:spacing w:after="0" w:line="236" w:lineRule="auto"/>
        <w:rPr>
          <w:sz w:val="20"/>
          <w:szCs w:val="20"/>
          <w:color w:val="auto"/>
        </w:rPr>
      </w:pPr>
      <w:r>
        <w:rPr>
          <w:rFonts w:ascii="Times New Roman" w:cs="Times New Roman" w:eastAsia="Times New Roman" w:hAnsi="Times New Roman"/>
          <w:sz w:val="20"/>
          <w:szCs w:val="20"/>
          <w:color w:val="auto"/>
        </w:rPr>
        <w:t>By:_____________________________</w:t>
      </w:r>
    </w:p>
    <w:p>
      <w:pPr>
        <w:ind w:left="3840"/>
        <w:spacing w:after="0" w:line="223" w:lineRule="auto"/>
        <w:rPr>
          <w:sz w:val="20"/>
          <w:szCs w:val="20"/>
          <w:color w:val="auto"/>
        </w:rPr>
      </w:pPr>
      <w:r>
        <w:rPr>
          <w:rFonts w:ascii="Times New Roman" w:cs="Times New Roman" w:eastAsia="Times New Roman" w:hAnsi="Times New Roman"/>
          <w:sz w:val="20"/>
          <w:szCs w:val="20"/>
          <w:color w:val="auto"/>
        </w:rPr>
        <w:t>Name:___________________________</w:t>
      </w:r>
    </w:p>
    <w:p>
      <w:pPr>
        <w:ind w:left="384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hanging="113"/>
        <w:spacing w:after="0"/>
        <w:tabs>
          <w:tab w:leader="none" w:pos="120" w:val="left"/>
        </w:tabs>
        <w:numPr>
          <w:ilvl w:val="0"/>
          <w:numId w:val="20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Se</w:t>
      </w:r>
      <w:r>
        <w:rPr>
          <w:rFonts w:ascii="Times New Roman" w:cs="Times New Roman" w:eastAsia="Times New Roman" w:hAnsi="Times New Roman"/>
          <w:sz w:val="16"/>
          <w:szCs w:val="16"/>
          <w:color w:val="auto"/>
        </w:rPr>
        <w:t>t forth, to at least 9 decimals, as a percentage of the Revolving Commitment/Loans of all Lenders thereunder.</w:t>
      </w:r>
    </w:p>
    <w:p>
      <w:pPr>
        <w:spacing w:after="0" w:line="200" w:lineRule="exact"/>
        <w:rPr>
          <w:rFonts w:ascii="Times New Roman" w:cs="Times New Roman" w:eastAsia="Times New Roman" w:hAnsi="Times New Roman"/>
          <w:sz w:val="25"/>
          <w:szCs w:val="25"/>
          <w:color w:val="auto"/>
          <w:vertAlign w:val="superscript"/>
        </w:rPr>
      </w:pPr>
    </w:p>
    <w:p>
      <w:pPr>
        <w:spacing w:after="0" w:line="200" w:lineRule="exact"/>
        <w:rPr>
          <w:rFonts w:ascii="Times New Roman" w:cs="Times New Roman" w:eastAsia="Times New Roman" w:hAnsi="Times New Roman"/>
          <w:sz w:val="25"/>
          <w:szCs w:val="25"/>
          <w:color w:val="auto"/>
          <w:vertAlign w:val="superscript"/>
        </w:rPr>
      </w:pPr>
    </w:p>
    <w:p>
      <w:pPr>
        <w:spacing w:after="0" w:line="200" w:lineRule="exact"/>
        <w:rPr>
          <w:rFonts w:ascii="Times New Roman" w:cs="Times New Roman" w:eastAsia="Times New Roman" w:hAnsi="Times New Roman"/>
          <w:sz w:val="25"/>
          <w:szCs w:val="25"/>
          <w:color w:val="auto"/>
          <w:vertAlign w:val="superscript"/>
        </w:rPr>
      </w:pPr>
    </w:p>
    <w:p>
      <w:pPr>
        <w:spacing w:after="0" w:line="200" w:lineRule="exact"/>
        <w:rPr>
          <w:rFonts w:ascii="Times New Roman" w:cs="Times New Roman" w:eastAsia="Times New Roman" w:hAnsi="Times New Roman"/>
          <w:sz w:val="25"/>
          <w:szCs w:val="25"/>
          <w:color w:val="auto"/>
          <w:vertAlign w:val="superscript"/>
        </w:rPr>
      </w:pPr>
    </w:p>
    <w:p>
      <w:pPr>
        <w:spacing w:after="0" w:line="200" w:lineRule="exact"/>
        <w:rPr>
          <w:rFonts w:ascii="Times New Roman" w:cs="Times New Roman" w:eastAsia="Times New Roman" w:hAnsi="Times New Roman"/>
          <w:sz w:val="25"/>
          <w:szCs w:val="25"/>
          <w:color w:val="auto"/>
          <w:vertAlign w:val="superscript"/>
        </w:rPr>
      </w:pPr>
    </w:p>
    <w:p>
      <w:pPr>
        <w:spacing w:after="0" w:line="271" w:lineRule="exact"/>
        <w:rPr>
          <w:rFonts w:ascii="Times New Roman" w:cs="Times New Roman" w:eastAsia="Times New Roman" w:hAnsi="Times New Roman"/>
          <w:sz w:val="25"/>
          <w:szCs w:val="25"/>
          <w:color w:val="auto"/>
          <w:vertAlign w:val="superscript"/>
        </w:rPr>
      </w:pPr>
    </w:p>
    <w:p>
      <w:pPr>
        <w:ind w:left="54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27" w:right="339" w:bottom="1440" w:gutter="0" w:footer="0" w:header="0"/>
        </w:sectPr>
      </w:pPr>
    </w:p>
    <w:bookmarkStart w:id="201" w:name="page202"/>
    <w:bookmarkEnd w:id="201"/>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Consented to and</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19"/>
          <w:szCs w:val="19"/>
          <w:color w:val="auto"/>
        </w:rPr>
        <w:t>Accepted: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Issuing Bank and Swingline Lender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w:t>
      </w:r>
    </w:p>
    <w:p>
      <w:pPr>
        <w:spacing w:after="0"/>
        <w:rPr>
          <w:sz w:val="20"/>
          <w:szCs w:val="20"/>
          <w:color w:val="auto"/>
        </w:rPr>
      </w:pPr>
      <w:r>
        <w:rPr>
          <w:rFonts w:ascii="Times New Roman" w:cs="Times New Roman" w:eastAsia="Times New Roman" w:hAnsi="Times New Roman"/>
          <w:sz w:val="20"/>
          <w:szCs w:val="20"/>
          <w:color w:val="auto"/>
        </w:rPr>
        <w:t>Title:_______________________________</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Consented to:</w:t>
      </w: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25"/>
          <w:szCs w:val="25"/>
          <w:color w:val="auto"/>
          <w:vertAlign w:val="superscript"/>
        </w:rPr>
        <w:t>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BORROWER</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w:t>
      </w:r>
    </w:p>
    <w:p>
      <w:pPr>
        <w:spacing w:after="0"/>
        <w:rPr>
          <w:sz w:val="20"/>
          <w:szCs w:val="20"/>
          <w:color w:val="auto"/>
        </w:rPr>
      </w:pPr>
      <w:r>
        <w:rPr>
          <w:rFonts w:ascii="Times New Roman" w:cs="Times New Roman" w:eastAsia="Times New Roman" w:hAnsi="Times New Roman"/>
          <w:sz w:val="20"/>
          <w:szCs w:val="20"/>
          <w:color w:val="auto"/>
        </w:rPr>
        <w:t>Title:_______________________________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hanging="93"/>
        <w:spacing w:after="0"/>
        <w:tabs>
          <w:tab w:leader="none" w:pos="100" w:val="left"/>
        </w:tabs>
        <w:numPr>
          <w:ilvl w:val="0"/>
          <w:numId w:val="20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To be added only if the consent of the Administrative Agent, Issuing Bank and/or Swingline Lender, as applicable, is required by the terms of the Credit Agreement.</w:t>
      </w: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To be added only if the consent of the Borrower is required by the terms of the Credit Agreement.</w:t>
      </w:r>
    </w:p>
    <w:p>
      <w:pPr>
        <w:sectPr>
          <w:pgSz w:w="11900" w:h="16838" w:orient="portrait"/>
          <w:cols w:equalWidth="0" w:num="1">
            <w:col w:w="10640"/>
          </w:cols>
          <w:pgMar w:left="32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0640"/>
          </w:cols>
          <w:pgMar w:left="320" w:top="1440" w:right="939" w:bottom="144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0"/>
          <w:szCs w:val="20"/>
          <w:color w:val="auto"/>
        </w:rPr>
        <w:t>ANNEX 1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STANDARD TERMS AND CONDITIONS FOR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23" w:lineRule="exact"/>
        <w:rPr>
          <w:sz w:val="20"/>
          <w:szCs w:val="20"/>
          <w:color w:val="auto"/>
        </w:rPr>
      </w:pPr>
    </w:p>
    <w:p>
      <w:pPr>
        <w:ind w:left="640" w:hanging="313"/>
        <w:spacing w:after="0"/>
        <w:tabs>
          <w:tab w:leader="none" w:pos="6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u w:val="single" w:color="auto"/>
          <w:color w:val="auto"/>
        </w:rPr>
        <w:t>1.1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Subsidiary or Affiliate or any other Person obligated in respect of any Loan Document, (iv) any requirements under applicable law for the Assignee to become a lender under the Credit Agreement or any other Loan Document or to charge interest at the rate set forth therein from time to time or (v) the performance or observance by the Borrower, any Subsidiary or Affiliate, or any other Person of any of their respective obligations under any Loan Document.</w:t>
      </w:r>
    </w:p>
    <w:p>
      <w:pPr>
        <w:spacing w:after="0" w:line="183" w:lineRule="exact"/>
        <w:rPr>
          <w:sz w:val="20"/>
          <w:szCs w:val="20"/>
          <w:color w:val="auto"/>
        </w:rPr>
      </w:pPr>
    </w:p>
    <w:p>
      <w:pPr>
        <w:jc w:val="both"/>
        <w:ind w:firstLine="640"/>
        <w:spacing w:after="0" w:line="246" w:lineRule="auto"/>
        <w:rPr>
          <w:sz w:val="20"/>
          <w:szCs w:val="20"/>
          <w:color w:val="auto"/>
        </w:rPr>
      </w:pPr>
      <w:r>
        <w:rPr>
          <w:rFonts w:ascii="Times New Roman" w:cs="Times New Roman" w:eastAsia="Times New Roman" w:hAnsi="Times New Roman"/>
          <w:sz w:val="20"/>
          <w:szCs w:val="20"/>
          <w:u w:val="single" w:color="auto"/>
          <w:color w:val="auto"/>
        </w:rPr>
        <w:t>1.2 Assignee</w:t>
      </w:r>
      <w:r>
        <w:rPr>
          <w:rFonts w:ascii="Times New Roman" w:cs="Times New Roman" w:eastAsia="Times New Roman" w:hAnsi="Times New Roman"/>
          <w:sz w:val="20"/>
          <w:szCs w:val="20"/>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Sections 5.01(a) and 5.01(b)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Arranger, the Assignor or any other Lender or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Arranger, the Assignor or any other Lender or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22" w:lineRule="exact"/>
        <w:rPr>
          <w:sz w:val="20"/>
          <w:szCs w:val="20"/>
          <w:color w:val="auto"/>
        </w:rPr>
      </w:pPr>
    </w:p>
    <w:p>
      <w:pPr>
        <w:ind w:left="640" w:right="20" w:hanging="313"/>
        <w:spacing w:after="0" w:line="275" w:lineRule="auto"/>
        <w:tabs>
          <w:tab w:leader="none" w:pos="64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From and after the Effective Date, the Administrative Agent shall make all payments in respect of the Assigned Interest (including payments of principal, interest, fees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1-1</w:t>
      </w:r>
    </w:p>
    <w:p>
      <w:pPr>
        <w:sectPr>
          <w:pgSz w:w="11900" w:h="16838" w:orient="portrait"/>
          <w:cols w:equalWidth="0" w:num="1">
            <w:col w:w="11240"/>
          </w:cols>
          <w:pgMar w:left="320" w:top="1398" w:right="339" w:bottom="1440" w:gutter="0" w:footer="0" w:header="0"/>
        </w:sectPr>
      </w:pPr>
    </w:p>
    <w:bookmarkStart w:id="203" w:name="page204"/>
    <w:bookmarkEnd w:id="203"/>
    <w:p>
      <w:pPr>
        <w:ind w:left="320"/>
        <w:spacing w:after="0" w:line="275" w:lineRule="auto"/>
        <w:rPr>
          <w:sz w:val="20"/>
          <w:szCs w:val="20"/>
          <w:color w:val="auto"/>
        </w:rPr>
      </w:pPr>
      <w:r>
        <w:rPr>
          <w:rFonts w:ascii="Times New Roman" w:cs="Times New Roman" w:eastAsia="Times New Roman" w:hAnsi="Times New Roman"/>
          <w:sz w:val="20"/>
          <w:szCs w:val="20"/>
          <w:color w:val="auto"/>
        </w:rPr>
        <w:t>amounts) to the Assignor for amounts which have accrued to but excluding the Effective Date and to the Assignee for amounts which have accrued from and after the Effective Date.</w:t>
      </w:r>
    </w:p>
    <w:p>
      <w:pPr>
        <w:spacing w:after="0" w:line="180" w:lineRule="exact"/>
        <w:rPr>
          <w:sz w:val="20"/>
          <w:szCs w:val="20"/>
          <w:color w:val="auto"/>
        </w:rPr>
      </w:pPr>
    </w:p>
    <w:p>
      <w:pPr>
        <w:jc w:val="both"/>
        <w:ind w:left="320" w:hanging="313"/>
        <w:spacing w:after="0" w:line="250" w:lineRule="auto"/>
        <w:tabs>
          <w:tab w:leader="none" w:pos="3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(as defined in the Credit Agreement) or delivery of an executed counterpart of a signature page of this Assignment and Assumption by any Approved Electronic Platform (as defined in the Credit Agreement)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Annex 1-2</w:t>
      </w:r>
    </w:p>
    <w:p>
      <w:pPr>
        <w:sectPr>
          <w:pgSz w:w="11900" w:h="16838" w:orient="portrait"/>
          <w:cols w:equalWidth="0" w:num="1">
            <w:col w:w="10920"/>
          </w:cols>
          <w:pgMar w:left="640" w:top="1398" w:right="339"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1389" w:right="1440"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Reserved.</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1389" w:right="1440" w:bottom="1440" w:gutter="0" w:footer="0" w:header="0"/>
          <w:type w:val="continuous"/>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FORM OF</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BORROWING REQUEST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COMPANY NAME/HEADER</w:t>
      </w:r>
      <w:r>
        <w:rPr>
          <w:rFonts w:ascii="Times New Roman" w:cs="Times New Roman" w:eastAsia="Times New Roman" w:hAnsi="Times New Roman"/>
          <w:sz w:val="20"/>
          <w:szCs w:val="20"/>
          <w:b w:val="1"/>
          <w:bCs w:val="1"/>
          <w:u w:val="single" w:color="auto"/>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South Dearborn, Floor L2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IL1-1145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 60603-2300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Fax No: (312) 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Borrowing Request is furnished pursuant to Section 2.03 of that certain Credit Agreement dated as of July 29, 2022 (as amended, restated, supplemented or otherwise modified from time to time, the “Agreement”) among Vericel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the lenders party thereto and JPMorgan Chase Bank, N.A. (“</w:t>
      </w:r>
      <w:r>
        <w:rPr>
          <w:rFonts w:ascii="Times New Roman" w:cs="Times New Roman" w:eastAsia="Times New Roman" w:hAnsi="Times New Roman"/>
          <w:sz w:val="20"/>
          <w:szCs w:val="20"/>
          <w:u w:val="single" w:color="auto"/>
          <w:color w:val="auto"/>
        </w:rPr>
        <w:t>Chase</w:t>
      </w:r>
      <w:r>
        <w:rPr>
          <w:rFonts w:ascii="Times New Roman" w:cs="Times New Roman" w:eastAsia="Times New Roman" w:hAnsi="Times New Roman"/>
          <w:sz w:val="20"/>
          <w:szCs w:val="20"/>
          <w:color w:val="auto"/>
        </w:rPr>
        <w:t>”), as Administrative Agent for the Lenders. Unless otherwise defined herein, capitalized terms used in this Borrowing Request have the meanings ascribed thereto in the Agreement. The Borrower represents that, as of this date, the conditions precedent set forth in Section 4.02 are satisfied.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hereby notifies Chase of its request for the following Revolving Borrowing:</w:t>
      </w:r>
    </w:p>
    <w:p>
      <w:pPr>
        <w:spacing w:after="0" w:line="237" w:lineRule="exact"/>
        <w:rPr>
          <w:sz w:val="20"/>
          <w:szCs w:val="20"/>
          <w:color w:val="auto"/>
        </w:rPr>
      </w:pPr>
    </w:p>
    <w:p>
      <w:pPr>
        <w:ind w:left="640" w:hanging="313"/>
        <w:spacing w:after="0"/>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of the Borrowing</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$_________________</w:t>
      </w:r>
    </w:p>
    <w:p>
      <w:pPr>
        <w:spacing w:after="0" w:line="192"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Date of the Borrowing (must be a Business Day): ____________________</w:t>
      </w:r>
    </w:p>
    <w:p>
      <w:pPr>
        <w:spacing w:after="0" w:line="237"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shall be a ___ ABR Borrowing or ___ Term Benchmark Borrowing</w:t>
      </w:r>
      <w:r>
        <w:rPr>
          <w:rFonts w:ascii="Times New Roman" w:cs="Times New Roman" w:eastAsia="Times New Roman" w:hAnsi="Times New Roman"/>
          <w:sz w:val="25"/>
          <w:szCs w:val="25"/>
          <w:color w:val="auto"/>
          <w:vertAlign w:val="superscript"/>
        </w:rPr>
        <w:t>6</w:t>
      </w:r>
    </w:p>
    <w:p>
      <w:pPr>
        <w:spacing w:after="0" w:line="192" w:lineRule="exact"/>
        <w:rPr>
          <w:rFonts w:ascii="Times New Roman" w:cs="Times New Roman" w:eastAsia="Times New Roman" w:hAnsi="Times New Roman"/>
          <w:sz w:val="20"/>
          <w:szCs w:val="20"/>
          <w:color w:val="auto"/>
        </w:rPr>
      </w:pPr>
    </w:p>
    <w:p>
      <w:pPr>
        <w:ind w:left="640" w:right="5420" w:hanging="313"/>
        <w:spacing w:after="0" w:line="410" w:lineRule="auto"/>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Term Benchmark Borrowing, the duration of Interest Period </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One Month __________</w:t>
      </w:r>
    </w:p>
    <w:p>
      <w:pPr>
        <w:spacing w:after="0" w:line="63"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Months_________</w:t>
      </w:r>
    </w:p>
    <w:p>
      <w:pPr>
        <w:spacing w:after="0" w:line="250"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 Months__________</w:t>
      </w:r>
    </w:p>
    <w:p>
      <w:pPr>
        <w:spacing w:after="0" w:line="237" w:lineRule="exact"/>
        <w:rPr>
          <w:rFonts w:ascii="Times New Roman" w:cs="Times New Roman" w:eastAsia="Times New Roman" w:hAnsi="Times New Roman"/>
          <w:sz w:val="20"/>
          <w:szCs w:val="20"/>
          <w:color w:val="auto"/>
        </w:rPr>
      </w:pPr>
    </w:p>
    <w:p>
      <w:pPr>
        <w:ind w:left="640" w:hanging="313"/>
        <w:spacing w:after="0" w:line="275" w:lineRule="auto"/>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Location and number of the Borrower’s account or any other account agreed upon by the Administrative Agent and the Borrower to which proceeds of Borrowing are to be disbursed:</w:t>
      </w:r>
    </w:p>
    <w:p>
      <w:pPr>
        <w:spacing w:after="0" w:line="376" w:lineRule="exact"/>
        <w:rPr>
          <w:sz w:val="20"/>
          <w:szCs w:val="20"/>
          <w:color w:val="auto"/>
        </w:rPr>
      </w:pPr>
    </w:p>
    <w:p>
      <w:pPr>
        <w:ind w:left="100" w:hanging="93"/>
        <w:spacing w:after="0"/>
        <w:tabs>
          <w:tab w:leader="none" w:pos="100" w:val="left"/>
        </w:tabs>
        <w:numPr>
          <w:ilvl w:val="0"/>
          <w:numId w:val="20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Must comply with Section 2.02(c) of the Agreement</w:t>
      </w:r>
    </w:p>
    <w:p>
      <w:pPr>
        <w:ind w:left="100" w:hanging="93"/>
        <w:spacing w:after="0" w:line="181" w:lineRule="auto"/>
        <w:tabs>
          <w:tab w:leader="none" w:pos="100" w:val="left"/>
        </w:tabs>
        <w:numPr>
          <w:ilvl w:val="0"/>
          <w:numId w:val="20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If no election is made, then the requested Borrowing shall be an ABR Borrowing</w:t>
      </w:r>
    </w:p>
    <w:p>
      <w:pPr>
        <w:ind w:right="320" w:firstLine="7"/>
        <w:spacing w:after="0" w:line="214" w:lineRule="auto"/>
        <w:tabs>
          <w:tab w:leader="none" w:pos="92" w:val="left"/>
        </w:tabs>
        <w:numPr>
          <w:ilvl w:val="0"/>
          <w:numId w:val="2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Shall be subject to the definition of “Interest Period.” Cannot extend beyond the Revolving Credit Maturity Date. If an Interest Period is not specified, then the Borrower shall be deemed to have selected an Interest Period of one month’s duration.</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C-1-1</w:t>
      </w:r>
    </w:p>
    <w:p>
      <w:pPr>
        <w:sectPr>
          <w:pgSz w:w="11900" w:h="16838" w:orient="portrait"/>
          <w:cols w:equalWidth="0" w:num="1">
            <w:col w:w="11240"/>
          </w:cols>
          <w:pgMar w:left="320" w:top="1394" w:right="339" w:bottom="1440" w:gutter="0" w:footer="0" w:header="0"/>
          <w:type w:val="continuous"/>
        </w:sectPr>
      </w:pPr>
    </w:p>
    <w:bookmarkStart w:id="206" w:name="page207"/>
    <w:bookmarkEnd w:id="206"/>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VERICEL CORPORATION, as the Borrower</w:t>
      </w:r>
    </w:p>
    <w:p>
      <w:pPr>
        <w:spacing w:after="0" w:line="2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Name:</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9019"/>
          </w:cols>
          <w:pgMar w:left="1440" w:top="1440" w:right="1440"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C-2</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FORM OF</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ELECTION REQUEST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COMPANY NAME/HEADER</w:t>
      </w:r>
      <w:r>
        <w:rPr>
          <w:rFonts w:ascii="Times New Roman" w:cs="Times New Roman" w:eastAsia="Times New Roman" w:hAnsi="Times New Roman"/>
          <w:sz w:val="20"/>
          <w:szCs w:val="20"/>
          <w:b w:val="1"/>
          <w:bCs w:val="1"/>
          <w:u w:val="single" w:color="auto"/>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South Dearborn, Floor L2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IL1-1145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 60603-2300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Fax No: (312) 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Interest Election Request is furnished pursuant to Section 2.08(c) of that certain Credit Agreement dated as of July 29, 2022 (as amended,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Vericel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the lenders party thereto and JPMorgan Chase Bank, N.A. (“</w:t>
      </w:r>
      <w:r>
        <w:rPr>
          <w:rFonts w:ascii="Times New Roman" w:cs="Times New Roman" w:eastAsia="Times New Roman" w:hAnsi="Times New Roman"/>
          <w:sz w:val="18"/>
          <w:szCs w:val="18"/>
          <w:u w:val="single" w:color="auto"/>
          <w:color w:val="auto"/>
        </w:rPr>
        <w:t>Chase</w:t>
      </w:r>
      <w:r>
        <w:rPr>
          <w:rFonts w:ascii="Times New Roman" w:cs="Times New Roman" w:eastAsia="Times New Roman" w:hAnsi="Times New Roman"/>
          <w:sz w:val="18"/>
          <w:szCs w:val="18"/>
          <w:color w:val="auto"/>
        </w:rPr>
        <w:t>”), as Administrative Agent for the Lenders. Unless otherwise defined herein, capitalized terms used in this Interest Election Request have the meanings ascribed thereto in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is hereby requesting to convert or continue certain Borrowings as follows:</w:t>
      </w:r>
    </w:p>
    <w:p>
      <w:pPr>
        <w:spacing w:after="0" w:line="250" w:lineRule="exact"/>
        <w:rPr>
          <w:sz w:val="20"/>
          <w:szCs w:val="20"/>
          <w:color w:val="auto"/>
        </w:rPr>
      </w:pPr>
    </w:p>
    <w:p>
      <w:pPr>
        <w:ind w:left="320" w:hanging="313"/>
        <w:spacing w:after="0"/>
        <w:tabs>
          <w:tab w:leader="none" w:pos="3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to which this Interest Election Request applies: ________________________________</w:t>
      </w:r>
    </w:p>
    <w:p>
      <w:pPr>
        <w:spacing w:after="0" w:line="237"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conversion/continuation (must be a Business Day): __________________,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-12065</wp:posOffset>
            </wp:positionV>
            <wp:extent cx="31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30" w:lineRule="exact"/>
        <w:rPr>
          <w:sz w:val="20"/>
          <w:szCs w:val="20"/>
          <w:color w:val="auto"/>
        </w:rPr>
      </w:pPr>
    </w:p>
    <w:p>
      <w:pPr>
        <w:ind w:left="200" w:hanging="193"/>
        <w:spacing w:after="0"/>
        <w:tabs>
          <w:tab w:leader="none" w:pos="2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Borrowings being converted/continued: $ _______________</w:t>
      </w:r>
    </w:p>
    <w:p>
      <w:pPr>
        <w:spacing w:after="0" w:line="237"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conversion/continuation:</w:t>
      </w:r>
    </w:p>
    <w:p>
      <w:pPr>
        <w:spacing w:after="0" w:line="24" w:lineRule="exact"/>
        <w:rPr>
          <w:rFonts w:ascii="Times New Roman" w:cs="Times New Roman" w:eastAsia="Times New Roman" w:hAnsi="Times New Roman"/>
          <w:sz w:val="20"/>
          <w:szCs w:val="20"/>
          <w:color w:val="auto"/>
        </w:rPr>
      </w:pPr>
    </w:p>
    <w:p>
      <w:pPr>
        <w:ind w:left="860" w:hanging="213"/>
        <w:spacing w:after="0"/>
        <w:tabs>
          <w:tab w:leader="none" w:pos="860" w:val="left"/>
        </w:tabs>
        <w:numPr>
          <w:ilvl w:val="1"/>
          <w:numId w:val="21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of ABR Borrowings to Term Benchmark Borrowings</w:t>
      </w:r>
    </w:p>
    <w:p>
      <w:pPr>
        <w:spacing w:after="0" w:line="4" w:lineRule="exact"/>
        <w:rPr>
          <w:rFonts w:ascii="MS PGothic" w:cs="MS PGothic" w:eastAsia="MS PGothic" w:hAnsi="MS PGothic"/>
          <w:sz w:val="20"/>
          <w:szCs w:val="20"/>
          <w:color w:val="auto"/>
        </w:rPr>
      </w:pPr>
    </w:p>
    <w:p>
      <w:pPr>
        <w:ind w:left="860" w:hanging="213"/>
        <w:spacing w:after="0"/>
        <w:tabs>
          <w:tab w:leader="none" w:pos="860" w:val="left"/>
        </w:tabs>
        <w:numPr>
          <w:ilvl w:val="1"/>
          <w:numId w:val="21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b. Conversion of Term Benchmark Borrowings to ABR Borrowings</w:t>
      </w:r>
    </w:p>
    <w:p>
      <w:pPr>
        <w:spacing w:after="0" w:line="10" w:lineRule="exact"/>
        <w:rPr>
          <w:rFonts w:ascii="MS PGothic" w:cs="MS PGothic" w:eastAsia="MS PGothic" w:hAnsi="MS PGothic"/>
          <w:sz w:val="20"/>
          <w:szCs w:val="20"/>
          <w:color w:val="auto"/>
        </w:rPr>
      </w:pPr>
    </w:p>
    <w:p>
      <w:pPr>
        <w:ind w:left="860" w:hanging="213"/>
        <w:spacing w:after="0"/>
        <w:tabs>
          <w:tab w:leader="none" w:pos="860" w:val="left"/>
        </w:tabs>
        <w:numPr>
          <w:ilvl w:val="1"/>
          <w:numId w:val="21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 Continuation of Term Benchmark Borrowings as such</w:t>
      </w:r>
    </w:p>
    <w:p>
      <w:pPr>
        <w:spacing w:after="0" w:line="228" w:lineRule="exact"/>
        <w:rPr>
          <w:rFonts w:ascii="MS PGothic" w:cs="MS PGothic" w:eastAsia="MS PGothic" w:hAnsi="MS PGothic"/>
          <w:sz w:val="20"/>
          <w:szCs w:val="20"/>
          <w:color w:val="auto"/>
        </w:rPr>
      </w:pPr>
    </w:p>
    <w:p>
      <w:pPr>
        <w:ind w:left="400" w:right="20" w:hanging="393"/>
        <w:spacing w:after="0" w:line="226" w:lineRule="auto"/>
        <w:tabs>
          <w:tab w:leader="none" w:pos="4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Borrowings are being continued as or converted to Term Benchmark Borrowings, the duration of the new Interest Period that commences on the conversion/continuation date</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Month __________ Three Months __________ Six Months 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20" w:firstLine="7"/>
        <w:spacing w:after="0" w:line="230" w:lineRule="auto"/>
        <w:tabs>
          <w:tab w:leader="none" w:pos="92" w:val="left"/>
        </w:tabs>
        <w:numPr>
          <w:ilvl w:val="0"/>
          <w:numId w:val="2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Shall be subject to the definition of “Interest Period.” Cannot extend beyond the Revolving Credit Maturity Date. If an Interest Period is not specified,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240"/>
          </w:cols>
          <w:pgMar w:left="320" w:top="1394" w:right="339" w:bottom="1440" w:gutter="0" w:footer="0" w:header="0"/>
        </w:sectPr>
      </w:pPr>
    </w:p>
    <w:bookmarkStart w:id="208" w:name="page209"/>
    <w:bookmarkEnd w:id="208"/>
    <w:p>
      <w:pPr>
        <w:ind w:left="393" w:hanging="393"/>
        <w:spacing w:after="0" w:line="275" w:lineRule="auto"/>
        <w:tabs>
          <w:tab w:leader="none" w:pos="39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officer of the Borrower certifies that, both before and after giving effect to the request above, no Default or Event of Default has occurred and is continuing under the Agreement.</w:t>
      </w:r>
    </w:p>
    <w:p>
      <w:pPr>
        <w:spacing w:after="0" w:line="200" w:lineRule="exact"/>
        <w:rPr>
          <w:sz w:val="20"/>
          <w:szCs w:val="20"/>
          <w:color w:val="auto"/>
        </w:rPr>
      </w:pPr>
    </w:p>
    <w:p>
      <w:pPr>
        <w:spacing w:after="0" w:line="220" w:lineRule="exact"/>
        <w:rPr>
          <w:sz w:val="20"/>
          <w:szCs w:val="20"/>
          <w:color w:val="auto"/>
        </w:rPr>
      </w:pPr>
    </w:p>
    <w:p>
      <w:pPr>
        <w:ind w:left="4073"/>
        <w:spacing w:after="0"/>
        <w:rPr>
          <w:sz w:val="20"/>
          <w:szCs w:val="20"/>
          <w:color w:val="auto"/>
        </w:rPr>
      </w:pPr>
      <w:r>
        <w:rPr>
          <w:rFonts w:ascii="Times New Roman" w:cs="Times New Roman" w:eastAsia="Times New Roman" w:hAnsi="Times New Roman"/>
          <w:sz w:val="20"/>
          <w:szCs w:val="20"/>
          <w:color w:val="auto"/>
        </w:rPr>
        <w:t>VERICEL CORPORATION, as the Borrower</w:t>
      </w:r>
    </w:p>
    <w:p>
      <w:pPr>
        <w:spacing w:after="0" w:line="200" w:lineRule="exact"/>
        <w:rPr>
          <w:sz w:val="20"/>
          <w:szCs w:val="20"/>
          <w:color w:val="auto"/>
        </w:rPr>
      </w:pPr>
    </w:p>
    <w:p>
      <w:pPr>
        <w:spacing w:after="0" w:line="291"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19"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20"/>
          <w:szCs w:val="20"/>
          <w:color w:val="auto"/>
        </w:rPr>
        <w:t>Name:</w:t>
      </w:r>
    </w:p>
    <w:p>
      <w:pPr>
        <w:spacing w:after="0" w:line="2"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233"/>
          </w:cols>
          <w:pgMar w:left="327" w:top="1398"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Not Partnerships For U.S. Federal Income Tax Purposes)</w:t>
      </w:r>
    </w:p>
    <w:p>
      <w:pPr>
        <w:spacing w:after="0" w:line="215"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July 29, 2022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0"/>
          <w:szCs w:val="20"/>
          <w:color w:val="auto"/>
        </w:rPr>
        <w:t>”), among Vericel Corporation, as Borrower, the other Loan Parties party thereto, JPMorgan Chase Bank, N.A., as Administrative Agent, and each lender from time to time party thereto.</w:t>
      </w:r>
    </w:p>
    <w:p>
      <w:pPr>
        <w:spacing w:after="0" w:line="210"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w:t>
      </w:r>
    </w:p>
    <w:p>
      <w:pPr>
        <w:jc w:val="both"/>
        <w:ind w:firstLine="7"/>
        <w:spacing w:after="0" w:line="233" w:lineRule="auto"/>
        <w:tabs>
          <w:tab w:leader="none" w:pos="295"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215" w:lineRule="exact"/>
        <w:rPr>
          <w:sz w:val="20"/>
          <w:szCs w:val="20"/>
          <w:color w:val="auto"/>
        </w:rPr>
      </w:pPr>
    </w:p>
    <w:p>
      <w:pPr>
        <w:jc w:val="both"/>
        <w:ind w:firstLine="640"/>
        <w:spacing w:after="0" w:line="239"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20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LENDER</w:t>
      </w:r>
      <w:r>
        <w:rPr>
          <w:rFonts w:ascii="Times New Roman" w:cs="Times New Roman" w:eastAsia="Times New Roman" w:hAnsi="Times New Roman"/>
          <w:sz w:val="25"/>
          <w:szCs w:val="25"/>
          <w:b w:val="1"/>
          <w:bCs w:val="1"/>
          <w:u w:val="single" w:color="auto"/>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0"/>
          <w:szCs w:val="20"/>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240"/>
          </w:cols>
          <w:pgMar w:left="320" w:top="1389"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Not Partnerships For U.S. Federal Income Tax Purposes)</w:t>
      </w:r>
    </w:p>
    <w:p>
      <w:pPr>
        <w:spacing w:after="0" w:line="22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July 29, 2022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Vericel Corporation, as Borrower, the other Loan Parties party thereto, JPMorgan Chase Bank, N.A., as Administrative Agent, and each lender from time to time party thereto.</w:t>
      </w:r>
    </w:p>
    <w:p>
      <w:pPr>
        <w:spacing w:after="0" w:line="211"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w:t>
      </w:r>
    </w:p>
    <w:p>
      <w:pPr>
        <w:spacing w:after="0" w:line="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(3)(A) of the Code, (iii) it is not a ten percent shareholder of the Borrower within the meaning of Section 871(h)(3)(B) of the Code, and (iv) it is not a controlled foreign corporation related to the Borrower as described in Section 881(c)(3)(C) of the Code.</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21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NAME OF PARTICIPANT</w:t>
      </w:r>
      <w:r>
        <w:rPr>
          <w:rFonts w:ascii="Times New Roman" w:cs="Times New Roman" w:eastAsia="Times New Roman" w:hAnsi="Times New Roman"/>
          <w:sz w:val="20"/>
          <w:szCs w:val="20"/>
          <w:b w:val="1"/>
          <w:bCs w:val="1"/>
          <w:u w:val="single" w:color="auto"/>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0"/>
          <w:szCs w:val="20"/>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240"/>
          </w:cols>
          <w:pgMar w:left="320" w:top="1394"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D-3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22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July 29, 2022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Vericel Corporation, as Borrower, the other Loan Parties party thereto, JPMorgan Chase Bank, N.A., as Administrative Agent, and each lender from time to time party thereto.</w:t>
      </w:r>
    </w:p>
    <w:p>
      <w:pPr>
        <w:spacing w:after="0" w:line="211"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3"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w:t>
      </w:r>
    </w:p>
    <w:p>
      <w:pPr>
        <w:spacing w:after="0" w:line="1" w:lineRule="exact"/>
        <w:rPr>
          <w:sz w:val="20"/>
          <w:szCs w:val="20"/>
          <w:color w:val="auto"/>
        </w:rPr>
      </w:pPr>
    </w:p>
    <w:p>
      <w:pPr>
        <w:jc w:val="both"/>
        <w:ind w:firstLine="7"/>
        <w:spacing w:after="0" w:line="246" w:lineRule="auto"/>
        <w:tabs>
          <w:tab w:leader="none" w:pos="324"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222"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NAME OF PARTICIPANT</w:t>
      </w:r>
      <w:r>
        <w:rPr>
          <w:rFonts w:ascii="Times New Roman" w:cs="Times New Roman" w:eastAsia="Times New Roman" w:hAnsi="Times New Roman"/>
          <w:sz w:val="20"/>
          <w:szCs w:val="20"/>
          <w:b w:val="1"/>
          <w:bCs w:val="1"/>
          <w:u w:val="single" w:color="auto"/>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0"/>
          <w:szCs w:val="20"/>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D-3-1</w:t>
      </w:r>
    </w:p>
    <w:p>
      <w:pPr>
        <w:sectPr>
          <w:pgSz w:w="11900" w:h="16838" w:orient="portrait"/>
          <w:cols w:equalWidth="0" w:num="1">
            <w:col w:w="11240"/>
          </w:cols>
          <w:pgMar w:left="320" w:top="1394"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Partnerships For U.S. Federal Income Tax Purposes)</w:t>
      </w:r>
    </w:p>
    <w:p>
      <w:pPr>
        <w:spacing w:after="0" w:line="215"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July 29, 2022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0"/>
          <w:szCs w:val="20"/>
          <w:color w:val="auto"/>
        </w:rPr>
        <w:t>”), among Vericel Corporation, as Borrower, the other Loan Parties party thereto, JPMorgan Chase Bank, N.A., as Administrative Agent, and each lender from time to time party thereto.</w:t>
      </w:r>
    </w:p>
    <w:p>
      <w:pPr>
        <w:spacing w:after="0" w:line="210"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0" w:lineRule="exact"/>
        <w:rPr>
          <w:sz w:val="20"/>
          <w:szCs w:val="20"/>
          <w:color w:val="auto"/>
        </w:rPr>
      </w:pPr>
    </w:p>
    <w:p>
      <w:pPr>
        <w:jc w:val="both"/>
        <w:ind w:firstLine="640"/>
        <w:spacing w:after="0" w:line="230" w:lineRule="exact"/>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IRS Form W</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prior to the first payment to be made to the undersigned, or in either of the two calendar years preceding such payments.</w:t>
      </w:r>
    </w:p>
    <w:p>
      <w:pPr>
        <w:spacing w:after="0" w:line="21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w:t>
      </w:r>
      <w:r>
        <w:rPr>
          <w:rFonts w:ascii="Times New Roman" w:cs="Times New Roman" w:eastAsia="Times New Roman" w:hAnsi="Times New Roman"/>
          <w:sz w:val="19"/>
          <w:szCs w:val="19"/>
          <w:color w:val="auto"/>
        </w:rPr>
        <w:t>NAME OF LENDER</w:t>
      </w:r>
      <w:r>
        <w:rPr>
          <w:rFonts w:ascii="Times New Roman" w:cs="Times New Roman" w:eastAsia="Times New Roman" w:hAnsi="Times New Roman"/>
          <w:sz w:val="25"/>
          <w:szCs w:val="25"/>
          <w:b w:val="1"/>
          <w:bCs w:val="1"/>
          <w:u w:val="single" w:color="auto"/>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w:t>
      </w:r>
    </w:p>
    <w:p>
      <w:pPr>
        <w:spacing w:after="0"/>
        <w:rPr>
          <w:sz w:val="20"/>
          <w:szCs w:val="20"/>
          <w:color w:val="auto"/>
        </w:rPr>
      </w:pPr>
      <w:r>
        <w:rPr>
          <w:rFonts w:ascii="Times New Roman" w:cs="Times New Roman" w:eastAsia="Times New Roman" w:hAnsi="Times New Roman"/>
          <w:sz w:val="20"/>
          <w:szCs w:val="20"/>
          <w:color w:val="auto"/>
        </w:rPr>
        <w:t>Title:________________________</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w:t>
      </w:r>
      <w:r>
        <w:rPr>
          <w:rFonts w:ascii="Times New Roman" w:cs="Times New Roman" w:eastAsia="Times New Roman" w:hAnsi="Times New Roman"/>
          <w:sz w:val="20"/>
          <w:szCs w:val="20"/>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D-4-1</w:t>
      </w:r>
    </w:p>
    <w:p>
      <w:pPr>
        <w:sectPr>
          <w:pgSz w:w="11900" w:h="16838" w:orient="portrait"/>
          <w:cols w:equalWidth="0" w:num="1">
            <w:col w:w="11240"/>
          </w:cols>
          <w:pgMar w:left="320" w:top="1389"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COMPLIANCE CERTIFICATE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Lenders party to the</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Credit Agreement described below+</w:t>
      </w:r>
    </w:p>
    <w:p>
      <w:pPr>
        <w:ind w:left="640"/>
        <w:spacing w:after="0"/>
        <w:rPr>
          <w:sz w:val="20"/>
          <w:szCs w:val="20"/>
          <w:color w:val="auto"/>
        </w:rPr>
      </w:pPr>
      <w:r>
        <w:rPr>
          <w:rFonts w:ascii="Times New Roman" w:cs="Times New Roman" w:eastAsia="Times New Roman" w:hAnsi="Times New Roman"/>
          <w:sz w:val="20"/>
          <w:szCs w:val="20"/>
          <w:color w:val="auto"/>
        </w:rPr>
        <w:t>This Compliance Certificate (this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0"/>
          <w:szCs w:val="20"/>
          <w:color w:val="auto"/>
        </w:rPr>
        <w:t xml:space="preserve">”), for the period ended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 is furnished pursuant to that certain Credit Agreement</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dated as of July 29, 2022 (as amended, modified, renewed or extended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19"/>
          <w:szCs w:val="19"/>
          <w:color w:val="auto"/>
        </w:rPr>
        <w:t>”) among Vericel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19"/>
          <w:szCs w:val="19"/>
          <w:color w:val="auto"/>
        </w:rPr>
        <w:t>”), the other Loan Parties party thereto, the Lenders party thereto and JPMorgan Chase Bank, N.A., as Administrative Agent for the</w:t>
      </w:r>
    </w:p>
    <w:p>
      <w:pPr>
        <w:spacing w:after="0" w:line="241" w:lineRule="auto"/>
        <w:rPr>
          <w:sz w:val="20"/>
          <w:szCs w:val="20"/>
          <w:color w:val="auto"/>
        </w:rPr>
      </w:pPr>
      <w:r>
        <w:rPr>
          <w:rFonts w:ascii="Times New Roman" w:cs="Times New Roman" w:eastAsia="Times New Roman" w:hAnsi="Times New Roman"/>
          <w:sz w:val="20"/>
          <w:szCs w:val="20"/>
          <w:color w:val="auto"/>
        </w:rPr>
        <w:t>Lenders and as the Issuing Bank and Swingline Lender. Unless otherwise defined herein, capitalized terms used in this Certificate have the meanings ascribed thereto in the Agreement.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HEREBY CERTIFIES THAT:</w:t>
      </w:r>
    </w:p>
    <w:p>
      <w:pPr>
        <w:spacing w:after="0" w:line="206" w:lineRule="exact"/>
        <w:rPr>
          <w:sz w:val="20"/>
          <w:szCs w:val="20"/>
          <w:color w:val="auto"/>
        </w:rPr>
      </w:pPr>
    </w:p>
    <w:p>
      <w:pPr>
        <w:ind w:left="200" w:hanging="193"/>
        <w:spacing w:after="0"/>
        <w:tabs>
          <w:tab w:leader="none" w:pos="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am the </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0"/>
          <w:szCs w:val="20"/>
          <w:color w:val="auto"/>
        </w:rPr>
        <w:t xml:space="preserve"> of the Borrower and I am authorized to deliver this Certificate on behalf of the Borrower and its Subsidiaries;</w:t>
      </w:r>
    </w:p>
    <w:p>
      <w:pPr>
        <w:spacing w:after="0" w:line="275" w:lineRule="exact"/>
        <w:rPr>
          <w:rFonts w:ascii="Times New Roman" w:cs="Times New Roman" w:eastAsia="Times New Roman" w:hAnsi="Times New Roman"/>
          <w:sz w:val="20"/>
          <w:szCs w:val="20"/>
          <w:color w:val="auto"/>
        </w:rPr>
      </w:pPr>
    </w:p>
    <w:p>
      <w:pPr>
        <w:jc w:val="both"/>
        <w:ind w:firstLine="7"/>
        <w:spacing w:after="0" w:line="246" w:lineRule="auto"/>
        <w:tabs>
          <w:tab w:leader="none" w:pos="213"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w:t>
      </w:r>
      <w:r>
        <w:rPr>
          <w:rFonts w:ascii="Times New Roman" w:cs="Times New Roman" w:eastAsia="Times New Roman" w:hAnsi="Times New Roman"/>
          <w:sz w:val="21"/>
          <w:szCs w:val="21"/>
          <w:u w:val="single" w:color="auto"/>
          <w:color w:val="auto"/>
        </w:rPr>
        <w:t>Relevant Period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
        <w:spacing w:after="0" w:line="262" w:lineRule="auto"/>
        <w:tabs>
          <w:tab w:leader="none" w:pos="20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attached financial statements of the Borrower and, as applicable, its Subsidiaries and/or Affiliates for the Relevant Period: (a) have been prepared on an accounting basis (the “</w:t>
      </w:r>
      <w:r>
        <w:rPr>
          <w:rFonts w:ascii="Times New Roman" w:cs="Times New Roman" w:eastAsia="Times New Roman" w:hAnsi="Times New Roman"/>
          <w:sz w:val="20"/>
          <w:szCs w:val="20"/>
          <w:u w:val="single" w:color="auto"/>
          <w:color w:val="auto"/>
        </w:rPr>
        <w:t>Accounting Method</w:t>
      </w:r>
      <w:r>
        <w:rPr>
          <w:rFonts w:ascii="Times New Roman" w:cs="Times New Roman" w:eastAsia="Times New Roman" w:hAnsi="Times New Roman"/>
          <w:sz w:val="19"/>
          <w:szCs w:val="19"/>
          <w:color w:val="auto"/>
        </w:rPr>
        <w:t>”)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194" w:lineRule="exact"/>
        <w:rPr>
          <w:rFonts w:ascii="Times New Roman" w:cs="Times New Roman" w:eastAsia="Times New Roman" w:hAnsi="Times New Roman"/>
          <w:sz w:val="19"/>
          <w:szCs w:val="19"/>
          <w:color w:val="auto"/>
        </w:rPr>
      </w:pPr>
    </w:p>
    <w:p>
      <w:pPr>
        <w:jc w:val="both"/>
        <w:ind w:firstLine="7"/>
        <w:spacing w:after="0" w:line="236" w:lineRule="auto"/>
        <w:tabs>
          <w:tab w:leader="none" w:pos="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Administrative Agent in connection with the closing of the Agreement or subsequently delivered as required in the Agreement;</w:t>
      </w:r>
    </w:p>
    <w:p>
      <w:pPr>
        <w:spacing w:after="0" w:line="230" w:lineRule="exact"/>
        <w:rPr>
          <w:rFonts w:ascii="Times New Roman" w:cs="Times New Roman" w:eastAsia="Times New Roman" w:hAnsi="Times New Roman"/>
          <w:sz w:val="20"/>
          <w:szCs w:val="20"/>
          <w:color w:val="auto"/>
        </w:rPr>
      </w:pPr>
    </w:p>
    <w:p>
      <w:pPr>
        <w:jc w:val="both"/>
        <w:ind w:firstLine="7"/>
        <w:spacing w:after="0" w:line="242" w:lineRule="auto"/>
        <w:tabs>
          <w:tab w:leader="none" w:pos="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the Security Agreement;</w:t>
      </w:r>
    </w:p>
    <w:p>
      <w:pPr>
        <w:spacing w:after="0" w:line="211" w:lineRule="exact"/>
        <w:rPr>
          <w:rFonts w:ascii="Times New Roman" w:cs="Times New Roman" w:eastAsia="Times New Roman" w:hAnsi="Times New Roman"/>
          <w:sz w:val="20"/>
          <w:szCs w:val="20"/>
          <w:color w:val="auto"/>
        </w:rPr>
      </w:pPr>
    </w:p>
    <w:p>
      <w:pPr>
        <w:jc w:val="both"/>
        <w:ind w:firstLine="7"/>
        <w:spacing w:after="0" w:line="249" w:lineRule="auto"/>
        <w:tabs>
          <w:tab w:leader="none" w:pos="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set forth in the Loan Documents are true and correct as of the date hereof, except to the extent that any such representation or warranty specifically refers to an earlier date, in which case it is true and correct only as of such earlier date;</w:t>
      </w:r>
    </w:p>
    <w:p>
      <w:pPr>
        <w:spacing w:after="0" w:line="186" w:lineRule="exact"/>
        <w:rPr>
          <w:rFonts w:ascii="Times New Roman" w:cs="Times New Roman" w:eastAsia="Times New Roman" w:hAnsi="Times New Roman"/>
          <w:sz w:val="20"/>
          <w:szCs w:val="20"/>
          <w:color w:val="auto"/>
        </w:rPr>
      </w:pPr>
    </w:p>
    <w:p>
      <w:pPr>
        <w:ind w:firstLine="7"/>
        <w:spacing w:after="0" w:line="255" w:lineRule="auto"/>
        <w:tabs>
          <w:tab w:leader="none" w:pos="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attached hereto sets forth financial data and computations evidencing the Borrower’s compliance with certain covenants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all of which data and computations are true, complete and correct;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1389" w:right="339" w:bottom="1440" w:gutter="0" w:footer="0" w:header="0"/>
        </w:sectPr>
      </w:pPr>
    </w:p>
    <w:bookmarkStart w:id="214" w:name="page215"/>
    <w:bookmarkEnd w:id="214"/>
    <w:p>
      <w:pPr>
        <w:ind w:firstLine="7"/>
        <w:spacing w:after="0" w:line="282" w:lineRule="auto"/>
        <w:tabs>
          <w:tab w:leader="none" w:pos="24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hereto sets forth the computations necessary to determine the Applicable Rate commencing on the Business Day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Certificate is delivered.</w:t>
      </w:r>
    </w:p>
    <w:p>
      <w:pPr>
        <w:spacing w:after="0" w:line="158"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0"/>
          <w:szCs w:val="20"/>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197" w:lineRule="exact"/>
        <w:rPr>
          <w:sz w:val="20"/>
          <w:szCs w:val="20"/>
          <w:color w:val="auto"/>
        </w:rPr>
      </w:pPr>
    </w:p>
    <w:p>
      <w:pPr>
        <w:jc w:val="both"/>
        <w:ind w:right="20" w:firstLine="640"/>
        <w:spacing w:after="0" w:line="268" w:lineRule="auto"/>
        <w:rPr>
          <w:sz w:val="20"/>
          <w:szCs w:val="20"/>
          <w:color w:val="auto"/>
        </w:rPr>
      </w:pPr>
      <w:r>
        <w:rPr>
          <w:rFonts w:ascii="Times New Roman" w:cs="Times New Roman" w:eastAsia="Times New Roman" w:hAnsi="Times New Roman"/>
          <w:sz w:val="20"/>
          <w:szCs w:val="20"/>
          <w:color w:val="auto"/>
        </w:rPr>
        <w:t xml:space="preserve">The foregoing certifications, together with the computations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0"/>
          <w:szCs w:val="20"/>
          <w:color w:val="auto"/>
        </w:rPr>
        <w:t xml:space="preserve"> hereto and the financial statements delivered with this Certificate in support hereof, are made and delivered this day of , .</w:t>
      </w:r>
    </w:p>
    <w:p>
      <w:pPr>
        <w:spacing w:after="0" w:line="18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w:t>
      </w:r>
    </w:p>
    <w:p>
      <w:pPr>
        <w:ind w:left="3840"/>
        <w:spacing w:after="0" w:line="228"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40"/>
          </w:cols>
          <w:pgMar w:left="320" w:top="1393" w:right="33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20"/>
          <w:szCs w:val="20"/>
          <w:color w:val="auto"/>
        </w:rPr>
        <w:t>Schedule I to Compliance Certificate</w:t>
      </w: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 xml:space="preserve">Compliance as of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with</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Provisions of Section 6.12 of the Agreement</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The computations set forth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are designed to facilitate the calculation of financial covenants and certain other provisions in the Agreement relating to the information set forth in the Borrower’s consolidated financial statements delivered with this Certificate. The computations set forth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have been made in accordance with GAAP. The use of abbreviated terminology and/or descriptions in the computations below are not in any way intended to override or eliminate the more detailed descriptions for such computations set forth in the relevant provisions of the Agreement, all of which shall be deemed to control. In addition, the failure to identify any specific provisions or terms of the Agreement in this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does not in any way affect their applicability during the periods covered by such financial statements or otherwise, which shall in all cases be governed by the Agreement.</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Consolidated EBITDA for the most recently ended 4 fiscal quarters</w:t>
            </w:r>
          </w:p>
        </w:tc>
        <w:tc>
          <w:tcPr>
            <w:tcW w:w="2720" w:type="dxa"/>
            <w:vAlign w:val="bottom"/>
          </w:tcPr>
          <w:p>
            <w:pPr>
              <w:spacing w:after="0"/>
              <w:rPr>
                <w:sz w:val="20"/>
                <w:szCs w:val="20"/>
                <w:color w:val="auto"/>
              </w:rPr>
            </w:pPr>
          </w:p>
        </w:tc>
      </w:tr>
      <w:tr>
        <w:trPr>
          <w:trHeight w:val="57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With reference to any period:</w:t>
            </w:r>
          </w:p>
        </w:tc>
        <w:tc>
          <w:tcPr>
            <w:tcW w:w="2720" w:type="dxa"/>
            <w:vAlign w:val="bottom"/>
          </w:tcPr>
          <w:p>
            <w:pPr>
              <w:spacing w:after="0"/>
              <w:rPr>
                <w:sz w:val="24"/>
                <w:szCs w:val="24"/>
                <w:color w:val="auto"/>
              </w:rPr>
            </w:pPr>
          </w:p>
        </w:tc>
      </w:tr>
      <w:tr>
        <w:trPr>
          <w:trHeight w:val="56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 Consolidated Net Income for such period</w:t>
            </w:r>
          </w:p>
        </w:tc>
        <w:tc>
          <w:tcPr>
            <w:tcW w:w="2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$____________</w:t>
            </w:r>
          </w:p>
        </w:tc>
      </w:tr>
      <w:tr>
        <w:trPr>
          <w:trHeight w:val="51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plus, without duplication and to the extent deducted in determining</w:t>
            </w:r>
          </w:p>
        </w:tc>
        <w:tc>
          <w:tcPr>
            <w:tcW w:w="27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72"/>
        </w:trPr>
        <w:tc>
          <w:tcPr>
            <w:tcW w:w="980" w:type="dxa"/>
            <w:vAlign w:val="bottom"/>
          </w:tcPr>
          <w:p>
            <w:pPr>
              <w:spacing w:after="0"/>
              <w:rPr>
                <w:sz w:val="23"/>
                <w:szCs w:val="23"/>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Consolidated Net Income,</w:t>
            </w:r>
          </w:p>
        </w:tc>
        <w:tc>
          <w:tcPr>
            <w:tcW w:w="2720" w:type="dxa"/>
            <w:vAlign w:val="bottom"/>
          </w:tcPr>
          <w:p>
            <w:pPr>
              <w:spacing w:after="0"/>
              <w:rPr>
                <w:sz w:val="23"/>
                <w:szCs w:val="23"/>
                <w:color w:val="auto"/>
              </w:rPr>
            </w:pPr>
          </w:p>
        </w:tc>
      </w:tr>
      <w:tr>
        <w:trPr>
          <w:trHeight w:val="56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(ii) Consolidated Interest Expense for such period</w:t>
            </w:r>
          </w:p>
        </w:tc>
        <w:tc>
          <w:tcPr>
            <w:tcW w:w="2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522"/>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(iii) income tax expense for such period net of tax refunds for such</w:t>
            </w:r>
          </w:p>
        </w:tc>
        <w:tc>
          <w:tcPr>
            <w:tcW w:w="2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278"/>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period</w:t>
            </w:r>
          </w:p>
        </w:tc>
        <w:tc>
          <w:tcPr>
            <w:tcW w:w="2720" w:type="dxa"/>
            <w:vAlign w:val="bottom"/>
          </w:tcPr>
          <w:p>
            <w:pPr>
              <w:spacing w:after="0"/>
              <w:rPr>
                <w:sz w:val="24"/>
                <w:szCs w:val="24"/>
                <w:color w:val="auto"/>
              </w:rPr>
            </w:pPr>
          </w:p>
        </w:tc>
      </w:tr>
      <w:tr>
        <w:trPr>
          <w:trHeight w:val="56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(iv) depreciation for such period</w:t>
            </w:r>
          </w:p>
        </w:tc>
        <w:tc>
          <w:tcPr>
            <w:tcW w:w="2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560"/>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(v) amortization for such period</w:t>
            </w:r>
          </w:p>
        </w:tc>
        <w:tc>
          <w:tcPr>
            <w:tcW w:w="2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522"/>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 xml:space="preserve">(vi) any </w:t>
            </w:r>
            <w:r>
              <w:rPr>
                <w:rFonts w:ascii="Times New Roman" w:cs="Times New Roman" w:eastAsia="Times New Roman" w:hAnsi="Times New Roman"/>
                <w:sz w:val="19"/>
                <w:szCs w:val="19"/>
                <w:color w:val="auto"/>
              </w:rPr>
              <w:t>unusual or non-recurring</w:t>
            </w:r>
            <w:r>
              <w:rPr>
                <w:rFonts w:ascii="Times New Roman" w:cs="Times New Roman" w:eastAsia="Times New Roman" w:hAnsi="Times New Roman"/>
                <w:sz w:val="21"/>
                <w:szCs w:val="21"/>
                <w:color w:val="auto"/>
              </w:rPr>
              <w:t xml:space="preserve"> non-cash charges for such period (but</w:t>
            </w:r>
          </w:p>
        </w:tc>
        <w:tc>
          <w:tcPr>
            <w:tcW w:w="2720" w:type="dxa"/>
            <w:vAlign w:val="bottom"/>
          </w:tcPr>
          <w:p>
            <w:pPr>
              <w:spacing w:after="0"/>
              <w:rPr>
                <w:sz w:val="24"/>
                <w:szCs w:val="24"/>
                <w:color w:val="auto"/>
              </w:rPr>
            </w:pPr>
          </w:p>
        </w:tc>
      </w:tr>
      <w:tr>
        <w:trPr>
          <w:trHeight w:val="240"/>
        </w:trPr>
        <w:tc>
          <w:tcPr>
            <w:tcW w:w="980" w:type="dxa"/>
            <w:vAlign w:val="bottom"/>
          </w:tcPr>
          <w:p>
            <w:pPr>
              <w:spacing w:after="0"/>
              <w:rPr>
                <w:sz w:val="20"/>
                <w:szCs w:val="20"/>
                <w:color w:val="auto"/>
              </w:rPr>
            </w:pPr>
          </w:p>
        </w:tc>
        <w:tc>
          <w:tcPr>
            <w:tcW w:w="7360" w:type="dxa"/>
            <w:vAlign w:val="bottom"/>
            <w:gridSpan w:val="2"/>
          </w:tcPr>
          <w:p>
            <w:pPr>
              <w:spacing w:after="0" w:line="240" w:lineRule="exact"/>
              <w:rPr>
                <w:sz w:val="20"/>
                <w:szCs w:val="20"/>
                <w:color w:val="auto"/>
              </w:rPr>
            </w:pPr>
            <w:r>
              <w:rPr>
                <w:rFonts w:ascii="Times New Roman" w:cs="Times New Roman" w:eastAsia="Times New Roman" w:hAnsi="Times New Roman"/>
                <w:sz w:val="21"/>
                <w:szCs w:val="21"/>
                <w:color w:val="auto"/>
              </w:rPr>
              <w:t>excluding any non-cash charge in respect of an item that was included in</w:t>
            </w:r>
          </w:p>
        </w:tc>
        <w:tc>
          <w:tcPr>
            <w:tcW w:w="2720" w:type="dxa"/>
            <w:vAlign w:val="bottom"/>
          </w:tcPr>
          <w:p>
            <w:pPr>
              <w:jc w:val="right"/>
              <w:spacing w:after="0" w:line="240" w:lineRule="exact"/>
              <w:rPr>
                <w:sz w:val="20"/>
                <w:szCs w:val="20"/>
                <w:color w:val="auto"/>
              </w:rPr>
            </w:pPr>
            <w:r>
              <w:rPr>
                <w:rFonts w:ascii="Times New Roman" w:cs="Times New Roman" w:eastAsia="Times New Roman" w:hAnsi="Times New Roman"/>
                <w:sz w:val="21"/>
                <w:szCs w:val="21"/>
                <w:color w:val="auto"/>
              </w:rPr>
              <w:t>+ $____________</w:t>
            </w:r>
          </w:p>
        </w:tc>
      </w:tr>
      <w:tr>
        <w:trPr>
          <w:trHeight w:val="278"/>
        </w:trPr>
        <w:tc>
          <w:tcPr>
            <w:tcW w:w="98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Consolidated Net Income in a prior period)</w:t>
            </w:r>
          </w:p>
        </w:tc>
        <w:tc>
          <w:tcPr>
            <w:tcW w:w="2720" w:type="dxa"/>
            <w:vAlign w:val="bottom"/>
          </w:tcPr>
          <w:p>
            <w:pPr>
              <w:spacing w:after="0"/>
              <w:rPr>
                <w:sz w:val="24"/>
                <w:szCs w:val="24"/>
                <w:color w:val="auto"/>
              </w:rPr>
            </w:pPr>
          </w:p>
        </w:tc>
      </w:tr>
    </w:tbl>
    <w:p>
      <w:pPr>
        <w:sectPr>
          <w:pgSz w:w="11900" w:h="16838" w:orient="portrait"/>
          <w:cols w:equalWidth="0" w:num="1">
            <w:col w:w="11240"/>
          </w:cols>
          <w:pgMar w:left="320" w:top="1398" w:right="339" w:bottom="1440" w:gutter="0" w:footer="0" w:header="0"/>
        </w:sectPr>
      </w:pPr>
    </w:p>
    <w:bookmarkStart w:id="216" w:name="page217"/>
    <w:bookmarkEnd w:id="216"/>
    <w:p>
      <w:pPr>
        <w:spacing w:after="0" w:line="6" w:lineRule="exact"/>
        <w:rPr>
          <w:sz w:val="20"/>
          <w:szCs w:val="20"/>
          <w:color w:val="auto"/>
        </w:rPr>
      </w:pPr>
    </w:p>
    <w:tbl>
      <w:tblPr>
        <w:tblLayout w:type="fixed"/>
        <w:tblInd w:w="976" w:type="dxa"/>
        <w:tblCellMar>
          <w:top w:w="0" w:type="dxa"/>
          <w:left w:w="0" w:type="dxa"/>
          <w:bottom w:w="0" w:type="dxa"/>
          <w:right w:w="0" w:type="dxa"/>
        </w:tblCellMar>
      </w:tblPr>
      <w:tr>
        <w:trPr>
          <w:trHeight w:val="241"/>
        </w:trPr>
        <w:tc>
          <w:tcPr>
            <w:tcW w:w="74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(vii) any non-recurring fees, cash charges and other cash expenses made</w:t>
            </w:r>
          </w:p>
        </w:tc>
        <w:tc>
          <w:tcPr>
            <w:tcW w:w="2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or incurred during such period in connection with (A) the Transactions</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that are paid or otherwise accounted for within 30 days of the Effective</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Date in an aggregate amount not to exceed $1,500,000 and (B)</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amendments, waivers or other modifications in respect of the Loan</w:t>
            </w:r>
          </w:p>
        </w:tc>
        <w:tc>
          <w:tcPr>
            <w:tcW w:w="2680" w:type="dxa"/>
            <w:vAlign w:val="bottom"/>
          </w:tcPr>
          <w:p>
            <w:pPr>
              <w:spacing w:after="0"/>
              <w:rPr>
                <w:sz w:val="20"/>
                <w:szCs w:val="20"/>
                <w:color w:val="auto"/>
              </w:rPr>
            </w:pPr>
          </w:p>
        </w:tc>
      </w:tr>
      <w:tr>
        <w:trPr>
          <w:trHeight w:val="278"/>
        </w:trPr>
        <w:tc>
          <w:tcPr>
            <w:tcW w:w="74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Documents or the Transactions</w:t>
            </w:r>
          </w:p>
        </w:tc>
        <w:tc>
          <w:tcPr>
            <w:tcW w:w="2680" w:type="dxa"/>
            <w:vAlign w:val="bottom"/>
          </w:tcPr>
          <w:p>
            <w:pPr>
              <w:spacing w:after="0"/>
              <w:rPr>
                <w:sz w:val="24"/>
                <w:szCs w:val="24"/>
                <w:color w:val="auto"/>
              </w:rPr>
            </w:pPr>
          </w:p>
        </w:tc>
      </w:tr>
      <w:tr>
        <w:trPr>
          <w:trHeight w:val="509"/>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(viii) </w:t>
            </w:r>
            <w:r>
              <w:rPr>
                <w:rFonts w:ascii="Times New Roman" w:cs="Times New Roman" w:eastAsia="Times New Roman" w:hAnsi="Times New Roman"/>
                <w:sz w:val="21"/>
                <w:szCs w:val="21"/>
                <w:color w:val="auto"/>
              </w:rPr>
              <w:t>the amount of “run rate” cost savings, operating expense reductions,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and expenses and cost synergies related to the Transactions, any</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Permitted Acquisitions, any restructurings, business optimizations, cost</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savings initiatives and other initiatives occurring after the Effective Date</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(without duplication of any amounts added back pursuant to Section 1.05</w:t>
            </w:r>
          </w:p>
        </w:tc>
        <w:tc>
          <w:tcPr>
            <w:tcW w:w="2680" w:type="dxa"/>
            <w:vAlign w:val="bottom"/>
          </w:tcPr>
          <w:p>
            <w:pPr>
              <w:spacing w:after="0"/>
              <w:rPr>
                <w:sz w:val="20"/>
                <w:szCs w:val="20"/>
                <w:color w:val="auto"/>
              </w:rPr>
            </w:pPr>
          </w:p>
        </w:tc>
      </w:tr>
      <w:tr>
        <w:trPr>
          <w:trHeight w:val="227"/>
        </w:trPr>
        <w:tc>
          <w:tcPr>
            <w:tcW w:w="7400" w:type="dxa"/>
            <w:vAlign w:val="bottom"/>
            <w:gridSpan w:val="3"/>
          </w:tcPr>
          <w:p>
            <w:pPr>
              <w:spacing w:after="0" w:line="227" w:lineRule="exact"/>
              <w:rPr>
                <w:sz w:val="20"/>
                <w:szCs w:val="20"/>
                <w:color w:val="auto"/>
              </w:rPr>
            </w:pPr>
            <w:r>
              <w:rPr>
                <w:rFonts w:ascii="Times New Roman" w:cs="Times New Roman" w:eastAsia="Times New Roman" w:hAnsi="Times New Roman"/>
                <w:sz w:val="21"/>
                <w:szCs w:val="21"/>
                <w:color w:val="auto"/>
              </w:rPr>
              <w:t>of the Credit Agreement in connection with any such transaction) and</w:t>
            </w:r>
          </w:p>
        </w:tc>
        <w:tc>
          <w:tcPr>
            <w:tcW w:w="2680" w:type="dxa"/>
            <w:vAlign w:val="bottom"/>
          </w:tcPr>
          <w:p>
            <w:pPr>
              <w:spacing w:after="0"/>
              <w:rPr>
                <w:sz w:val="19"/>
                <w:szCs w:val="19"/>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 xml:space="preserve">projected by the Borrower in good faith to </w:t>
            </w:r>
            <w:r>
              <w:rPr>
                <w:rFonts w:ascii="Times New Roman" w:cs="Times New Roman" w:eastAsia="Times New Roman" w:hAnsi="Times New Roman"/>
                <w:sz w:val="19"/>
                <w:szCs w:val="19"/>
                <w:color w:val="auto"/>
              </w:rPr>
              <w:t>be realized</w:t>
            </w:r>
            <w:r>
              <w:rPr>
                <w:rFonts w:ascii="Times New Roman" w:cs="Times New Roman" w:eastAsia="Times New Roman" w:hAnsi="Times New Roman"/>
                <w:sz w:val="21"/>
                <w:szCs w:val="21"/>
                <w:color w:val="auto"/>
              </w:rPr>
              <w:t xml:space="preserve"> within eighteen</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 xml:space="preserve">(18) months after such transaction or initiative is consummated </w:t>
            </w:r>
            <w:r>
              <w:rPr>
                <w:rFonts w:ascii="Times New Roman" w:cs="Times New Roman" w:eastAsia="Times New Roman" w:hAnsi="Times New Roman"/>
                <w:sz w:val="19"/>
                <w:szCs w:val="19"/>
                <w:color w:val="auto"/>
              </w:rPr>
              <w:t>as a result</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auto"/>
              </w:rPr>
              <w:t xml:space="preserve">of specified actions taken or committed to be taken </w:t>
            </w:r>
            <w:r>
              <w:rPr>
                <w:rFonts w:ascii="Times New Roman" w:cs="Times New Roman" w:eastAsia="Times New Roman" w:hAnsi="Times New Roman"/>
                <w:sz w:val="21"/>
                <w:szCs w:val="21"/>
                <w:color w:val="auto"/>
              </w:rPr>
              <w:t>(which “run rate” cost</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savings, operating expense reductions and expenses and cost synergies</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shall be calculated on a pro forma basis as though such “run rate” cost</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savings, restructuring charges and expenses, operating expense</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reductions and expenses and synergies had been realized on the first day</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of the period for which Consolidated EBITDA is being determined), net</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of the amount of actual benefits realized during such period from such</w:t>
            </w:r>
          </w:p>
        </w:tc>
        <w:tc>
          <w:tcPr>
            <w:tcW w:w="2680" w:type="dxa"/>
            <w:vAlign w:val="bottom"/>
          </w:tcPr>
          <w:p>
            <w:pPr>
              <w:spacing w:after="0"/>
              <w:rPr>
                <w:sz w:val="20"/>
                <w:szCs w:val="20"/>
                <w:color w:val="auto"/>
              </w:rPr>
            </w:pPr>
          </w:p>
        </w:tc>
      </w:tr>
      <w:tr>
        <w:trPr>
          <w:trHeight w:val="228"/>
        </w:trPr>
        <w:tc>
          <w:tcPr>
            <w:tcW w:w="7400" w:type="dxa"/>
            <w:vAlign w:val="bottom"/>
            <w:gridSpan w:val="3"/>
          </w:tcPr>
          <w:p>
            <w:pPr>
              <w:spacing w:after="0" w:line="228" w:lineRule="exact"/>
              <w:rPr>
                <w:sz w:val="20"/>
                <w:szCs w:val="20"/>
                <w:color w:val="auto"/>
              </w:rPr>
            </w:pPr>
            <w:r>
              <w:rPr>
                <w:rFonts w:ascii="Times New Roman" w:cs="Times New Roman" w:eastAsia="Times New Roman" w:hAnsi="Times New Roman"/>
                <w:sz w:val="21"/>
                <w:szCs w:val="21"/>
                <w:color w:val="auto"/>
              </w:rPr>
              <w:t>actions; provided that such “run rate” cost savings, restructuring charges</w:t>
            </w:r>
          </w:p>
        </w:tc>
        <w:tc>
          <w:tcPr>
            <w:tcW w:w="268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19"/>
        </w:trPr>
        <w:tc>
          <w:tcPr>
            <w:tcW w:w="7400" w:type="dxa"/>
            <w:vAlign w:val="bottom"/>
            <w:gridSpan w:val="3"/>
          </w:tcPr>
          <w:p>
            <w:pPr>
              <w:spacing w:after="0" w:line="220" w:lineRule="exact"/>
              <w:rPr>
                <w:sz w:val="20"/>
                <w:szCs w:val="20"/>
                <w:color w:val="auto"/>
              </w:rPr>
            </w:pPr>
            <w:r>
              <w:rPr>
                <w:rFonts w:ascii="Times New Roman" w:cs="Times New Roman" w:eastAsia="Times New Roman" w:hAnsi="Times New Roman"/>
                <w:sz w:val="21"/>
                <w:szCs w:val="21"/>
                <w:color w:val="auto"/>
              </w:rPr>
              <w:t>and expenses, operating expense reductions and expenses and synergies</w:t>
            </w:r>
          </w:p>
        </w:tc>
        <w:tc>
          <w:tcPr>
            <w:tcW w:w="2680" w:type="dxa"/>
            <w:vAlign w:val="bottom"/>
          </w:tcPr>
          <w:p>
            <w:pPr>
              <w:spacing w:after="0"/>
              <w:rPr>
                <w:sz w:val="19"/>
                <w:szCs w:val="19"/>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auto"/>
              </w:rPr>
              <w:t xml:space="preserve">are reasonably quantifiable and factually supportable </w:t>
            </w:r>
            <w:r>
              <w:rPr>
                <w:rFonts w:ascii="Times New Roman" w:cs="Times New Roman" w:eastAsia="Times New Roman" w:hAnsi="Times New Roman"/>
                <w:sz w:val="21"/>
                <w:szCs w:val="21"/>
                <w:color w:val="auto"/>
              </w:rPr>
              <w:t>(in the good faith</w:t>
            </w:r>
          </w:p>
        </w:tc>
        <w:tc>
          <w:tcPr>
            <w:tcW w:w="2680" w:type="dxa"/>
            <w:vAlign w:val="bottom"/>
          </w:tcPr>
          <w:p>
            <w:pPr>
              <w:spacing w:after="0"/>
              <w:rPr>
                <w:sz w:val="20"/>
                <w:szCs w:val="20"/>
                <w:color w:val="auto"/>
              </w:rPr>
            </w:pPr>
          </w:p>
        </w:tc>
      </w:tr>
      <w:tr>
        <w:trPr>
          <w:trHeight w:val="240"/>
        </w:trPr>
        <w:tc>
          <w:tcPr>
            <w:tcW w:w="7400" w:type="dxa"/>
            <w:vAlign w:val="bottom"/>
            <w:gridSpan w:val="3"/>
          </w:tcPr>
          <w:p>
            <w:pPr>
              <w:spacing w:after="0" w:line="240" w:lineRule="exact"/>
              <w:rPr>
                <w:sz w:val="20"/>
                <w:szCs w:val="20"/>
                <w:color w:val="auto"/>
              </w:rPr>
            </w:pPr>
            <w:r>
              <w:rPr>
                <w:rFonts w:ascii="Times New Roman" w:cs="Times New Roman" w:eastAsia="Times New Roman" w:hAnsi="Times New Roman"/>
                <w:sz w:val="21"/>
                <w:szCs w:val="21"/>
                <w:color w:val="auto"/>
              </w:rPr>
              <w:t>determination of the Borrower), reasonably attributable to the actions</w:t>
            </w:r>
          </w:p>
        </w:tc>
        <w:tc>
          <w:tcPr>
            <w:tcW w:w="2680" w:type="dxa"/>
            <w:vAlign w:val="bottom"/>
          </w:tcPr>
          <w:p>
            <w:pPr>
              <w:spacing w:after="0"/>
              <w:rPr>
                <w:sz w:val="20"/>
                <w:szCs w:val="20"/>
                <w:color w:val="auto"/>
              </w:rPr>
            </w:pPr>
          </w:p>
        </w:tc>
      </w:tr>
      <w:tr>
        <w:trPr>
          <w:trHeight w:val="375"/>
        </w:trPr>
        <w:tc>
          <w:tcPr>
            <w:tcW w:w="74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 xml:space="preserve">specified and reasonably anticipated to result from such actions </w:t>
            </w:r>
            <w:r>
              <w:rPr>
                <w:rFonts w:ascii="Times New Roman" w:cs="Times New Roman" w:eastAsia="Times New Roman" w:hAnsi="Times New Roman"/>
                <w:sz w:val="27"/>
                <w:szCs w:val="27"/>
                <w:color w:val="auto"/>
                <w:vertAlign w:val="superscript"/>
              </w:rPr>
              <w:t>9</w:t>
            </w:r>
          </w:p>
        </w:tc>
        <w:tc>
          <w:tcPr>
            <w:tcW w:w="2680" w:type="dxa"/>
            <w:vAlign w:val="bottom"/>
          </w:tcPr>
          <w:p>
            <w:pPr>
              <w:spacing w:after="0"/>
              <w:rPr>
                <w:sz w:val="24"/>
                <w:szCs w:val="24"/>
                <w:color w:val="auto"/>
              </w:rPr>
            </w:pPr>
          </w:p>
        </w:tc>
      </w:tr>
      <w:tr>
        <w:trPr>
          <w:trHeight w:val="426"/>
        </w:trPr>
        <w:tc>
          <w:tcPr>
            <w:tcW w:w="74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(ix) fees and expenses paid to the Borrower’s board of directors in the</w:t>
            </w:r>
          </w:p>
        </w:tc>
        <w:tc>
          <w:tcPr>
            <w:tcW w:w="2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r>
      <w:tr>
        <w:trPr>
          <w:trHeight w:val="278"/>
        </w:trPr>
        <w:tc>
          <w:tcPr>
            <w:tcW w:w="74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ordinary course of business</w:t>
            </w:r>
          </w:p>
        </w:tc>
        <w:tc>
          <w:tcPr>
            <w:tcW w:w="2680" w:type="dxa"/>
            <w:vAlign w:val="bottom"/>
          </w:tcPr>
          <w:p>
            <w:pPr>
              <w:spacing w:after="0"/>
              <w:rPr>
                <w:sz w:val="24"/>
                <w:szCs w:val="24"/>
                <w:color w:val="auto"/>
              </w:rPr>
            </w:pPr>
          </w:p>
        </w:tc>
      </w:tr>
    </w:tbl>
    <w:p>
      <w:pPr>
        <w:spacing w:after="0" w:line="29" w:lineRule="exact"/>
        <w:rPr>
          <w:sz w:val="20"/>
          <w:szCs w:val="20"/>
          <w:color w:val="auto"/>
        </w:rPr>
      </w:pPr>
    </w:p>
    <w:p>
      <w:pPr>
        <w:ind w:left="-4" w:right="100" w:firstLine="4"/>
        <w:spacing w:after="0" w:line="197" w:lineRule="auto"/>
        <w:tabs>
          <w:tab w:leader="none" w:pos="109" w:val="left"/>
        </w:tabs>
        <w:numPr>
          <w:ilvl w:val="0"/>
          <w:numId w:val="219"/>
        </w:numPr>
        <w:rPr>
          <w:rFonts w:ascii="Arial" w:cs="Arial" w:eastAsia="Arial" w:hAnsi="Arial"/>
          <w:sz w:val="23"/>
          <w:szCs w:val="23"/>
          <w:color w:val="auto"/>
          <w:vertAlign w:val="superscript"/>
        </w:rPr>
      </w:pPr>
      <w:r>
        <w:rPr>
          <w:rFonts w:ascii="Times New Roman" w:cs="Times New Roman" w:eastAsia="Times New Roman" w:hAnsi="Times New Roman"/>
          <w:sz w:val="16"/>
          <w:szCs w:val="16"/>
          <w:color w:val="auto"/>
        </w:rPr>
        <w:t>The aggregate of all amounts added-back to Consolidated EBITDA pursuant to clauses A.(viii), A.(xv) or A.(xvi) during any period, shall not exceed an amount equal to 30% of Consolidated EBITDA for such period (calculated before giving effect to any such add-backs).</w:t>
      </w:r>
    </w:p>
    <w:p>
      <w:pPr>
        <w:sectPr>
          <w:pgSz w:w="11900" w:h="16838" w:orient="portrait"/>
          <w:cols w:equalWidth="0" w:num="1">
            <w:col w:w="11056"/>
          </w:cols>
          <w:pgMar w:left="344" w:top="1440" w:right="499" w:bottom="1440" w:gutter="0" w:footer="0" w:header="0"/>
        </w:sectPr>
      </w:pPr>
    </w:p>
    <w:bookmarkStart w:id="217" w:name="page218"/>
    <w:bookmarkEnd w:id="217"/>
    <w:p>
      <w:pPr>
        <w:spacing w:after="0" w:line="278" w:lineRule="exact"/>
        <w:rPr>
          <w:sz w:val="20"/>
          <w:szCs w:val="20"/>
          <w:color w:val="auto"/>
        </w:rPr>
      </w:pPr>
    </w:p>
    <w:p>
      <w:pPr>
        <w:ind w:left="2" w:right="1875" w:hanging="2"/>
        <w:spacing w:after="0" w:line="236" w:lineRule="auto"/>
        <w:tabs>
          <w:tab w:leader="none" w:pos="27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made in respect of stock-based compensation, including any non-cash expenses arising from grants of stock appreciation rights, stock options or restricted stock to employees, officers, directors and consultants of the Loan Parties</w:t>
      </w:r>
    </w:p>
    <w:p>
      <w:pPr>
        <w:spacing w:after="0" w:line="296" w:lineRule="exact"/>
        <w:rPr>
          <w:rFonts w:ascii="Times New Roman" w:cs="Times New Roman" w:eastAsia="Times New Roman" w:hAnsi="Times New Roman"/>
          <w:sz w:val="20"/>
          <w:szCs w:val="20"/>
          <w:color w:val="auto"/>
        </w:rPr>
      </w:pPr>
    </w:p>
    <w:p>
      <w:pPr>
        <w:ind w:left="2" w:right="1575" w:hanging="2"/>
        <w:spacing w:after="0" w:line="234" w:lineRule="auto"/>
        <w:tabs>
          <w:tab w:leader="none" w:pos="33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losses or reasonable and documented expenses (or minus non-cash income or gain), including non-cash adjustments resulting from the application of purchase accounting, non-cash impairment of goodwill and other long term intangible assets, unrealized non-cash losses (or minus unrealized non-cash gains) under Swap Agreements, unrealized non-cash losses (or minus unrealized non-cash gains) in such period due solely to fluctuations in currency values</w:t>
      </w:r>
    </w:p>
    <w:p>
      <w:pPr>
        <w:spacing w:after="0" w:line="285" w:lineRule="exact"/>
        <w:rPr>
          <w:rFonts w:ascii="Times New Roman" w:cs="Times New Roman" w:eastAsia="Times New Roman" w:hAnsi="Times New Roman"/>
          <w:sz w:val="20"/>
          <w:szCs w:val="20"/>
          <w:color w:val="auto"/>
        </w:rPr>
      </w:pPr>
    </w:p>
    <w:p>
      <w:pPr>
        <w:ind w:left="2" w:right="1635" w:hanging="2"/>
        <w:spacing w:after="0" w:line="268" w:lineRule="auto"/>
        <w:tabs>
          <w:tab w:leader="none" w:pos="38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charges, expenses, items and losses related to the non-cash effects of purchase accounting or similar adjustments required or permitted by GAAP or change in accounting principles during such period to the extent included in net income including the effect of harmonizing accounting policies and principles of targets of any Acquisition and their subsidiaries</w:t>
      </w:r>
    </w:p>
    <w:p>
      <w:pPr>
        <w:spacing w:after="0" w:line="258" w:lineRule="exact"/>
        <w:rPr>
          <w:rFonts w:ascii="Times New Roman" w:cs="Times New Roman" w:eastAsia="Times New Roman" w:hAnsi="Times New Roman"/>
          <w:sz w:val="18"/>
          <w:szCs w:val="18"/>
          <w:color w:val="auto"/>
        </w:rPr>
      </w:pPr>
    </w:p>
    <w:p>
      <w:pPr>
        <w:ind w:left="2" w:right="1555" w:hanging="2"/>
        <w:spacing w:after="0" w:line="260" w:lineRule="auto"/>
        <w:tabs>
          <w:tab w:leader="none" w:pos="44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relating to, or incurred in connection with (i) Acquisitions and Investments permitted hereunder, (ii) proposed or consummated recapitalizations, or issuances or repurchases or the payment of, or amendments, waivers, consents or modifications or refinancings of, any Indebtedness or issuances of Equity Interests, (iii) any transaction fees, costs or expenses paid or payable to Agent, agents, arrangers, lenders, investors, holders or secured parties under the Loan Documents or any other Indebtedness permitted under the Loan Documents or (iv) a proposed Disposition not in the ordinary course of business and permitted under the Credit Agreement</w:t>
      </w:r>
    </w:p>
    <w:p>
      <w:pPr>
        <w:spacing w:after="0" w:line="276" w:lineRule="exact"/>
        <w:rPr>
          <w:rFonts w:ascii="Times New Roman" w:cs="Times New Roman" w:eastAsia="Times New Roman" w:hAnsi="Times New Roman"/>
          <w:sz w:val="18"/>
          <w:szCs w:val="18"/>
          <w:color w:val="auto"/>
        </w:rPr>
      </w:pPr>
    </w:p>
    <w:p>
      <w:pPr>
        <w:ind w:left="2" w:right="1555" w:hanging="2"/>
        <w:spacing w:after="0" w:line="234" w:lineRule="auto"/>
        <w:tabs>
          <w:tab w:leader="none" w:pos="431"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charges, expenses, accruals or reserves incurred or accrued during such period relating to out-of-pocket legal, expert and consulting fees and expenses and all other liabilities (including all damages, fines, judgments, penalties and indemnification and settlement payments) paid in connection with actual or threatened claims, demands, actions, suits, proceedings, inquiries or investigations, in each case, to the extent such amounts are reimbursed by insurance or other third parties during such period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65" w:hanging="165"/>
        <w:spacing w:after="0"/>
        <w:tabs>
          <w:tab w:leader="none" w:pos="1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9" w:lineRule="exact"/>
        <w:rPr>
          <w:rFonts w:ascii="Times New Roman" w:cs="Times New Roman" w:eastAsia="Times New Roman" w:hAnsi="Times New Roman"/>
          <w:sz w:val="21"/>
          <w:szCs w:val="21"/>
          <w:color w:val="auto"/>
        </w:rPr>
      </w:pPr>
    </w:p>
    <w:p>
      <w:pPr>
        <w:ind w:left="165" w:hanging="165"/>
        <w:spacing w:after="0"/>
        <w:tabs>
          <w:tab w:leader="none" w:pos="1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3" w:lineRule="exact"/>
        <w:rPr>
          <w:rFonts w:ascii="Times New Roman" w:cs="Times New Roman" w:eastAsia="Times New Roman" w:hAnsi="Times New Roman"/>
          <w:sz w:val="21"/>
          <w:szCs w:val="21"/>
          <w:color w:val="auto"/>
        </w:rPr>
      </w:pPr>
    </w:p>
    <w:p>
      <w:pPr>
        <w:ind w:left="165" w:hanging="165"/>
        <w:spacing w:after="0"/>
        <w:tabs>
          <w:tab w:leader="none" w:pos="1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2" w:lineRule="exact"/>
        <w:rPr>
          <w:rFonts w:ascii="Times New Roman" w:cs="Times New Roman" w:eastAsia="Times New Roman" w:hAnsi="Times New Roman"/>
          <w:sz w:val="21"/>
          <w:szCs w:val="21"/>
          <w:color w:val="auto"/>
        </w:rPr>
      </w:pPr>
    </w:p>
    <w:p>
      <w:pPr>
        <w:ind w:left="165" w:hanging="165"/>
        <w:spacing w:after="0"/>
        <w:tabs>
          <w:tab w:leader="none" w:pos="1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21"/>
          <w:szCs w:val="21"/>
          <w:color w:val="auto"/>
        </w:rPr>
        <w:t>+ $____________</w:t>
      </w:r>
    </w:p>
    <w:p>
      <w:pPr>
        <w:sectPr>
          <w:pgSz w:w="11900" w:h="16838" w:orient="portrait"/>
          <w:cols w:equalWidth="0" w:num="2">
            <w:col w:w="7797" w:space="720"/>
            <w:col w:w="1565"/>
          </w:cols>
          <w:pgMar w:left="1318" w:top="1440" w:right="499" w:bottom="1440" w:gutter="0" w:footer="0" w:header="0"/>
        </w:sectPr>
      </w:pPr>
    </w:p>
    <w:bookmarkStart w:id="218" w:name="page219"/>
    <w:bookmarkEnd w:id="218"/>
    <w:p>
      <w:pPr>
        <w:spacing w:after="0" w:line="12" w:lineRule="exact"/>
        <w:rPr>
          <w:sz w:val="20"/>
          <w:szCs w:val="20"/>
          <w:color w:val="auto"/>
        </w:rPr>
      </w:pPr>
    </w:p>
    <w:p>
      <w:pPr>
        <w:ind w:left="2" w:right="1535" w:hanging="2"/>
        <w:spacing w:after="0" w:line="230" w:lineRule="auto"/>
        <w:tabs>
          <w:tab w:leader="none" w:pos="37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unusual or non-recurring charges, expenses or losses, including, without limitation, (A) severance costs, (B) expenses (including legal expenses) associated with recruitment of senior management (including one time bonuses in connection therewith), (C) expenses related to the vesting of employee benefits in connection with employee departures, (D) retention or stay bonus expenses paid to employees, (E) costs and expenses associated with relocation of people, hardware, records and data, (F) branding or rebranding costs (including costs associated with changing signage, collateral, clothing, websites and related items), (G) consulting expenses, (H) costs, fees and expenses related to office, warehouse, distribution center and facility openings (including any start-up costs and costs associated with duplication of manufacturing facilities), closures, consolidations and relocations, (I) natural disaster losses not covered by insurance, (J) costs and expenses incurred to relocate, establish, qualify or commence manufacturing, supply or distribution operations for the Borrower’s approved products and clinical candidates at third party manufacturers, suppliers and distributors and (K) costs, fees and expenses related to new product launches, including any inbound licensing related to any new product</w:t>
      </w:r>
    </w:p>
    <w:p>
      <w:pPr>
        <w:spacing w:after="0" w:line="302" w:lineRule="exact"/>
        <w:rPr>
          <w:rFonts w:ascii="Times New Roman" w:cs="Times New Roman" w:eastAsia="Times New Roman" w:hAnsi="Times New Roman"/>
          <w:sz w:val="20"/>
          <w:szCs w:val="20"/>
          <w:color w:val="auto"/>
        </w:rPr>
      </w:pPr>
    </w:p>
    <w:p>
      <w:pPr>
        <w:ind w:left="2" w:right="1555" w:hanging="2"/>
        <w:spacing w:after="0" w:line="233" w:lineRule="auto"/>
        <w:tabs>
          <w:tab w:leader="none" w:pos="431"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costs, integration costs, business optimization expenses or costs, transition services costs (including one-time set up costs and costs related to transition service agreements) and expenses (including work force reductions and the salary, bonus, benefits and other expenses of interim management (including travel and relocation expenses)), costs relating to the undertaking of cost saving initiatives, operating expense reductions and other cost synergies and similar initiatives, retention and recruiting, relocation and signing bonuses and expenses, severance costs</w:t>
      </w:r>
    </w:p>
    <w:p>
      <w:pPr>
        <w:spacing w:after="0" w:line="281" w:lineRule="exact"/>
        <w:rPr>
          <w:rFonts w:ascii="Times New Roman" w:cs="Times New Roman" w:eastAsia="Times New Roman" w:hAnsi="Times New Roman"/>
          <w:sz w:val="20"/>
          <w:szCs w:val="20"/>
          <w:color w:val="auto"/>
        </w:rPr>
      </w:pPr>
    </w:p>
    <w:p>
      <w:pPr>
        <w:ind w:left="2" w:right="1515" w:hanging="2"/>
        <w:spacing w:after="0" w:line="261" w:lineRule="auto"/>
        <w:tabs>
          <w:tab w:leader="none" w:pos="4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Permitted Acquisition or other permitted Investment, all adjustments that are set forth in a quality of earnings report or table prepared by a third-party accountant and acceptable to Administrative Agent; provided, that if any such adjustments reflect amounts of the type described in A.(viii), A.</w:t>
      </w:r>
    </w:p>
    <w:p>
      <w:pPr>
        <w:spacing w:after="0" w:line="2" w:lineRule="exact"/>
        <w:rPr>
          <w:rFonts w:ascii="Times New Roman" w:cs="Times New Roman" w:eastAsia="Times New Roman" w:hAnsi="Times New Roman"/>
          <w:sz w:val="18"/>
          <w:szCs w:val="18"/>
          <w:color w:val="auto"/>
        </w:rPr>
      </w:pPr>
    </w:p>
    <w:p>
      <w:pPr>
        <w:jc w:val="both"/>
        <w:ind w:left="2" w:right="1875" w:hanging="2"/>
        <w:spacing w:after="0" w:line="276" w:lineRule="auto"/>
        <w:tabs>
          <w:tab w:leader="none" w:pos="37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A.(xvi), such amounts shall be deemed to be added back pursuant to those clauses and shall be subject to the limitation in the footnote to A.(viii)</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Times New Roman" w:cs="Times New Roman" w:eastAsia="Times New Roman" w:hAnsi="Times New Roman"/>
          <w:sz w:val="21"/>
          <w:szCs w:val="21"/>
          <w:color w:val="auto"/>
        </w:rPr>
        <w:t>+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5" w:hanging="165"/>
        <w:spacing w:after="0"/>
        <w:tabs>
          <w:tab w:leader="none" w:pos="165"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ind w:left="165" w:hanging="165"/>
        <w:spacing w:after="0"/>
        <w:tabs>
          <w:tab w:leader="none" w:pos="165"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ectPr>
          <w:pgSz w:w="11900" w:h="16838" w:orient="portrait"/>
          <w:cols w:equalWidth="0" w:num="2">
            <w:col w:w="7797" w:space="720"/>
            <w:col w:w="1565"/>
          </w:cols>
          <w:pgMar w:left="1318" w:top="1440" w:right="49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1"/>
                <w:szCs w:val="21"/>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(xviii) costs, charges, fees, and other amounts expensed at the time of entry or</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c>
          <w:tcPr>
            <w:tcW w:w="0" w:type="dxa"/>
            <w:vAlign w:val="bottom"/>
          </w:tcPr>
          <w:p>
            <w:pPr>
              <w:spacing w:after="0"/>
              <w:rPr>
                <w:sz w:val="1"/>
                <w:szCs w:val="1"/>
                <w:color w:val="auto"/>
              </w:rPr>
            </w:pPr>
          </w:p>
        </w:tc>
      </w:tr>
      <w:tr>
        <w:trPr>
          <w:trHeight w:val="227"/>
        </w:trPr>
        <w:tc>
          <w:tcPr>
            <w:tcW w:w="980" w:type="dxa"/>
            <w:vAlign w:val="bottom"/>
          </w:tcPr>
          <w:p>
            <w:pPr>
              <w:spacing w:after="0"/>
              <w:rPr>
                <w:sz w:val="19"/>
                <w:szCs w:val="19"/>
                <w:color w:val="auto"/>
              </w:rPr>
            </w:pPr>
          </w:p>
        </w:tc>
        <w:tc>
          <w:tcPr>
            <w:tcW w:w="73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at the time any pre-regulatory approval milestone or sales and commercial</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18"/>
                <w:szCs w:val="18"/>
                <w:color w:val="auto"/>
              </w:rPr>
            </w:pPr>
          </w:p>
        </w:tc>
        <w:tc>
          <w:tcPr>
            <w:tcW w:w="7320" w:type="dxa"/>
            <w:vAlign w:val="bottom"/>
            <w:gridSpan w:val="2"/>
          </w:tcPr>
          <w:p>
            <w:pPr>
              <w:spacing w:after="0" w:line="213" w:lineRule="exact"/>
              <w:rPr>
                <w:sz w:val="20"/>
                <w:szCs w:val="20"/>
                <w:color w:val="auto"/>
              </w:rPr>
            </w:pPr>
            <w:r>
              <w:rPr>
                <w:rFonts w:ascii="Times New Roman" w:cs="Times New Roman" w:eastAsia="Times New Roman" w:hAnsi="Times New Roman"/>
                <w:sz w:val="20"/>
                <w:szCs w:val="20"/>
                <w:color w:val="auto"/>
              </w:rPr>
              <w:t>milestone is paid with respect to inbound licenses of intellectual property in</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980" w:type="dxa"/>
            <w:vAlign w:val="bottom"/>
          </w:tcPr>
          <w:p>
            <w:pPr>
              <w:spacing w:after="0"/>
              <w:rPr>
                <w:sz w:val="22"/>
                <w:szCs w:val="22"/>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connection with the acquisition or origination of such license</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6"/>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minus, without duplication and to the extent included in determining</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80" w:type="dxa"/>
            <w:vAlign w:val="bottom"/>
          </w:tcPr>
          <w:p>
            <w:pPr>
              <w:spacing w:after="0"/>
              <w:rPr>
                <w:sz w:val="23"/>
                <w:szCs w:val="23"/>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Consolidated Net Income for such period,</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2"/>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 xml:space="preserve">(xix) any </w:t>
            </w:r>
            <w:r>
              <w:rPr>
                <w:rFonts w:ascii="Times New Roman" w:cs="Times New Roman" w:eastAsia="Times New Roman" w:hAnsi="Times New Roman"/>
                <w:sz w:val="19"/>
                <w:szCs w:val="19"/>
                <w:color w:val="auto"/>
              </w:rPr>
              <w:t>unusual or non-recurring</w:t>
            </w:r>
            <w:r>
              <w:rPr>
                <w:rFonts w:ascii="Times New Roman" w:cs="Times New Roman" w:eastAsia="Times New Roman" w:hAnsi="Times New Roman"/>
                <w:sz w:val="21"/>
                <w:szCs w:val="21"/>
                <w:color w:val="auto"/>
              </w:rPr>
              <w:t xml:space="preserve"> gains and any non-cash items of income</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c>
          <w:tcPr>
            <w:tcW w:w="0" w:type="dxa"/>
            <w:vAlign w:val="bottom"/>
          </w:tcPr>
          <w:p>
            <w:pPr>
              <w:spacing w:after="0"/>
              <w:rPr>
                <w:sz w:val="1"/>
                <w:szCs w:val="1"/>
                <w:color w:val="auto"/>
              </w:rPr>
            </w:pPr>
          </w:p>
        </w:tc>
      </w:tr>
      <w:tr>
        <w:trPr>
          <w:trHeight w:val="278"/>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for such period</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(xx) Consolidated EBITDA (aggregate of A.(i) through A.(xix))</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 $____________</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83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 Maximum Total Net Leverage Ratio (Section 6.12)</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 Consolidated Total Funded Indebtedness as of such dat</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$____________</w:t>
            </w:r>
          </w:p>
        </w:tc>
        <w:tc>
          <w:tcPr>
            <w:tcW w:w="0" w:type="dxa"/>
            <w:vAlign w:val="bottom"/>
          </w:tcPr>
          <w:p>
            <w:pPr>
              <w:spacing w:after="0"/>
              <w:rPr>
                <w:sz w:val="1"/>
                <w:szCs w:val="1"/>
                <w:color w:val="auto"/>
              </w:rPr>
            </w:pPr>
          </w:p>
        </w:tc>
      </w:tr>
      <w:tr>
        <w:trPr>
          <w:trHeight w:val="500"/>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(ii) Unrestricted Cash on such date in an aggregate amount not to exceed</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$____________</w:t>
            </w:r>
          </w:p>
        </w:tc>
        <w:tc>
          <w:tcPr>
            <w:tcW w:w="0" w:type="dxa"/>
            <w:vAlign w:val="bottom"/>
          </w:tcPr>
          <w:p>
            <w:pPr>
              <w:spacing w:after="0"/>
              <w:rPr>
                <w:sz w:val="1"/>
                <w:szCs w:val="1"/>
                <w:color w:val="auto"/>
              </w:rPr>
            </w:pPr>
          </w:p>
        </w:tc>
      </w:tr>
      <w:tr>
        <w:trPr>
          <w:trHeight w:val="254"/>
        </w:trPr>
        <w:tc>
          <w:tcPr>
            <w:tcW w:w="8300" w:type="dxa"/>
            <w:vAlign w:val="bottom"/>
            <w:gridSpan w:val="3"/>
          </w:tcPr>
          <w:p>
            <w:pPr>
              <w:ind w:left="980"/>
              <w:spacing w:after="0"/>
              <w:rPr>
                <w:sz w:val="20"/>
                <w:szCs w:val="20"/>
                <w:color w:val="auto"/>
              </w:rPr>
            </w:pPr>
            <w:r>
              <w:rPr>
                <w:rFonts w:ascii="Times New Roman" w:cs="Times New Roman" w:eastAsia="Times New Roman" w:hAnsi="Times New Roman"/>
                <w:sz w:val="20"/>
                <w:szCs w:val="20"/>
                <w:color w:val="auto"/>
              </w:rPr>
              <w:t>$30,000,000</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8"/>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(iii) Consolidated EBITDA for the most recently ended 4 fiscal quarters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(from A.(xx) above)</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$____________</w:t>
            </w:r>
          </w:p>
        </w:tc>
        <w:tc>
          <w:tcPr>
            <w:tcW w:w="0" w:type="dxa"/>
            <w:vAlign w:val="bottom"/>
          </w:tcPr>
          <w:p>
            <w:pPr>
              <w:spacing w:after="0"/>
              <w:rPr>
                <w:sz w:val="1"/>
                <w:szCs w:val="1"/>
                <w:color w:val="auto"/>
              </w:rPr>
            </w:pPr>
          </w:p>
        </w:tc>
      </w:tr>
      <w:tr>
        <w:trPr>
          <w:trHeight w:val="560"/>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 xml:space="preserve">(iii) Total Net Leverage Ratio (ratio of (B.(i) </w:t>
            </w:r>
            <w:r>
              <w:rPr>
                <w:rFonts w:ascii="Times New Roman" w:cs="Times New Roman" w:eastAsia="Times New Roman" w:hAnsi="Times New Roman"/>
                <w:sz w:val="21"/>
                <w:szCs w:val="21"/>
                <w:i w:val="1"/>
                <w:iCs w:val="1"/>
                <w:color w:val="auto"/>
              </w:rPr>
              <w:t>minu</w:t>
            </w:r>
            <w:r>
              <w:rPr>
                <w:rFonts w:ascii="Times New Roman" w:cs="Times New Roman" w:eastAsia="Times New Roman" w:hAnsi="Times New Roman"/>
                <w:sz w:val="21"/>
                <w:szCs w:val="21"/>
                <w:color w:val="auto"/>
              </w:rPr>
              <w:t>s B.(ii)) to B.(iii)</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 to 1.00</w:t>
            </w:r>
          </w:p>
        </w:tc>
        <w:tc>
          <w:tcPr>
            <w:tcW w:w="0" w:type="dxa"/>
            <w:vAlign w:val="bottom"/>
          </w:tcPr>
          <w:p>
            <w:pPr>
              <w:spacing w:after="0"/>
              <w:rPr>
                <w:sz w:val="1"/>
                <w:szCs w:val="1"/>
                <w:color w:val="auto"/>
              </w:rPr>
            </w:pPr>
          </w:p>
        </w:tc>
      </w:tr>
      <w:tr>
        <w:trPr>
          <w:trHeight w:val="560"/>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Maximum Total Net Leverage Ratio permitted under Section 6.12</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___ to 1.00</w:t>
            </w:r>
          </w:p>
        </w:tc>
        <w:tc>
          <w:tcPr>
            <w:tcW w:w="0" w:type="dxa"/>
            <w:vAlign w:val="bottom"/>
          </w:tcPr>
          <w:p>
            <w:pPr>
              <w:spacing w:after="0"/>
              <w:rPr>
                <w:sz w:val="1"/>
                <w:szCs w:val="1"/>
                <w:color w:val="auto"/>
              </w:rPr>
            </w:pPr>
          </w:p>
        </w:tc>
      </w:tr>
      <w:tr>
        <w:trPr>
          <w:trHeight w:val="560"/>
        </w:trPr>
        <w:tc>
          <w:tcPr>
            <w:tcW w:w="9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 compliance?</w:t>
            </w:r>
          </w:p>
        </w:tc>
        <w:tc>
          <w:tcPr>
            <w:tcW w:w="2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Yes/No (select one)</w:t>
            </w:r>
          </w:p>
        </w:tc>
        <w:tc>
          <w:tcPr>
            <w:tcW w:w="0" w:type="dxa"/>
            <w:vAlign w:val="bottom"/>
          </w:tcPr>
          <w:p>
            <w:pPr>
              <w:spacing w:after="0"/>
              <w:rPr>
                <w:sz w:val="1"/>
                <w:szCs w:val="1"/>
                <w:color w:val="auto"/>
              </w:rPr>
            </w:pPr>
          </w:p>
        </w:tc>
      </w:tr>
    </w:tbl>
    <w:p>
      <w:pPr>
        <w:sectPr>
          <w:pgSz w:w="11900" w:h="16838" w:orient="portrait"/>
          <w:cols w:equalWidth="0" w:num="1">
            <w:col w:w="11060"/>
          </w:cols>
          <w:pgMar w:left="340" w:top="1423" w:right="499" w:bottom="1440" w:gutter="0" w:footer="0" w:header="0"/>
        </w:sectPr>
      </w:pPr>
    </w:p>
    <w:bookmarkStart w:id="220" w:name="page221"/>
    <w:bookmarkEnd w:id="220"/>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 II to Compliance Certificate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Borrower’s Applicable Rate Calculation</w:t>
      </w:r>
    </w:p>
    <w:p>
      <w:pPr>
        <w:sectPr>
          <w:pgSz w:w="11900" w:h="16838" w:orient="portrait"/>
          <w:cols w:equalWidth="0" w:num="1">
            <w:col w:w="9019"/>
          </w:cols>
          <w:pgMar w:left="1440" w:top="1440" w:right="14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JOINDER AGREEMENT</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____</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is entered into between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_______</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______</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New</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and JPMORGAN CHASE BANK, N.A., in its capacity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July 29, 2022 (as the same may be amended, modified, extended or restated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Vericel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New Subsidiary and the Administrative Agent, for the benefit of the Secured Parties, hereby agree as follows:</w:t>
      </w:r>
    </w:p>
    <w:p>
      <w:pPr>
        <w:spacing w:after="0" w:line="237" w:lineRule="exact"/>
        <w:rPr>
          <w:sz w:val="20"/>
          <w:szCs w:val="20"/>
          <w:color w:val="auto"/>
        </w:rPr>
      </w:pPr>
    </w:p>
    <w:p>
      <w:pPr>
        <w:jc w:val="both"/>
        <w:ind w:firstLine="647"/>
        <w:spacing w:after="0" w:line="275" w:lineRule="auto"/>
        <w:tabs>
          <w:tab w:leader="none" w:pos="8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firstLine="647"/>
        <w:spacing w:after="0" w:line="333" w:lineRule="auto"/>
        <w:tabs>
          <w:tab w:leader="none" w:pos="8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32" w:lineRule="exact"/>
        <w:rPr>
          <w:rFonts w:ascii="Times New Roman" w:cs="Times New Roman" w:eastAsia="Times New Roman" w:hAnsi="Times New Roman"/>
          <w:sz w:val="18"/>
          <w:szCs w:val="18"/>
          <w:color w:val="auto"/>
        </w:rPr>
      </w:pPr>
    </w:p>
    <w:p>
      <w:pPr>
        <w:ind w:left="840" w:hanging="193"/>
        <w:spacing w:after="0"/>
        <w:tabs>
          <w:tab w:leader="none" w:pos="8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the New Subsidiary for purposes of Section 9.01 of the Credit Agreement is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900" w:h="16838" w:orient="portrait"/>
          <w:cols w:equalWidth="0" w:num="1">
            <w:col w:w="11240"/>
          </w:cols>
          <w:pgMar w:left="320" w:top="1394" w:right="339" w:bottom="1440" w:gutter="0" w:footer="0" w:header="0"/>
        </w:sectPr>
      </w:pPr>
    </w:p>
    <w:bookmarkStart w:id="222" w:name="page223"/>
    <w:bookmarkEnd w:id="222"/>
    <w:p>
      <w:pPr>
        <w:ind w:firstLine="647"/>
        <w:spacing w:after="0" w:line="255" w:lineRule="auto"/>
        <w:tabs>
          <w:tab w:leader="none" w:pos="8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Subsidiary hereby waives acceptance by the Administrative Agent and the Lenders of the guaranty by the New Subsidiary upon the execution of this Agreement by the New Subsidiary.</w:t>
      </w:r>
    </w:p>
    <w:p>
      <w:pPr>
        <w:ind w:firstLine="647"/>
        <w:spacing w:after="0" w:line="243" w:lineRule="auto"/>
        <w:tabs>
          <w:tab w:leader="none" w:pos="8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and delivered shall be an original, but all of which together shall constitute one and the same instrument.</w:t>
      </w:r>
    </w:p>
    <w:p>
      <w:pPr>
        <w:spacing w:after="0" w:line="1" w:lineRule="exact"/>
        <w:rPr>
          <w:rFonts w:ascii="Times New Roman" w:cs="Times New Roman" w:eastAsia="Times New Roman" w:hAnsi="Times New Roman"/>
          <w:sz w:val="20"/>
          <w:szCs w:val="20"/>
          <w:color w:val="auto"/>
        </w:rPr>
      </w:pPr>
    </w:p>
    <w:p>
      <w:pPr>
        <w:ind w:firstLine="647"/>
        <w:spacing w:after="0" w:line="246" w:lineRule="auto"/>
        <w:tabs>
          <w:tab w:leader="none" w:pos="8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SHALL BE GOVERNED BY AND CONSTRUED AND INTERPRETED IN ACCORDANCE WITH THE LAWS OF THE STATE OF NEW YORK.</w:t>
      </w:r>
    </w:p>
    <w:p>
      <w:pPr>
        <w:jc w:val="both"/>
        <w:ind w:firstLine="64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20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NEW SUBSIDIARY</w:t>
      </w:r>
      <w:r>
        <w:rPr>
          <w:rFonts w:ascii="Times New Roman" w:cs="Times New Roman" w:eastAsia="Times New Roman" w:hAnsi="Times New Roman"/>
          <w:sz w:val="20"/>
          <w:szCs w:val="20"/>
          <w:b w:val="1"/>
          <w:bCs w:val="1"/>
          <w:u w:val="single" w:color="auto"/>
          <w:color w:val="auto"/>
        </w:rPr>
        <w:t>]</w:t>
      </w:r>
    </w:p>
    <w:p>
      <w:pPr>
        <w:spacing w:after="0" w:line="25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Acknowledged and accepted:</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JPMORGAN CHASE BANK, N.A., as Administrative</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Agent</w:t>
      </w:r>
    </w:p>
    <w:p>
      <w:pPr>
        <w:spacing w:after="0" w:line="2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By:_____________________________</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Name:___________________________</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900" w:h="16838" w:orient="portrait"/>
          <w:cols w:equalWidth="0" w:num="1">
            <w:col w:w="11240"/>
          </w:cols>
          <w:pgMar w:left="320" w:top="1398"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500" w:hanging="493"/>
        <w:spacing w:after="0"/>
        <w:tabs>
          <w:tab w:leader="none" w:pos="5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19" w:lineRule="exact"/>
        <w:rPr>
          <w:rFonts w:ascii="Times New Roman" w:cs="Times New Roman" w:eastAsia="Times New Roman" w:hAnsi="Times New Roman"/>
          <w:sz w:val="18"/>
          <w:szCs w:val="18"/>
          <w:color w:val="auto"/>
        </w:rPr>
      </w:pPr>
    </w:p>
    <w:p>
      <w:pPr>
        <w:jc w:val="both"/>
        <w:ind w:right="400" w:firstLine="7"/>
        <w:spacing w:after="0" w:line="307" w:lineRule="auto"/>
        <w:tabs>
          <w:tab w:leader="none" w:pos="48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360" w:firstLine="7"/>
        <w:spacing w:after="0" w:line="277" w:lineRule="auto"/>
        <w:tabs>
          <w:tab w:leader="none" w:pos="48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7"/>
        <w:spacing w:after="0" w:line="262" w:lineRule="auto"/>
        <w:tabs>
          <w:tab w:leader="none" w:pos="48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40" w:firstLine="1168"/>
        <w:spacing w:after="0" w:line="262" w:lineRule="auto"/>
        <w:tabs>
          <w:tab w:leader="none" w:pos="140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120" w:firstLine="1168"/>
        <w:spacing w:after="0" w:line="262" w:lineRule="auto"/>
        <w:tabs>
          <w:tab w:leader="none" w:pos="141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40" w:firstLine="1168"/>
        <w:spacing w:after="0" w:line="277" w:lineRule="auto"/>
        <w:tabs>
          <w:tab w:leader="none" w:pos="140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200" w:firstLine="1168"/>
        <w:spacing w:after="0" w:line="262" w:lineRule="auto"/>
        <w:tabs>
          <w:tab w:leader="none" w:pos="141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300" w:firstLine="7"/>
        <w:spacing w:after="0" w:line="277" w:lineRule="auto"/>
        <w:tabs>
          <w:tab w:leader="none" w:pos="48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460" w:firstLine="1168"/>
        <w:spacing w:after="0" w:line="277" w:lineRule="auto"/>
        <w:tabs>
          <w:tab w:leader="none" w:pos="139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160" w:firstLine="1168"/>
        <w:spacing w:after="0" w:line="277" w:lineRule="auto"/>
        <w:tabs>
          <w:tab w:leader="none" w:pos="140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0" w:lineRule="exact"/>
        <w:rPr>
          <w:sz w:val="20"/>
          <w:szCs w:val="20"/>
          <w:color w:val="auto"/>
        </w:rPr>
      </w:pPr>
    </w:p>
    <w:p>
      <w:pPr>
        <w:ind w:left="420" w:hanging="173"/>
        <w:spacing w:after="0"/>
        <w:tabs>
          <w:tab w:leader="none" w:pos="4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35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80" w:firstLine="36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2022,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60" w:hanging="353"/>
        <w:spacing w:after="0"/>
        <w:tabs>
          <w:tab w:leader="none" w:pos="3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right="560" w:firstLine="7"/>
        <w:spacing w:after="0" w:line="524" w:lineRule="auto"/>
        <w:tabs>
          <w:tab w:leader="none" w:pos="35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9, 2022</w:t>
      </w:r>
    </w:p>
    <w:p>
      <w:pPr>
        <w:spacing w:after="0" w:line="8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3558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1)"/>
      <w:numFmt w:val="lowerLetter"/>
      <w:start w:val="1"/>
    </w:lvl>
  </w:abstractNum>
  <w:abstractNum w:abstractNumId="3">
    <w:nsid w:val="2B0D8DBE"/>
    <w:multiLevelType w:val="hybridMultilevel"/>
    <w:lvl w:ilvl="0">
      <w:lvlJc w:val="left"/>
      <w:lvlText w:val="%1."/>
      <w:numFmt w:val="decimal"/>
      <w:start w:val="4"/>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1)"/>
      <w:numFmt w:val="lowerLetter"/>
      <w:start w:val="1"/>
    </w:lvl>
  </w:abstractNum>
  <w:abstractNum w:abstractNumId="6">
    <w:nsid w:val="69E373"/>
    <w:multiLevelType w:val="hybridMultilevel"/>
    <w:lvl w:ilvl="0">
      <w:lvlJc w:val="left"/>
      <w:lvlText w:val="•"/>
      <w:numFmt w:val="bullet"/>
      <w:start w:val="1"/>
    </w:lvl>
    <w:lvl w:ilvl="1">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1)"/>
      <w:numFmt w:val="lowerLetter"/>
      <w:start w:val="2"/>
    </w:lvl>
  </w:abstractNum>
  <w:abstractNum w:abstractNumId="10">
    <w:nsid w:val="1DF029D3"/>
    <w:multiLevelType w:val="hybridMultilevel"/>
    <w:lvl w:ilvl="0">
      <w:lvlJc w:val="left"/>
      <w:lvlText w:val="(%1)"/>
      <w:numFmt w:val="lowerLetter"/>
      <w:start w:val="2"/>
    </w:lvl>
  </w:abstractNum>
  <w:abstractNum w:abstractNumId="11">
    <w:nsid w:val="5675FF36"/>
    <w:multiLevelType w:val="hybridMultilevel"/>
    <w:lvl w:ilvl="0">
      <w:lvlJc w:val="left"/>
      <w:lvlText w:val="(%1)"/>
      <w:numFmt w:val="decimal"/>
      <w:start w:val="1"/>
    </w:lvl>
  </w:abstractNum>
  <w:abstractNum w:abstractNumId="12">
    <w:nsid w:val="3DD15094"/>
    <w:multiLevelType w:val="hybridMultilevel"/>
    <w:lvl w:ilvl="0">
      <w:lvlJc w:val="left"/>
      <w:lvlText w:val="(%1)"/>
      <w:numFmt w:val="decimal"/>
      <w:start w:val="1"/>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1)"/>
      <w:numFmt w:val="lowerLetter"/>
      <w:start w:val="2"/>
    </w:lvl>
  </w:abstractNum>
  <w:abstractNum w:abstractNumId="15">
    <w:nsid w:val="5B25ACE2"/>
    <w:multiLevelType w:val="hybridMultilevel"/>
    <w:lvl w:ilvl="0">
      <w:lvlJc w:val="left"/>
      <w:lvlText w:val="(%1)"/>
      <w:numFmt w:val="lowerLetter"/>
      <w:start w:val="1"/>
    </w:lvl>
  </w:abstractNum>
  <w:abstractNum w:abstractNumId="16">
    <w:nsid w:val="175DFCF0"/>
    <w:multiLevelType w:val="hybridMultilevel"/>
    <w:lvl w:ilvl="0">
      <w:lvlJc w:val="left"/>
      <w:lvlText w:val="(%1)"/>
      <w:numFmt w:val="lowerLetter"/>
      <w:start w:val="9"/>
    </w:lvl>
  </w:abstractNum>
  <w:abstractNum w:abstractNumId="17">
    <w:nsid w:val="4F97E3E4"/>
    <w:multiLevelType w:val="hybridMultilevel"/>
    <w:lvl w:ilvl="0">
      <w:lvlJc w:val="left"/>
      <w:lvlText w:val="(%1)"/>
      <w:numFmt w:val="lowerRoman"/>
      <w:start w:val="2"/>
    </w:lvl>
  </w:abstractNum>
  <w:abstractNum w:abstractNumId="18">
    <w:nsid w:val="53B0A9E"/>
    <w:multiLevelType w:val="hybridMultilevel"/>
    <w:lvl w:ilvl="0">
      <w:lvlJc w:val="left"/>
      <w:lvlText w:val="%1"/>
      <w:numFmt w:val="upperLetter"/>
      <w:start w:val="1"/>
    </w:lvl>
    <w:lvl w:ilvl="1">
      <w:lvlJc w:val="left"/>
      <w:lvlText w:val="(%2)"/>
      <w:numFmt w:val="lowerRoman"/>
      <w:start w:val="10"/>
    </w:lvl>
  </w:abstractNum>
  <w:abstractNum w:abstractNumId="19">
    <w:nsid w:val="34FD6B4F"/>
    <w:multiLevelType w:val="hybridMultilevel"/>
    <w:lvl w:ilvl="0">
      <w:lvlJc w:val="left"/>
      <w:lvlText w:val="(%1)"/>
      <w:numFmt w:val="upperLetter"/>
      <w:start w:val="3"/>
    </w:lvl>
    <w:lvl w:ilvl="1">
      <w:lvlJc w:val="left"/>
      <w:lvlText w:val="(%2)"/>
      <w:numFmt w:val="lowerRoman"/>
      <w:start w:val="14"/>
    </w:lvl>
  </w:abstractNum>
  <w:abstractNum w:abstractNumId="20">
    <w:nsid w:val="5915FF32"/>
    <w:multiLevelType w:val="hybridMultilevel"/>
    <w:lvl w:ilvl="0">
      <w:lvlJc w:val="left"/>
      <w:lvlText w:val="(%1)"/>
      <w:numFmt w:val="lowerRoman"/>
      <w:start w:val="16"/>
    </w:lvl>
  </w:abstractNum>
  <w:abstractNum w:abstractNumId="21">
    <w:nsid w:val="56438D15"/>
    <w:multiLevelType w:val="hybridMultilevel"/>
    <w:lvl w:ilvl="0">
      <w:lvlJc w:val="left"/>
      <w:lvlText w:val="(%1)"/>
      <w:numFmt w:val="lowerLetter"/>
      <w:start w:val="2"/>
    </w:lvl>
  </w:abstractNum>
  <w:abstractNum w:abstractNumId="22">
    <w:nsid w:val="519E3149"/>
    <w:multiLevelType w:val="hybridMultilevel"/>
    <w:lvl w:ilvl="0">
      <w:lvlJc w:val="left"/>
      <w:lvlText w:val="(%1)"/>
      <w:numFmt w:val="lowerRoman"/>
      <w:start w:val="1"/>
    </w:lvl>
  </w:abstractNum>
  <w:abstractNum w:abstractNumId="23">
    <w:nsid w:val="2C6E4AFD"/>
    <w:multiLevelType w:val="hybridMultilevel"/>
    <w:lvl w:ilvl="0">
      <w:lvlJc w:val="left"/>
      <w:lvlText w:val="(%1)"/>
      <w:numFmt w:val="lowerRoman"/>
      <w:start w:val="1"/>
    </w:lvl>
  </w:abstractNum>
  <w:abstractNum w:abstractNumId="24">
    <w:nsid w:val="17A1B582"/>
    <w:multiLevelType w:val="hybridMultilevel"/>
    <w:lvl w:ilvl="0">
      <w:lvlJc w:val="left"/>
      <w:lvlText w:val="(%1)"/>
      <w:numFmt w:val="lowerRoman"/>
      <w:start w:val="6"/>
    </w:lvl>
  </w:abstractNum>
  <w:abstractNum w:abstractNumId="25">
    <w:nsid w:val="4DF72E4E"/>
    <w:multiLevelType w:val="hybridMultilevel"/>
    <w:lvl w:ilvl="0">
      <w:lvlJc w:val="left"/>
      <w:lvlText w:val="(%1)"/>
      <w:numFmt w:val="lowerLetter"/>
      <w:start w:val="2"/>
    </w:lvl>
  </w:abstractNum>
  <w:abstractNum w:abstractNumId="26">
    <w:nsid w:val="5046B5A9"/>
    <w:multiLevelType w:val="hybridMultilevel"/>
    <w:lvl w:ilvl="0">
      <w:lvlJc w:val="left"/>
      <w:lvlText w:val="(%1)"/>
      <w:numFmt w:val="lowerLetter"/>
      <w:start w:val="1"/>
    </w:lvl>
  </w:abstractNum>
  <w:abstractNum w:abstractNumId="27">
    <w:nsid w:val="5D888A08"/>
    <w:multiLevelType w:val="hybridMultilevel"/>
    <w:lvl w:ilvl="0">
      <w:lvlJc w:val="left"/>
      <w:lvlText w:val="(%1)"/>
      <w:numFmt w:val="lowerLetter"/>
      <w:start w:val="3"/>
    </w:lvl>
  </w:abstractNum>
  <w:abstractNum w:abstractNumId="28">
    <w:nsid w:val="2A082C70"/>
    <w:multiLevelType w:val="hybridMultilevel"/>
    <w:lvl w:ilvl="0">
      <w:lvlJc w:val="left"/>
      <w:lvlText w:val="(%1)"/>
      <w:numFmt w:val="lowerLetter"/>
      <w:start w:val="1"/>
    </w:lvl>
  </w:abstractNum>
  <w:abstractNum w:abstractNumId="29">
    <w:nsid w:val="5EC6AFD4"/>
    <w:multiLevelType w:val="hybridMultilevel"/>
    <w:lvl w:ilvl="0">
      <w:lvlJc w:val="left"/>
      <w:lvlText w:val="(%1)"/>
      <w:numFmt w:val="lowerLetter"/>
      <w:start w:val="3"/>
    </w:lvl>
  </w:abstractNum>
  <w:abstractNum w:abstractNumId="30">
    <w:nsid w:val="19E21BB2"/>
    <w:multiLevelType w:val="hybridMultilevel"/>
    <w:lvl w:ilvl="0">
      <w:lvlJc w:val="left"/>
      <w:lvlText w:val="(%1)"/>
      <w:numFmt w:val="lowerLetter"/>
      <w:start w:val="1"/>
    </w:lvl>
  </w:abstractNum>
  <w:abstractNum w:abstractNumId="31">
    <w:nsid w:val="75E0858A"/>
    <w:multiLevelType w:val="hybridMultilevel"/>
    <w:lvl w:ilvl="0">
      <w:lvlJc w:val="left"/>
      <w:lvlText w:val="(%1)"/>
      <w:numFmt w:val="lowerLetter"/>
      <w:start w:val="3"/>
    </w:lvl>
  </w:abstractNum>
  <w:abstractNum w:abstractNumId="32">
    <w:nsid w:val="57A61A29"/>
    <w:multiLevelType w:val="hybridMultilevel"/>
    <w:lvl w:ilvl="0">
      <w:lvlJc w:val="left"/>
      <w:lvlText w:val="(%1)"/>
      <w:numFmt w:val="lowerLetter"/>
      <w:start w:val="1"/>
    </w:lvl>
  </w:abstractNum>
  <w:abstractNum w:abstractNumId="33">
    <w:nsid w:val="5399C654"/>
    <w:multiLevelType w:val="hybridMultilevel"/>
    <w:lvl w:ilvl="0">
      <w:lvlJc w:val="left"/>
      <w:lvlText w:val="(%1)"/>
      <w:numFmt w:val="lowerLetter"/>
      <w:start w:val="2"/>
    </w:lvl>
  </w:abstractNum>
  <w:abstractNum w:abstractNumId="34">
    <w:nsid w:val="20EE1348"/>
    <w:multiLevelType w:val="hybridMultilevel"/>
    <w:lvl w:ilvl="0">
      <w:lvlJc w:val="left"/>
      <w:lvlText w:val="(%1)"/>
      <w:numFmt w:val="lowerLetter"/>
      <w:start w:val="2"/>
    </w:lvl>
    <w:lvl w:ilvl="1">
      <w:lvlJc w:val="left"/>
      <w:lvlText w:val="(%2)"/>
      <w:numFmt w:val="lowerRoman"/>
      <w:start w:val="1"/>
    </w:lvl>
  </w:abstractNum>
  <w:abstractNum w:abstractNumId="35">
    <w:nsid w:val="4427069A"/>
    <w:multiLevelType w:val="hybridMultilevel"/>
    <w:lvl w:ilvl="0">
      <w:lvlJc w:val="left"/>
      <w:lvlText w:val="(%1)"/>
      <w:numFmt w:val="lowerLetter"/>
      <w:start w:val="1"/>
    </w:lvl>
  </w:abstractNum>
  <w:abstractNum w:abstractNumId="36">
    <w:nsid w:val="B37E80A"/>
    <w:multiLevelType w:val="hybridMultilevel"/>
    <w:lvl w:ilvl="0">
      <w:lvlJc w:val="left"/>
      <w:lvlText w:val="(%1)"/>
      <w:numFmt w:val="lowerRoman"/>
      <w:start w:val="1"/>
    </w:lvl>
  </w:abstractNum>
  <w:abstractNum w:abstractNumId="37">
    <w:nsid w:val="2157F6BC"/>
    <w:multiLevelType w:val="hybridMultilevel"/>
    <w:lvl w:ilvl="0">
      <w:lvlJc w:val="left"/>
      <w:lvlText w:val="(%1)"/>
      <w:numFmt w:val="lowerRoman"/>
      <w:start w:val="2"/>
    </w:lvl>
  </w:abstractNum>
  <w:abstractNum w:abstractNumId="38">
    <w:nsid w:val="704E1DD5"/>
    <w:multiLevelType w:val="hybridMultilevel"/>
    <w:lvl w:ilvl="0">
      <w:lvlJc w:val="left"/>
      <w:lvlText w:val="(%1)"/>
      <w:numFmt w:val="lowerRoman"/>
      <w:start w:val="6"/>
    </w:lvl>
  </w:abstractNum>
  <w:abstractNum w:abstractNumId="39">
    <w:nsid w:val="57D2F10E"/>
    <w:multiLevelType w:val="hybridMultilevel"/>
    <w:lvl w:ilvl="0">
      <w:lvlJc w:val="left"/>
      <w:lvlText w:val="(%1)"/>
      <w:numFmt w:val="lowerRoman"/>
      <w:start w:val="5"/>
    </w:lvl>
  </w:abstractNum>
  <w:abstractNum w:abstractNumId="40">
    <w:nsid w:val="BFFAE18"/>
    <w:multiLevelType w:val="hybridMultilevel"/>
    <w:lvl w:ilvl="0">
      <w:lvlJc w:val="left"/>
      <w:lvlText w:val="(%1)"/>
      <w:numFmt w:val="lowerLetter"/>
      <w:start w:val="1"/>
    </w:lvl>
  </w:abstractNum>
  <w:abstractNum w:abstractNumId="41">
    <w:nsid w:val="E3E47A8"/>
    <w:multiLevelType w:val="hybridMultilevel"/>
    <w:lvl w:ilvl="0">
      <w:lvlJc w:val="left"/>
      <w:lvlText w:val="(%1)"/>
      <w:numFmt w:val="lowerLetter"/>
      <w:start w:val="2"/>
    </w:lvl>
  </w:abstractNum>
  <w:abstractNum w:abstractNumId="42">
    <w:nsid w:val="2E48F044"/>
    <w:multiLevelType w:val="hybridMultilevel"/>
    <w:lvl w:ilvl="0">
      <w:lvlJc w:val="left"/>
      <w:lvlText w:val="(%1)"/>
      <w:numFmt w:val="lowerLetter"/>
      <w:start w:val="1"/>
    </w:lvl>
  </w:abstractNum>
  <w:abstractNum w:abstractNumId="43">
    <w:nsid w:val="49D0FEAC"/>
    <w:multiLevelType w:val="hybridMultilevel"/>
    <w:lvl w:ilvl="0">
      <w:lvlJc w:val="left"/>
      <w:lvlText w:val="(%1)"/>
      <w:numFmt w:val="lowerRoman"/>
      <w:start w:val="1"/>
    </w:lvl>
  </w:abstractNum>
  <w:abstractNum w:abstractNumId="44">
    <w:nsid w:val="4BEE5A5B"/>
    <w:multiLevelType w:val="hybridMultilevel"/>
    <w:lvl w:ilvl="0">
      <w:lvlJc w:val="left"/>
      <w:lvlText w:val="(%1)"/>
      <w:numFmt w:val="lowerLetter"/>
      <w:start w:val="3"/>
    </w:lvl>
  </w:abstractNum>
  <w:abstractNum w:abstractNumId="45">
    <w:nsid w:val="5551B9F3"/>
    <w:multiLevelType w:val="hybridMultilevel"/>
    <w:lvl w:ilvl="0">
      <w:lvlJc w:val="left"/>
      <w:lvlText w:val="%1"/>
      <w:numFmt w:val="lowerRoman"/>
      <w:start w:val="1"/>
    </w:lvl>
    <w:lvl w:ilvl="1">
      <w:lvlJc w:val="left"/>
      <w:lvlText w:val="(%2)"/>
      <w:numFmt w:val="lowerLetter"/>
      <w:start w:val="6"/>
    </w:lvl>
  </w:abstractNum>
  <w:abstractNum w:abstractNumId="46">
    <w:nsid w:val="24F6AB8E"/>
    <w:multiLevelType w:val="hybridMultilevel"/>
    <w:lvl w:ilvl="0">
      <w:lvlJc w:val="left"/>
      <w:lvlText w:val="(%1)"/>
      <w:numFmt w:val="lowerRoman"/>
      <w:start w:val="4"/>
    </w:lvl>
    <w:lvl w:ilvl="1">
      <w:lvlJc w:val="left"/>
      <w:lvlText w:val="(%2)"/>
      <w:numFmt w:val="lowerLetter"/>
      <w:start w:val="7"/>
    </w:lvl>
  </w:abstractNum>
  <w:abstractNum w:abstractNumId="47">
    <w:nsid w:val="634C574C"/>
    <w:multiLevelType w:val="hybridMultilevel"/>
    <w:lvl w:ilvl="0">
      <w:lvlJc w:val="left"/>
      <w:lvlText w:val="%1"/>
      <w:numFmt w:val="lowerRoman"/>
      <w:start w:val="1"/>
    </w:lvl>
    <w:lvl w:ilvl="1">
      <w:lvlJc w:val="left"/>
      <w:lvlText w:val="(%2)"/>
      <w:numFmt w:val="lowerLetter"/>
      <w:start w:val="8"/>
    </w:lvl>
  </w:abstractNum>
  <w:abstractNum w:abstractNumId="48">
    <w:nsid w:val="24E99DD7"/>
    <w:multiLevelType w:val="hybridMultilevel"/>
    <w:lvl w:ilvl="0">
      <w:lvlJc w:val="left"/>
      <w:lvlText w:val="(%1)"/>
      <w:numFmt w:val="lowerRoman"/>
      <w:start w:val="1"/>
    </w:lvl>
    <w:lvl w:ilvl="1">
      <w:lvlJc w:val="left"/>
      <w:lvlText w:val="(%2)"/>
      <w:numFmt w:val="lowerLetter"/>
      <w:start w:val="10"/>
    </w:lvl>
  </w:abstractNum>
  <w:abstractNum w:abstractNumId="49">
    <w:nsid w:val="2A31B62D"/>
    <w:multiLevelType w:val="hybridMultilevel"/>
    <w:lvl w:ilvl="0">
      <w:lvlJc w:val="left"/>
      <w:lvlText w:val="(%1)"/>
      <w:numFmt w:val="lowerLetter"/>
      <w:start w:val="11"/>
    </w:lvl>
  </w:abstractNum>
  <w:abstractNum w:abstractNumId="50">
    <w:nsid w:val="1849C29B"/>
    <w:multiLevelType w:val="hybridMultilevel"/>
    <w:lvl w:ilvl="0">
      <w:lvlJc w:val="left"/>
      <w:lvlText w:val="(%1)"/>
      <w:numFmt w:val="lowerLetter"/>
      <w:start w:val="1"/>
    </w:lvl>
  </w:abstractNum>
  <w:abstractNum w:abstractNumId="51">
    <w:nsid w:val="7DFF9D09"/>
    <w:multiLevelType w:val="hybridMultilevel"/>
    <w:lvl w:ilvl="0">
      <w:lvlJc w:val="left"/>
      <w:lvlText w:val="(%1)"/>
      <w:numFmt w:val="lowerLetter"/>
      <w:start w:val="1"/>
    </w:lvl>
  </w:abstractNum>
  <w:abstractNum w:abstractNumId="52">
    <w:nsid w:val="75434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3"/>
    </w:lvl>
  </w:abstractNum>
  <w:abstractNum w:abstractNumId="53">
    <w:nsid w:val="69E7F3E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54">
    <w:nsid w:val="2A6DE806"/>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abstractNum>
  <w:abstractNum w:abstractNumId="55">
    <w:nsid w:val="1816F8C4"/>
    <w:multiLevelType w:val="hybridMultilevel"/>
    <w:lvl w:ilvl="0">
      <w:lvlJc w:val="left"/>
      <w:lvlText w:val="(%1)"/>
      <w:numFmt w:val="lowerLetter"/>
      <w:start w:val="4"/>
    </w:lvl>
  </w:abstractNum>
  <w:abstractNum w:abstractNumId="56">
    <w:nsid w:val="37DF2233"/>
    <w:multiLevelType w:val="hybridMultilevel"/>
    <w:lvl w:ilvl="0">
      <w:lvlJc w:val="left"/>
      <w:lvlText w:val="(%1)"/>
      <w:numFmt w:val="lowerLetter"/>
      <w:start w:val="1"/>
    </w:lvl>
  </w:abstractNum>
  <w:abstractNum w:abstractNumId="57">
    <w:nsid w:val="7AB49DAF"/>
    <w:multiLevelType w:val="hybridMultilevel"/>
    <w:lvl w:ilvl="0">
      <w:lvlJc w:val="left"/>
      <w:lvlText w:val="(%1)"/>
      <w:numFmt w:val="lowerLetter"/>
      <w:start w:val="2"/>
    </w:lvl>
    <w:lvl w:ilvl="1">
      <w:lvlJc w:val="left"/>
      <w:lvlText w:val="(%2)"/>
      <w:numFmt w:val="lowerLetter"/>
      <w:start w:val="5"/>
    </w:lvl>
  </w:abstractNum>
  <w:abstractNum w:abstractNumId="58">
    <w:nsid w:val="759F82CD"/>
    <w:multiLevelType w:val="hybridMultilevel"/>
    <w:lvl w:ilvl="0">
      <w:lvlJc w:val="left"/>
      <w:lvlText w:val="%1"/>
      <w:numFmt w:val="upperLetter"/>
      <w:start w:val="1"/>
    </w:lvl>
    <w:lvl w:ilvl="1">
      <w:lvlJc w:val="left"/>
      <w:lvlText w:val="(%2)"/>
      <w:numFmt w:val="lowerLetter"/>
      <w:start w:val="7"/>
    </w:lvl>
  </w:abstractNum>
  <w:abstractNum w:abstractNumId="59">
    <w:nsid w:val="61E74EA3"/>
    <w:multiLevelType w:val="hybridMultilevel"/>
    <w:lvl w:ilvl="0">
      <w:lvlJc w:val="left"/>
      <w:lvlText w:val="(%1)"/>
      <w:numFmt w:val="upperLetter"/>
      <w:start w:val="2"/>
    </w:lvl>
    <w:lvl w:ilvl="1">
      <w:lvlJc w:val="left"/>
      <w:lvlText w:val="(%2)"/>
      <w:numFmt w:val="lowerLetter"/>
      <w:start w:val="8"/>
    </w:lvl>
  </w:abstractNum>
  <w:abstractNum w:abstractNumId="60">
    <w:nsid w:val="597B4D84"/>
    <w:multiLevelType w:val="hybridMultilevel"/>
    <w:lvl w:ilvl="0">
      <w:lvlJc w:val="left"/>
      <w:lvlText w:val="(%1)"/>
      <w:numFmt w:val="lowerRoman"/>
      <w:start w:val="1"/>
    </w:lvl>
  </w:abstractNum>
  <w:abstractNum w:abstractNumId="61">
    <w:nsid w:val="F819E7F"/>
    <w:multiLevelType w:val="hybridMultilevel"/>
    <w:lvl w:ilvl="0">
      <w:lvlJc w:val="left"/>
      <w:lvlText w:val="(%1)"/>
      <w:numFmt w:val="lowerLetter"/>
      <w:start w:val="1"/>
    </w:lvl>
  </w:abstractNum>
  <w:abstractNum w:abstractNumId="62">
    <w:nsid w:val="57C7D42D"/>
    <w:multiLevelType w:val="hybridMultilevel"/>
    <w:lvl w:ilvl="0">
      <w:lvlJc w:val="left"/>
      <w:lvlText w:val="(%1)"/>
      <w:numFmt w:val="lowerLetter"/>
      <w:start w:val="1"/>
    </w:lvl>
  </w:abstractNum>
  <w:abstractNum w:abstractNumId="63">
    <w:nsid w:val="312167AD"/>
    <w:multiLevelType w:val="hybridMultilevel"/>
    <w:lvl w:ilvl="0">
      <w:lvlJc w:val="left"/>
      <w:lvlText w:val="(%1)"/>
      <w:numFmt w:val="lowerLetter"/>
      <w:start w:val="2"/>
    </w:lvl>
  </w:abstractNum>
  <w:abstractNum w:abstractNumId="64">
    <w:nsid w:val="631B64D4"/>
    <w:multiLevelType w:val="hybridMultilevel"/>
    <w:lvl w:ilvl="0">
      <w:lvlJc w:val="left"/>
      <w:lvlText w:val="(%1)"/>
      <w:numFmt w:val="lowerLetter"/>
      <w:start w:val="1"/>
    </w:lvl>
  </w:abstractNum>
  <w:abstractNum w:abstractNumId="65">
    <w:nsid w:val="78B5E776"/>
    <w:multiLevelType w:val="hybridMultilevel"/>
    <w:lvl w:ilvl="0">
      <w:lvlJc w:val="left"/>
      <w:lvlText w:val="%1"/>
      <w:numFmt w:val="lowerLetter"/>
      <w:start w:val="1"/>
    </w:lvl>
    <w:lvl w:ilvl="1">
      <w:lvlJc w:val="left"/>
      <w:lvlText w:val="(%2)"/>
      <w:numFmt w:val="lowerLetter"/>
      <w:start w:val="2"/>
    </w:lvl>
  </w:abstractNum>
  <w:abstractNum w:abstractNumId="66">
    <w:nsid w:val="75486E47"/>
    <w:multiLevelType w:val="hybridMultilevel"/>
    <w:lvl w:ilvl="0">
      <w:lvlJc w:val="left"/>
      <w:lvlText w:val="(%1)"/>
      <w:numFmt w:val="lowerLetter"/>
      <w:start w:val="3"/>
    </w:lvl>
    <w:lvl w:ilvl="1">
      <w:lvlJc w:val="left"/>
      <w:lvlText w:val="%2"/>
      <w:numFmt w:val="lowerLetter"/>
      <w:start w:val="1"/>
    </w:lvl>
  </w:abstractNum>
  <w:abstractNum w:abstractNumId="67">
    <w:nsid w:val="6E534CDE"/>
    <w:multiLevelType w:val="hybridMultilevel"/>
    <w:lvl w:ilvl="0">
      <w:lvlJc w:val="left"/>
      <w:lvlText w:val="(%1)"/>
      <w:numFmt w:val="lowerLetter"/>
      <w:start w:val="1"/>
    </w:lvl>
  </w:abstractNum>
  <w:abstractNum w:abstractNumId="68">
    <w:nsid w:val="1A0DDE32"/>
    <w:multiLevelType w:val="hybridMultilevel"/>
    <w:lvl w:ilvl="0">
      <w:lvlJc w:val="left"/>
      <w:lvlText w:val="(%1)"/>
      <w:numFmt w:val="lowerLetter"/>
      <w:start w:val="6"/>
    </w:lvl>
  </w:abstractNum>
  <w:abstractNum w:abstractNumId="69">
    <w:nsid w:val="65968C1C"/>
    <w:multiLevelType w:val="hybridMultilevel"/>
    <w:lvl w:ilvl="0">
      <w:lvlJc w:val="left"/>
      <w:lvlText w:val="(%1)"/>
      <w:numFmt w:val="lowerRoman"/>
      <w:start w:val="1"/>
    </w:lvl>
  </w:abstractNum>
  <w:abstractNum w:abstractNumId="70">
    <w:nsid w:val="46263DEC"/>
    <w:multiLevelType w:val="hybridMultilevel"/>
    <w:lvl w:ilvl="0">
      <w:lvlJc w:val="left"/>
      <w:lvlText w:val="(%1)"/>
      <w:numFmt w:val="lowerRoman"/>
      <w:start w:val="2"/>
    </w:lvl>
  </w:abstractNum>
  <w:abstractNum w:abstractNumId="71">
    <w:nsid w:val="260D8C4A"/>
    <w:multiLevelType w:val="hybridMultilevel"/>
    <w:lvl w:ilvl="0">
      <w:lvlJc w:val="left"/>
      <w:lvlText w:val="%1"/>
      <w:numFmt w:val="lowerRoman"/>
      <w:start w:val="1"/>
    </w:lvl>
    <w:lvl w:ilvl="1">
      <w:lvlJc w:val="left"/>
      <w:lvlText w:val="(%2)"/>
      <w:numFmt w:val="lowerLetter"/>
      <w:start w:val="2"/>
    </w:lvl>
  </w:abstractNum>
  <w:abstractNum w:abstractNumId="72">
    <w:nsid w:val="73D4D3C4"/>
    <w:multiLevelType w:val="hybridMultilevel"/>
    <w:lvl w:ilvl="0">
      <w:lvlJc w:val="left"/>
      <w:lvlText w:val="(%1)"/>
      <w:numFmt w:val="lowerRoman"/>
      <w:start w:val="4"/>
    </w:lvl>
    <w:lvl w:ilvl="1">
      <w:lvlJc w:val="left"/>
      <w:lvlText w:val="%2"/>
      <w:numFmt w:val="lowerLetter"/>
      <w:start w:val="1"/>
    </w:lvl>
  </w:abstractNum>
  <w:abstractNum w:abstractNumId="73">
    <w:nsid w:val="746F2E30"/>
    <w:multiLevelType w:val="hybridMultilevel"/>
    <w:lvl w:ilvl="0">
      <w:lvlJc w:val="left"/>
      <w:lvlText w:val="(%1)"/>
      <w:numFmt w:val="lowerLetter"/>
      <w:start w:val="5"/>
    </w:lvl>
  </w:abstractNum>
  <w:abstractNum w:abstractNumId="74">
    <w:nsid w:val="6FDE8AF6"/>
    <w:multiLevelType w:val="hybridMultilevel"/>
    <w:lvl w:ilvl="0">
      <w:lvlJc w:val="left"/>
      <w:lvlText w:val="(%1)"/>
      <w:numFmt w:val="lowerRoman"/>
      <w:start w:val="1"/>
    </w:lvl>
  </w:abstractNum>
  <w:abstractNum w:abstractNumId="75">
    <w:nsid w:val="3FC32E20"/>
    <w:multiLevelType w:val="hybridMultilevel"/>
    <w:lvl w:ilvl="0">
      <w:lvlJc w:val="left"/>
      <w:lvlText w:val="(%1)"/>
      <w:numFmt w:val="lowerRoman"/>
      <w:start w:val="2"/>
    </w:lvl>
  </w:abstractNum>
  <w:abstractNum w:abstractNumId="76">
    <w:nsid w:val="49C0E823"/>
    <w:multiLevelType w:val="hybridMultilevel"/>
    <w:lvl w:ilvl="0">
      <w:lvlJc w:val="left"/>
      <w:lvlText w:val="(%1)"/>
      <w:numFmt w:val="lowerLetter"/>
      <w:start w:val="2"/>
    </w:lvl>
  </w:abstractNum>
  <w:abstractNum w:abstractNumId="77">
    <w:nsid w:val="14D53685"/>
    <w:multiLevelType w:val="hybridMultilevel"/>
    <w:lvl w:ilvl="0">
      <w:lvlJc w:val="left"/>
      <w:lvlText w:val="(%1)"/>
      <w:numFmt w:val="lowerLetter"/>
      <w:start w:val="1"/>
    </w:lvl>
  </w:abstractNum>
  <w:abstractNum w:abstractNumId="78">
    <w:nsid w:val="230F856C"/>
    <w:multiLevelType w:val="hybridMultilevel"/>
    <w:lvl w:ilvl="0">
      <w:lvlJc w:val="left"/>
      <w:lvlText w:val="(%1)"/>
      <w:numFmt w:val="lowerLetter"/>
      <w:start w:val="1"/>
    </w:lvl>
  </w:abstractNum>
  <w:abstractNum w:abstractNumId="79">
    <w:nsid w:val="6EAA85FB"/>
    <w:multiLevelType w:val="hybridMultilevel"/>
    <w:lvl w:ilvl="0">
      <w:lvlJc w:val="left"/>
      <w:lvlText w:val="(%1)"/>
      <w:numFmt w:val="lowerLetter"/>
      <w:start w:val="4"/>
    </w:lvl>
  </w:abstractNum>
  <w:abstractNum w:abstractNumId="80">
    <w:nsid w:val="3F06ECB2"/>
    <w:multiLevelType w:val="hybridMultilevel"/>
    <w:lvl w:ilvl="0">
      <w:lvlJc w:val="left"/>
      <w:lvlText w:val="(%1)"/>
      <w:numFmt w:val="lowerRoman"/>
      <w:start w:val="1"/>
    </w:lvl>
  </w:abstractNum>
  <w:abstractNum w:abstractNumId="81">
    <w:nsid w:val="3B594807"/>
    <w:multiLevelType w:val="hybridMultilevel"/>
    <w:lvl w:ilvl="0">
      <w:lvlJc w:val="left"/>
      <w:lvlText w:val="(%1)"/>
      <w:numFmt w:val="upperLetter"/>
      <w:start w:val="1"/>
    </w:lvl>
    <w:lvl w:ilvl="1">
      <w:lvlJc w:val="left"/>
      <w:lvlText w:val="(%2)"/>
      <w:numFmt w:val="decimal"/>
      <w:start w:val="1"/>
    </w:lvl>
  </w:abstractNum>
  <w:abstractNum w:abstractNumId="82">
    <w:nsid w:val="6CAA2304"/>
    <w:multiLevelType w:val="hybridMultilevel"/>
    <w:lvl w:ilvl="0">
      <w:lvlJc w:val="left"/>
      <w:lvlText w:val="(%1)"/>
      <w:numFmt w:val="upperLetter"/>
      <w:start w:val="3"/>
    </w:lvl>
  </w:abstractNum>
  <w:abstractNum w:abstractNumId="83">
    <w:nsid w:val="3F7C2FF4"/>
    <w:multiLevelType w:val="hybridMultilevel"/>
    <w:lvl w:ilvl="0">
      <w:lvlJc w:val="left"/>
      <w:lvlText w:val="(%1)"/>
      <w:numFmt w:val="lowerLetter"/>
      <w:start w:val="7"/>
    </w:lvl>
  </w:abstractNum>
  <w:abstractNum w:abstractNumId="84">
    <w:nsid w:val="25413BEC"/>
    <w:multiLevelType w:val="hybridMultilevel"/>
    <w:lvl w:ilvl="0">
      <w:lvlJc w:val="left"/>
      <w:lvlText w:val="(%1)"/>
      <w:numFmt w:val="lowerRoman"/>
      <w:start w:val="1"/>
    </w:lvl>
  </w:abstractNum>
  <w:abstractNum w:abstractNumId="85">
    <w:nsid w:val="17180B0B"/>
    <w:multiLevelType w:val="hybridMultilevel"/>
    <w:lvl w:ilvl="0">
      <w:lvlJc w:val="left"/>
      <w:lvlText w:val="(%1)"/>
      <w:numFmt w:val="lowerLetter"/>
      <w:start w:val="1"/>
    </w:lvl>
  </w:abstractNum>
  <w:abstractNum w:abstractNumId="86">
    <w:nsid w:val="579328B9"/>
    <w:multiLevelType w:val="hybridMultilevel"/>
    <w:lvl w:ilvl="0">
      <w:lvlJc w:val="left"/>
      <w:lvlText w:val="(%1)"/>
      <w:numFmt w:val="lowerLetter"/>
      <w:start w:val="3"/>
    </w:lvl>
  </w:abstractNum>
  <w:abstractNum w:abstractNumId="87">
    <w:nsid w:val="5D205E20"/>
    <w:multiLevelType w:val="hybridMultilevel"/>
    <w:lvl w:ilvl="0">
      <w:lvlJc w:val="left"/>
      <w:lvlText w:val="(%1)"/>
      <w:numFmt w:val="lowerLetter"/>
      <w:start w:val="6"/>
    </w:lvl>
  </w:abstractNum>
  <w:abstractNum w:abstractNumId="88">
    <w:nsid w:val="11CCA8BA"/>
    <w:multiLevelType w:val="hybridMultilevel"/>
    <w:lvl w:ilvl="0">
      <w:lvlJc w:val="left"/>
      <w:lvlText w:val="(%1)"/>
      <w:numFmt w:val="lowerLetter"/>
      <w:start w:val="1"/>
    </w:lvl>
  </w:abstractNum>
  <w:abstractNum w:abstractNumId="89">
    <w:nsid w:val="4D32AB86"/>
    <w:multiLevelType w:val="hybridMultilevel"/>
    <w:lvl w:ilvl="0">
      <w:lvlJc w:val="left"/>
      <w:lvlText w:val="(%1)"/>
      <w:numFmt w:val="lowerLetter"/>
      <w:start w:val="2"/>
    </w:lvl>
  </w:abstractNum>
  <w:abstractNum w:abstractNumId="90">
    <w:nsid w:val="3F07ACC3"/>
    <w:multiLevelType w:val="hybridMultilevel"/>
    <w:lvl w:ilvl="0">
      <w:lvlJc w:val="left"/>
      <w:lvlText w:val="(%1)"/>
      <w:numFmt w:val="lowerLetter"/>
      <w:start w:val="3"/>
    </w:lvl>
    <w:lvl w:ilvl="1">
      <w:lvlJc w:val="left"/>
      <w:lvlText w:val="(%2)"/>
      <w:numFmt w:val="lowerRoman"/>
      <w:start w:val="1"/>
    </w:lvl>
  </w:abstractNum>
  <w:abstractNum w:abstractNumId="91">
    <w:nsid w:val="6B47F63E"/>
    <w:multiLevelType w:val="hybridMultilevel"/>
    <w:lvl w:ilvl="0">
      <w:lvlJc w:val="left"/>
      <w:lvlText w:val="(%1)"/>
      <w:numFmt w:val="lowerLetter"/>
      <w:start w:val="5"/>
    </w:lvl>
  </w:abstractNum>
  <w:abstractNum w:abstractNumId="92">
    <w:nsid w:val="5CB44A05"/>
    <w:multiLevelType w:val="hybridMultilevel"/>
    <w:lvl w:ilvl="0">
      <w:lvlJc w:val="left"/>
      <w:lvlText w:val="(%1)"/>
      <w:numFmt w:val="lowerLetter"/>
      <w:start w:val="1"/>
    </w:lvl>
  </w:abstractNum>
  <w:abstractNum w:abstractNumId="93">
    <w:nsid w:val="16CF80F1"/>
    <w:multiLevelType w:val="hybridMultilevel"/>
    <w:lvl w:ilvl="0">
      <w:lvlJc w:val="left"/>
      <w:lvlText w:val="(%1)"/>
      <w:numFmt w:val="lowerLetter"/>
      <w:start w:val="2"/>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1"/>
    </w:lvl>
  </w:abstractNum>
  <w:abstractNum w:abstractNumId="96">
    <w:nsid w:val="F856867"/>
    <w:multiLevelType w:val="hybridMultilevel"/>
    <w:lvl w:ilvl="0">
      <w:lvlJc w:val="left"/>
      <w:lvlText w:val="(%1)"/>
      <w:numFmt w:val="lowerRoman"/>
      <w:start w:val="1"/>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1)"/>
      <w:numFmt w:val="lowerLetter"/>
      <w:start w:val="1"/>
    </w:lvl>
  </w:abstractNum>
  <w:abstractNum w:abstractNumId="100">
    <w:nsid w:val="77485850"/>
    <w:multiLevelType w:val="hybridMultilevel"/>
    <w:lvl w:ilvl="0">
      <w:lvlJc w:val="left"/>
      <w:lvlText w:val="(%1)"/>
      <w:numFmt w:val="lowerLetter"/>
      <w:start w:val="4"/>
    </w:lvl>
  </w:abstractNum>
  <w:abstractNum w:abstractNumId="101">
    <w:nsid w:val="744939A3"/>
    <w:multiLevelType w:val="hybridMultilevel"/>
    <w:lvl w:ilvl="0">
      <w:lvlJc w:val="left"/>
      <w:lvlText w:val="(%1)"/>
      <w:numFmt w:val="lowerLetter"/>
      <w:start w:val="1"/>
    </w:lvl>
  </w:abstractNum>
  <w:abstractNum w:abstractNumId="102">
    <w:nsid w:val="4FA0D2E3"/>
    <w:multiLevelType w:val="hybridMultilevel"/>
    <w:lvl w:ilvl="0">
      <w:lvlJc w:val="left"/>
      <w:lvlText w:val="(%1)"/>
      <w:numFmt w:val="lowerLetter"/>
      <w:start w:val="7"/>
    </w:lvl>
  </w:abstractNum>
  <w:abstractNum w:abstractNumId="103">
    <w:nsid w:val="6B1D2C14"/>
    <w:multiLevelType w:val="hybridMultilevel"/>
    <w:lvl w:ilvl="0">
      <w:lvlJc w:val="left"/>
      <w:lvlText w:val="(%1)"/>
      <w:numFmt w:val="lowerLetter"/>
      <w:start w:val="9"/>
    </w:lvl>
  </w:abstractNum>
  <w:abstractNum w:abstractNumId="104">
    <w:nsid w:val="68B867D3"/>
    <w:multiLevelType w:val="hybridMultilevel"/>
    <w:lvl w:ilvl="0">
      <w:lvlJc w:val="left"/>
      <w:lvlText w:val="(%1)"/>
      <w:numFmt w:val="lowerLetter"/>
      <w:start w:val="16"/>
    </w:lvl>
  </w:abstractNum>
  <w:abstractNum w:abstractNumId="105">
    <w:nsid w:val="3F7F5DD9"/>
    <w:multiLevelType w:val="hybridMultilevel"/>
    <w:lvl w:ilvl="0">
      <w:lvlJc w:val="left"/>
      <w:lvlText w:val="(%1)"/>
      <w:numFmt w:val="lowerLetter"/>
      <w:start w:val="1"/>
    </w:lvl>
  </w:abstractNum>
  <w:abstractNum w:abstractNumId="106">
    <w:nsid w:val="2AE05A34"/>
    <w:multiLevelType w:val="hybridMultilevel"/>
    <w:lvl w:ilvl="0">
      <w:lvlJc w:val="left"/>
      <w:lvlText w:val="%1"/>
      <w:numFmt w:val="lowerLetter"/>
      <w:start w:val="1"/>
    </w:lvl>
    <w:lvl w:ilvl="1">
      <w:lvlJc w:val="left"/>
      <w:lvlText w:val="(%2)"/>
      <w:numFmt w:val="lowerLetter"/>
      <w:start w:val="1"/>
    </w:lvl>
  </w:abstractNum>
  <w:abstractNum w:abstractNumId="107">
    <w:nsid w:val="32794FF7"/>
    <w:multiLevelType w:val="hybridMultilevel"/>
    <w:lvl w:ilvl="0">
      <w:lvlJc w:val="left"/>
      <w:lvlText w:val="(%1)"/>
      <w:numFmt w:val="lowerLetter"/>
      <w:start w:val="61"/>
    </w:lvl>
    <w:lvl w:ilvl="1">
      <w:lvlJc w:val="left"/>
      <w:lvlText w:val="(%2)"/>
      <w:numFmt w:val="lowerLetter"/>
      <w:start w:val="4"/>
    </w:lvl>
  </w:abstractNum>
  <w:abstractNum w:abstractNumId="108">
    <w:nsid w:val="5454945E"/>
    <w:multiLevelType w:val="hybridMultilevel"/>
    <w:lvl w:ilvl="0">
      <w:lvlJc w:val="left"/>
      <w:lvlText w:val="(%1)"/>
      <w:numFmt w:val="lowerLetter"/>
      <w:start w:val="6"/>
    </w:lvl>
  </w:abstractNum>
  <w:abstractNum w:abstractNumId="109">
    <w:nsid w:val="4DEFDFA0"/>
    <w:multiLevelType w:val="hybridMultilevel"/>
    <w:lvl w:ilvl="0">
      <w:lvlJc w:val="left"/>
      <w:lvlText w:val="(%1)"/>
      <w:numFmt w:val="lowerRoman"/>
      <w:start w:val="1"/>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lowerLetter"/>
      <w:start w:val="1"/>
    </w:lvl>
  </w:abstractNum>
  <w:abstractNum w:abstractNumId="112">
    <w:nsid w:val="94927A8"/>
    <w:multiLevelType w:val="hybridMultilevel"/>
    <w:lvl w:ilvl="0">
      <w:lvlJc w:val="left"/>
      <w:lvlText w:val="(%1)"/>
      <w:numFmt w:val="lowerLetter"/>
      <w:start w:val="1"/>
    </w:lvl>
  </w:abstractNum>
  <w:abstractNum w:abstractNumId="113">
    <w:nsid w:val="DCDF8F6"/>
    <w:multiLevelType w:val="hybridMultilevel"/>
    <w:lvl w:ilvl="0">
      <w:lvlJc w:val="left"/>
      <w:lvlText w:val="(%1)"/>
      <w:numFmt w:val="lowerLetter"/>
      <w:start w:val="2"/>
    </w:lvl>
  </w:abstractNum>
  <w:abstractNum w:abstractNumId="114">
    <w:nsid w:val="52D7B105"/>
    <w:multiLevelType w:val="hybridMultilevel"/>
    <w:lvl w:ilvl="0">
      <w:lvlJc w:val="left"/>
      <w:lvlText w:val="(%1)"/>
      <w:numFmt w:val="lowerLetter"/>
      <w:start w:val="1"/>
    </w:lvl>
  </w:abstractNum>
  <w:abstractNum w:abstractNumId="115">
    <w:nsid w:val="2E8A6394"/>
    <w:multiLevelType w:val="hybridMultilevel"/>
    <w:lvl w:ilvl="0">
      <w:lvlJc w:val="left"/>
      <w:lvlText w:val="(%1)"/>
      <w:numFmt w:val="lowerLetter"/>
      <w:start w:val="2"/>
    </w:lvl>
  </w:abstractNum>
  <w:abstractNum w:abstractNumId="116">
    <w:nsid w:val="24E60401"/>
    <w:multiLevelType w:val="hybridMultilevel"/>
    <w:lvl w:ilvl="0">
      <w:lvlJc w:val="left"/>
      <w:lvlText w:val="(%1)"/>
      <w:numFmt w:val="lowerLetter"/>
      <w:start w:val="4"/>
    </w:lvl>
  </w:abstractNum>
  <w:abstractNum w:abstractNumId="117">
    <w:nsid w:val="2A6AD9BE"/>
    <w:multiLevelType w:val="hybridMultilevel"/>
    <w:lvl w:ilvl="0">
      <w:lvlJc w:val="left"/>
      <w:lvlText w:val="%1"/>
      <w:numFmt w:val="lowerLetter"/>
      <w:start w:val="1"/>
    </w:lvl>
    <w:lvl w:ilvl="1">
      <w:lvlJc w:val="left"/>
      <w:lvlText w:val="(%2)"/>
      <w:numFmt w:val="lowerLetter"/>
      <w:start w:val="2"/>
    </w:lvl>
  </w:abstractNum>
  <w:abstractNum w:abstractNumId="118">
    <w:nsid w:val="BAAC1B4"/>
    <w:multiLevelType w:val="hybridMultilevel"/>
    <w:lvl w:ilvl="0">
      <w:lvlJc w:val="left"/>
      <w:lvlText w:val="(%1)"/>
      <w:numFmt w:val="lowerLetter"/>
      <w:start w:val="10"/>
    </w:lvl>
    <w:lvl w:ilvl="1">
      <w:lvlJc w:val="left"/>
      <w:lvlText w:val="%2"/>
      <w:numFmt w:val="lowerLetter"/>
      <w:start w:val="1"/>
    </w:lvl>
  </w:abstractNum>
  <w:abstractNum w:abstractNumId="119">
    <w:nsid w:val="36B2ACBC"/>
    <w:multiLevelType w:val="hybridMultilevel"/>
    <w:lvl w:ilvl="0">
      <w:lvlJc w:val="left"/>
      <w:lvlText w:val="(%1)"/>
      <w:numFmt w:val="lowerLetter"/>
      <w:start w:val="7"/>
    </w:lvl>
  </w:abstractNum>
  <w:abstractNum w:abstractNumId="120">
    <w:nsid w:val="779D8544"/>
    <w:multiLevelType w:val="hybridMultilevel"/>
    <w:lvl w:ilvl="0">
      <w:lvlJc w:val="left"/>
      <w:lvlText w:val="(%1)"/>
      <w:numFmt w:val="lowerLetter"/>
      <w:start w:val="2"/>
    </w:lvl>
    <w:lvl w:ilvl="1">
      <w:lvlJc w:val="left"/>
      <w:lvlText w:val="(%2)"/>
      <w:numFmt w:val="lowerLetter"/>
      <w:start w:val="11"/>
    </w:lvl>
  </w:abstractNum>
  <w:abstractNum w:abstractNumId="121">
    <w:nsid w:val="4AB26E78"/>
    <w:multiLevelType w:val="hybridMultilevel"/>
    <w:lvl w:ilvl="0">
      <w:lvlJc w:val="left"/>
      <w:lvlText w:val="(%1)"/>
      <w:numFmt w:val="lowerLetter"/>
      <w:start w:val="18"/>
    </w:lvl>
  </w:abstractNum>
  <w:abstractNum w:abstractNumId="122">
    <w:nsid w:val="21FAA2FA"/>
    <w:multiLevelType w:val="hybridMultilevel"/>
    <w:lvl w:ilvl="0">
      <w:lvlJc w:val="left"/>
      <w:lvlText w:val="(%1)"/>
      <w:numFmt w:val="lowerLetter"/>
      <w:start w:val="1"/>
    </w:lvl>
  </w:abstractNum>
  <w:abstractNum w:abstractNumId="123">
    <w:nsid w:val="5451CF49"/>
    <w:multiLevelType w:val="hybridMultilevel"/>
    <w:lvl w:ilvl="0">
      <w:lvlJc w:val="left"/>
      <w:lvlText w:val="(%1)"/>
      <w:numFmt w:val="lowerLetter"/>
      <w:start w:val="10"/>
    </w:lvl>
  </w:abstractNum>
  <w:abstractNum w:abstractNumId="124">
    <w:nsid w:val="6181EF69"/>
    <w:multiLevelType w:val="hybridMultilevel"/>
    <w:lvl w:ilvl="0">
      <w:lvlJc w:val="left"/>
      <w:lvlText w:val="(%1)"/>
      <w:numFmt w:val="lowerLetter"/>
      <w:start w:val="1"/>
    </w:lvl>
  </w:abstractNum>
  <w:abstractNum w:abstractNumId="125">
    <w:nsid w:val="3E6400E6"/>
    <w:multiLevelType w:val="hybridMultilevel"/>
    <w:lvl w:ilvl="0">
      <w:lvlJc w:val="left"/>
      <w:lvlText w:val="(%1)"/>
      <w:numFmt w:val="lowerLetter"/>
      <w:start w:val="2"/>
    </w:lvl>
  </w:abstractNum>
  <w:abstractNum w:abstractNumId="126">
    <w:nsid w:val="14217E23"/>
    <w:multiLevelType w:val="hybridMultilevel"/>
    <w:lvl w:ilvl="0">
      <w:lvlJc w:val="left"/>
      <w:lvlText w:val="(%1)"/>
      <w:numFmt w:val="lowerLetter"/>
      <w:start w:val="1"/>
    </w:lvl>
  </w:abstractNum>
  <w:abstractNum w:abstractNumId="127">
    <w:nsid w:val="710757D0"/>
    <w:multiLevelType w:val="hybridMultilevel"/>
    <w:lvl w:ilvl="0">
      <w:lvlJc w:val="left"/>
      <w:lvlText w:val="(%1)"/>
      <w:numFmt w:val="lowerLetter"/>
      <w:start w:val="4"/>
    </w:lvl>
  </w:abstractNum>
  <w:abstractNum w:abstractNumId="128">
    <w:nsid w:val="5015CD1A"/>
    <w:multiLevelType w:val="hybridMultilevel"/>
    <w:lvl w:ilvl="0">
      <w:lvlJc w:val="left"/>
      <w:lvlText w:val="(%1)"/>
      <w:numFmt w:val="lowerLetter"/>
      <w:start w:val="12"/>
    </w:lvl>
  </w:abstractNum>
  <w:abstractNum w:abstractNumId="129">
    <w:nsid w:val="424479DA"/>
    <w:multiLevelType w:val="hybridMultilevel"/>
    <w:lvl w:ilvl="0">
      <w:lvlJc w:val="left"/>
      <w:lvlText w:val="(%1)"/>
      <w:numFmt w:val="lowerLetter"/>
      <w:start w:val="1"/>
    </w:lvl>
  </w:abstractNum>
  <w:abstractNum w:abstractNumId="130">
    <w:nsid w:val="1A9A9E69"/>
    <w:multiLevelType w:val="hybridMultilevel"/>
    <w:lvl w:ilvl="0">
      <w:lvlJc w:val="left"/>
      <w:lvlText w:val="(%1)"/>
      <w:numFmt w:val="lowerLetter"/>
      <w:start w:val="5"/>
    </w:lvl>
  </w:abstractNum>
  <w:abstractNum w:abstractNumId="131">
    <w:nsid w:val="475E256A"/>
    <w:multiLevelType w:val="hybridMultilevel"/>
    <w:lvl w:ilvl="0">
      <w:lvlJc w:val="left"/>
      <w:lvlText w:val="(%1)"/>
      <w:numFmt w:val="lowerLetter"/>
      <w:start w:val="1"/>
    </w:lvl>
  </w:abstractNum>
  <w:abstractNum w:abstractNumId="132">
    <w:nsid w:val="368DB37E"/>
    <w:multiLevelType w:val="hybridMultilevel"/>
    <w:lvl w:ilvl="0">
      <w:lvlJc w:val="left"/>
      <w:lvlText w:val="(%1)"/>
      <w:numFmt w:val="lowerLetter"/>
      <w:start w:val="1"/>
    </w:lvl>
    <w:lvl w:ilvl="1">
      <w:lvlJc w:val="left"/>
      <w:lvlText w:val="(%2)"/>
      <w:numFmt w:val="lowerRoman"/>
      <w:start w:val="1"/>
    </w:lvl>
  </w:abstractNum>
  <w:abstractNum w:abstractNumId="133">
    <w:nsid w:val="6A3B714C"/>
    <w:multiLevelType w:val="hybridMultilevel"/>
    <w:lvl w:ilvl="0">
      <w:lvlJc w:val="left"/>
      <w:lvlText w:val="%1"/>
      <w:numFmt w:val="lowerRoman"/>
      <w:start w:val="1"/>
    </w:lvl>
    <w:lvl w:ilvl="1">
      <w:lvlJc w:val="left"/>
      <w:lvlText w:val="(%2)"/>
      <w:numFmt w:val="lowerRoman"/>
      <w:start w:val="6"/>
    </w:lvl>
  </w:abstractNum>
  <w:abstractNum w:abstractNumId="134">
    <w:nsid w:val="327B517E"/>
    <w:multiLevelType w:val="hybridMultilevel"/>
    <w:lvl w:ilvl="0">
      <w:lvlJc w:val="left"/>
      <w:lvlText w:val="(%1)"/>
      <w:numFmt w:val="lowerRoman"/>
      <w:start w:val="10"/>
    </w:lvl>
    <w:lvl w:ilvl="1">
      <w:lvlJc w:val="left"/>
      <w:lvlText w:val="(%2)"/>
      <w:numFmt w:val="lowerRoman"/>
      <w:start w:val="10"/>
    </w:lvl>
  </w:abstractNum>
  <w:abstractNum w:abstractNumId="135">
    <w:nsid w:val="1F461B51"/>
    <w:multiLevelType w:val="hybridMultilevel"/>
    <w:lvl w:ilvl="0">
      <w:lvlJc w:val="left"/>
      <w:lvlText w:val="(%1)"/>
      <w:numFmt w:val="lowerLetter"/>
      <w:start w:val="2"/>
    </w:lvl>
    <w:lvl w:ilvl="1">
      <w:lvlJc w:val="left"/>
      <w:lvlText w:val="(%2)"/>
      <w:numFmt w:val="lowerLetter"/>
      <w:start w:val="9"/>
    </w:lvl>
  </w:abstractNum>
  <w:abstractNum w:abstractNumId="136">
    <w:nsid w:val="29BACF25"/>
    <w:multiLevelType w:val="hybridMultilevel"/>
    <w:lvl w:ilvl="0">
      <w:lvlJc w:val="left"/>
      <w:lvlText w:val="(%1)"/>
      <w:numFmt w:val="lowerRoman"/>
      <w:start w:val="2"/>
    </w:lvl>
  </w:abstractNum>
  <w:abstractNum w:abstractNumId="137">
    <w:nsid w:val="5D5BABB3"/>
    <w:multiLevelType w:val="hybridMultilevel"/>
    <w:lvl w:ilvl="0">
      <w:lvlJc w:val="left"/>
      <w:lvlText w:val="(%1)"/>
      <w:numFmt w:val="lowerRoman"/>
      <w:start w:val="1"/>
    </w:lvl>
  </w:abstractNum>
  <w:abstractNum w:abstractNumId="138">
    <w:nsid w:val="51BF6B48"/>
    <w:multiLevelType w:val="hybridMultilevel"/>
    <w:lvl w:ilvl="0">
      <w:lvlJc w:val="left"/>
      <w:lvlText w:val="%1"/>
      <w:numFmt w:val="lowerLetter"/>
      <w:start w:val="1"/>
    </w:lvl>
    <w:lvl w:ilvl="1">
      <w:lvlJc w:val="left"/>
      <w:lvlText w:val="(%2)"/>
      <w:numFmt w:val="lowerLetter"/>
      <w:start w:val="1"/>
    </w:lvl>
  </w:abstractNum>
  <w:abstractNum w:abstractNumId="139">
    <w:nsid w:val="7E0F6384"/>
    <w:multiLevelType w:val="hybridMultilevel"/>
    <w:lvl w:ilvl="0">
      <w:lvlJc w:val="left"/>
      <w:lvlText w:val="(%1)"/>
      <w:numFmt w:val="lowerLetter"/>
      <w:start w:val="1"/>
    </w:lvl>
    <w:lvl w:ilvl="1">
      <w:lvlJc w:val="left"/>
      <w:lvlText w:val="%2"/>
      <w:numFmt w:val="lowerLetter"/>
      <w:start w:val="1"/>
    </w:lvl>
  </w:abstractNum>
  <w:abstractNum w:abstractNumId="140">
    <w:nsid w:val="2B4B8B53"/>
    <w:multiLevelType w:val="hybridMultilevel"/>
    <w:lvl w:ilvl="0">
      <w:lvlJc w:val="left"/>
      <w:lvlText w:val="%1"/>
      <w:numFmt w:val="lowerLetter"/>
      <w:start w:val="1"/>
    </w:lvl>
    <w:lvl w:ilvl="1">
      <w:lvlJc w:val="left"/>
      <w:lvlText w:val="(%2)"/>
      <w:numFmt w:val="lowerLetter"/>
      <w:start w:val="3"/>
    </w:lvl>
  </w:abstractNum>
  <w:abstractNum w:abstractNumId="141">
    <w:nsid w:val="72E3413A"/>
    <w:multiLevelType w:val="hybridMultilevel"/>
    <w:lvl w:ilvl="0">
      <w:lvlJc w:val="left"/>
      <w:lvlText w:val="(%1)"/>
      <w:numFmt w:val="lowerLetter"/>
      <w:start w:val="35"/>
    </w:lvl>
    <w:lvl w:ilvl="1">
      <w:lvlJc w:val="left"/>
      <w:lvlText w:val="%2"/>
      <w:numFmt w:val="lowerLetter"/>
      <w:start w:val="1"/>
    </w:lvl>
  </w:abstractNum>
  <w:abstractNum w:abstractNumId="142">
    <w:nsid w:val="116AE494"/>
    <w:multiLevelType w:val="hybridMultilevel"/>
    <w:lvl w:ilvl="0">
      <w:lvlJc w:val="left"/>
      <w:lvlText w:val="(%1)"/>
      <w:numFmt w:val="lowerLetter"/>
      <w:start w:val="22"/>
    </w:lvl>
    <w:lvl w:ilvl="1">
      <w:lvlJc w:val="left"/>
      <w:lvlText w:val="(%2)"/>
      <w:numFmt w:val="lowerLetter"/>
      <w:start w:val="10"/>
    </w:lvl>
  </w:abstractNum>
  <w:abstractNum w:abstractNumId="143">
    <w:nsid w:val="3494B2FB"/>
    <w:multiLevelType w:val="hybridMultilevel"/>
    <w:lvl w:ilvl="0">
      <w:lvlJc w:val="left"/>
      <w:lvlText w:val="(%1)"/>
      <w:numFmt w:val="lowerLetter"/>
      <w:start w:val="1"/>
    </w:lvl>
  </w:abstractNum>
  <w:abstractNum w:abstractNumId="144">
    <w:nsid w:val="B13A31"/>
    <w:multiLevelType w:val="hybridMultilevel"/>
    <w:lvl w:ilvl="0">
      <w:lvlJc w:val="left"/>
      <w:lvlText w:val="(%1)"/>
      <w:numFmt w:val="lowerLetter"/>
      <w:start w:val="3"/>
    </w:lvl>
    <w:lvl w:ilvl="1">
      <w:lvlJc w:val="left"/>
      <w:lvlText w:val="(%2)"/>
      <w:numFmt w:val="lowerRoman"/>
      <w:start w:val="1"/>
    </w:lvl>
  </w:abstractNum>
  <w:abstractNum w:abstractNumId="145">
    <w:nsid w:val="64429599"/>
    <w:multiLevelType w:val="hybridMultilevel"/>
    <w:lvl w:ilvl="0">
      <w:lvlJc w:val="left"/>
      <w:lvlText w:val="(%1)"/>
      <w:numFmt w:val="lowerLetter"/>
      <w:start w:val="6"/>
    </w:lvl>
    <w:lvl w:ilvl="1">
      <w:lvlJc w:val="left"/>
      <w:lvlText w:val="(%2)"/>
      <w:numFmt w:val="lowerRoman"/>
      <w:start w:val="1"/>
    </w:lvl>
  </w:abstractNum>
  <w:abstractNum w:abstractNumId="146">
    <w:nsid w:val="631F1690"/>
    <w:multiLevelType w:val="hybridMultilevel"/>
    <w:lvl w:ilvl="0">
      <w:lvlJc w:val="left"/>
      <w:lvlText w:val="(%1)"/>
      <w:numFmt w:val="lowerLetter"/>
      <w:start w:val="7"/>
    </w:lvl>
  </w:abstractNum>
  <w:abstractNum w:abstractNumId="147">
    <w:nsid w:val="25973E32"/>
    <w:multiLevelType w:val="hybridMultilevel"/>
    <w:lvl w:ilvl="0">
      <w:lvlJc w:val="left"/>
      <w:lvlText w:val="(%1)"/>
      <w:numFmt w:val="lowerLetter"/>
      <w:start w:val="1"/>
    </w:lvl>
  </w:abstractNum>
  <w:abstractNum w:abstractNumId="148">
    <w:nsid w:val="EAD6F57"/>
    <w:multiLevelType w:val="hybridMultilevel"/>
    <w:lvl w:ilvl="0">
      <w:lvlJc w:val="left"/>
      <w:lvlText w:val="(%1)"/>
      <w:numFmt w:val="lowerLetter"/>
      <w:start w:val="2"/>
    </w:lvl>
  </w:abstractNum>
  <w:abstractNum w:abstractNumId="149">
    <w:nsid w:val="6EC9D844"/>
    <w:multiLevelType w:val="hybridMultilevel"/>
    <w:lvl w:ilvl="0">
      <w:lvlJc w:val="left"/>
      <w:lvlText w:val="(%1)"/>
      <w:numFmt w:val="lowerLetter"/>
      <w:start w:val="1"/>
    </w:lvl>
  </w:abstractNum>
  <w:abstractNum w:abstractNumId="150">
    <w:nsid w:val="5C49EAEE"/>
    <w:multiLevelType w:val="hybridMultilevel"/>
    <w:lvl w:ilvl="0">
      <w:lvlJc w:val="left"/>
      <w:lvlText w:val="(%1)"/>
      <w:numFmt w:val="lowerLetter"/>
      <w:start w:val="4"/>
    </w:lvl>
  </w:abstractNum>
  <w:abstractNum w:abstractNumId="151">
    <w:nsid w:val="64AF49B"/>
    <w:multiLevelType w:val="hybridMultilevel"/>
    <w:lvl w:ilvl="0">
      <w:lvlJc w:val="left"/>
      <w:lvlText w:val="(%1)"/>
      <w:numFmt w:val="lowerLetter"/>
      <w:start w:val="5"/>
    </w:lvl>
  </w:abstractNum>
  <w:abstractNum w:abstractNumId="152">
    <w:nsid w:val="397C46BC"/>
    <w:multiLevelType w:val="hybridMultilevel"/>
    <w:lvl w:ilvl="0">
      <w:lvlJc w:val="left"/>
      <w:lvlText w:val="(%1)"/>
      <w:numFmt w:val="lowerLetter"/>
      <w:start w:val="1"/>
    </w:lvl>
  </w:abstractNum>
  <w:abstractNum w:abstractNumId="153">
    <w:nsid w:val="7E448DE9"/>
    <w:multiLevelType w:val="hybridMultilevel"/>
    <w:lvl w:ilvl="0">
      <w:lvlJc w:val="left"/>
      <w:lvlText w:val="(%1)"/>
      <w:numFmt w:val="lowerLetter"/>
      <w:start w:val="2"/>
    </w:lvl>
  </w:abstractNum>
  <w:abstractNum w:abstractNumId="154">
    <w:nsid w:val="5A9CC3E5"/>
    <w:multiLevelType w:val="hybridMultilevel"/>
    <w:lvl w:ilvl="0">
      <w:lvlJc w:val="left"/>
      <w:lvlText w:val="(%1)"/>
      <w:numFmt w:val="lowerLetter"/>
      <w:start w:val="1"/>
    </w:lvl>
  </w:abstractNum>
  <w:abstractNum w:abstractNumId="155">
    <w:nsid w:val="1AFE3625"/>
    <w:multiLevelType w:val="hybridMultilevel"/>
    <w:lvl w:ilvl="0">
      <w:lvlJc w:val="left"/>
      <w:lvlText w:val="(%1)"/>
      <w:numFmt w:val="lowerLetter"/>
      <w:start w:val="2"/>
    </w:lvl>
    <w:lvl w:ilvl="1">
      <w:lvlJc w:val="left"/>
      <w:lvlText w:val="(%2)"/>
      <w:numFmt w:val="lowerRoman"/>
      <w:start w:val="2"/>
    </w:lvl>
  </w:abstractNum>
  <w:abstractNum w:abstractNumId="156">
    <w:nsid w:val="3CA88ECF"/>
    <w:multiLevelType w:val="hybridMultilevel"/>
    <w:lvl w:ilvl="0">
      <w:lvlJc w:val="left"/>
      <w:lvlText w:val="%1"/>
      <w:numFmt w:val="lowerLetter"/>
      <w:start w:val="1"/>
    </w:lvl>
    <w:lvl w:ilvl="1">
      <w:lvlJc w:val="left"/>
      <w:lvlText w:val="(%2)"/>
      <w:numFmt w:val="lowerRoman"/>
      <w:start w:val="4"/>
    </w:lvl>
  </w:abstractNum>
  <w:abstractNum w:abstractNumId="157">
    <w:nsid w:val="6EBE4208"/>
    <w:multiLevelType w:val="hybridMultilevel"/>
    <w:lvl w:ilvl="0">
      <w:lvlJc w:val="left"/>
      <w:lvlText w:val="(%1)"/>
      <w:numFmt w:val="lowerLetter"/>
      <w:start w:val="4"/>
    </w:lvl>
    <w:lvl w:ilvl="1">
      <w:lvlJc w:val="left"/>
      <w:lvlText w:val="%2"/>
      <w:numFmt w:val="lowerRoman"/>
      <w:start w:val="1"/>
    </w:lvl>
  </w:abstractNum>
  <w:abstractNum w:abstractNumId="158">
    <w:nsid w:val="C058DF5"/>
    <w:multiLevelType w:val="hybridMultilevel"/>
    <w:lvl w:ilvl="0">
      <w:lvlJc w:val="left"/>
      <w:lvlText w:val="(%1)"/>
      <w:numFmt w:val="lowerLetter"/>
      <w:start w:val="1"/>
    </w:lvl>
  </w:abstractNum>
  <w:abstractNum w:abstractNumId="159">
    <w:nsid w:val="CBE5BE9"/>
    <w:multiLevelType w:val="hybridMultilevel"/>
    <w:lvl w:ilvl="0">
      <w:lvlJc w:val="left"/>
      <w:lvlText w:val="(%1)"/>
      <w:numFmt w:val="lowerRoman"/>
      <w:start w:val="4"/>
    </w:lvl>
  </w:abstractNum>
  <w:abstractNum w:abstractNumId="160">
    <w:nsid w:val="3102BBE2"/>
    <w:multiLevelType w:val="hybridMultilevel"/>
    <w:lvl w:ilvl="0">
      <w:lvlJc w:val="left"/>
      <w:lvlText w:val="(%1)"/>
      <w:numFmt w:val="lowerLetter"/>
      <w:start w:val="1"/>
    </w:lvl>
    <w:lvl w:ilvl="1">
      <w:lvlJc w:val="left"/>
      <w:lvlText w:val="(%2)"/>
      <w:numFmt w:val="lowerRoman"/>
      <w:start w:val="1"/>
    </w:lvl>
  </w:abstractNum>
  <w:abstractNum w:abstractNumId="161">
    <w:nsid w:val="26A02C5E"/>
    <w:multiLevelType w:val="hybridMultilevel"/>
    <w:lvl w:ilvl="0">
      <w:lvlJc w:val="left"/>
      <w:lvlText w:val="(%1)"/>
      <w:numFmt w:val="lowerLetter"/>
      <w:start w:val="3"/>
    </w:lvl>
  </w:abstractNum>
  <w:abstractNum w:abstractNumId="162">
    <w:nsid w:val="541C8153"/>
    <w:multiLevelType w:val="hybridMultilevel"/>
    <w:lvl w:ilvl="0">
      <w:lvlJc w:val="left"/>
      <w:lvlText w:val="(%1)"/>
      <w:numFmt w:val="lowerLetter"/>
      <w:start w:val="1"/>
    </w:lvl>
    <w:lvl w:ilvl="1">
      <w:lvlJc w:val="left"/>
      <w:lvlText w:val="(%2)"/>
      <w:numFmt w:val="lowerLetter"/>
      <w:start w:val="9"/>
    </w:lvl>
  </w:abstractNum>
  <w:abstractNum w:abstractNumId="163">
    <w:nsid w:val="67906F60"/>
    <w:multiLevelType w:val="hybridMultilevel"/>
    <w:lvl w:ilvl="0">
      <w:lvlJc w:val="left"/>
      <w:lvlText w:val="(%1)"/>
      <w:numFmt w:val="lowerRoman"/>
      <w:start w:val="2"/>
    </w:lvl>
  </w:abstractNum>
  <w:abstractNum w:abstractNumId="164">
    <w:nsid w:val="10DB9DAA"/>
    <w:multiLevelType w:val="hybridMultilevel"/>
    <w:lvl w:ilvl="0">
      <w:lvlJc w:val="left"/>
      <w:lvlText w:val="(%1)"/>
      <w:numFmt w:val="lowerLetter"/>
      <w:start w:val="2"/>
    </w:lvl>
  </w:abstractNum>
  <w:abstractNum w:abstractNumId="165">
    <w:nsid w:val="697D2D2"/>
    <w:multiLevelType w:val="hybridMultilevel"/>
    <w:lvl w:ilvl="0">
      <w:lvlJc w:val="left"/>
      <w:lvlText w:val="(%1)"/>
      <w:numFmt w:val="lowerLetter"/>
      <w:start w:val="3"/>
    </w:lvl>
  </w:abstractNum>
  <w:abstractNum w:abstractNumId="166">
    <w:nsid w:val="6D68AB2"/>
    <w:multiLevelType w:val="hybridMultilevel"/>
    <w:lvl w:ilvl="0">
      <w:lvlJc w:val="left"/>
      <w:lvlText w:val="(%1)"/>
      <w:numFmt w:val="lowerLetter"/>
      <w:start w:val="1"/>
    </w:lvl>
  </w:abstractNum>
  <w:abstractNum w:abstractNumId="167">
    <w:nsid w:val="3A966CD0"/>
    <w:multiLevelType w:val="hybridMultilevel"/>
    <w:lvl w:ilvl="0">
      <w:lvlJc w:val="left"/>
      <w:lvlText w:val="(%1)"/>
      <w:numFmt w:val="lowerLetter"/>
      <w:start w:val="3"/>
    </w:lvl>
  </w:abstractNum>
  <w:abstractNum w:abstractNumId="168">
    <w:nsid w:val="63F37E85"/>
    <w:multiLevelType w:val="hybridMultilevel"/>
    <w:lvl w:ilvl="0">
      <w:lvlJc w:val="left"/>
      <w:lvlText w:val="(%1)"/>
      <w:numFmt w:val="lowerLetter"/>
      <w:start w:val="4"/>
    </w:lvl>
  </w:abstractNum>
  <w:abstractNum w:abstractNumId="169">
    <w:nsid w:val="5895F5FA"/>
    <w:multiLevelType w:val="hybridMultilevel"/>
    <w:lvl w:ilvl="0">
      <w:lvlJc w:val="left"/>
      <w:lvlText w:val="(%1)"/>
      <w:numFmt w:val="lowerLetter"/>
      <w:start w:val="5"/>
    </w:lvl>
  </w:abstractNum>
  <w:abstractNum w:abstractNumId="170">
    <w:nsid w:val="38A5D054"/>
    <w:multiLevelType w:val="hybridMultilevel"/>
    <w:lvl w:ilvl="0">
      <w:lvlJc w:val="left"/>
      <w:lvlText w:val="(%1)"/>
      <w:numFmt w:val="lowerLetter"/>
      <w:start w:val="1"/>
    </w:lvl>
  </w:abstractNum>
  <w:abstractNum w:abstractNumId="171">
    <w:nsid w:val="F3F09D8"/>
    <w:multiLevelType w:val="hybridMultilevel"/>
    <w:lvl w:ilvl="0">
      <w:lvlJc w:val="left"/>
      <w:lvlText w:val="(%1)"/>
      <w:numFmt w:val="lowerLetter"/>
      <w:start w:val="4"/>
    </w:lvl>
  </w:abstractNum>
  <w:abstractNum w:abstractNumId="172">
    <w:nsid w:val="4B793735"/>
    <w:multiLevelType w:val="hybridMultilevel"/>
    <w:lvl w:ilvl="0">
      <w:lvlJc w:val="left"/>
      <w:lvlText w:val="(%1)"/>
      <w:numFmt w:val="lowerLetter"/>
      <w:start w:val="5"/>
    </w:lvl>
  </w:abstractNum>
  <w:abstractNum w:abstractNumId="173">
    <w:nsid w:val="4A10B4E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43D3BCD4"/>
    <w:multiLevelType w:val="hybridMultilevel"/>
    <w:lvl w:ilvl="0">
      <w:lvlJc w:val="left"/>
      <w:lvlText w:val="(%1)"/>
      <w:numFmt w:val="upperLetter"/>
      <w:start w:val="2"/>
    </w:lvl>
  </w:abstractNum>
  <w:abstractNum w:abstractNumId="175">
    <w:nsid w:val="4C2A7166"/>
    <w:multiLevelType w:val="hybridMultilevel"/>
    <w:lvl w:ilvl="0">
      <w:lvlJc w:val="left"/>
      <w:lvlText w:val="%1"/>
      <w:numFmt w:val="lowerLetter"/>
      <w:start w:val="1"/>
    </w:lvl>
    <w:lvl w:ilvl="1">
      <w:lvlJc w:val="left"/>
      <w:lvlText w:val="(%2)"/>
      <w:numFmt w:val="lowerRoman"/>
      <w:start w:val="3"/>
    </w:lvl>
  </w:abstractNum>
  <w:abstractNum w:abstractNumId="176">
    <w:nsid w:val="2E534A82"/>
    <w:multiLevelType w:val="hybridMultilevel"/>
    <w:lvl w:ilvl="0">
      <w:lvlJc w:val="left"/>
      <w:lvlText w:val="(%1)"/>
      <w:numFmt w:val="lowerLetter"/>
      <w:start w:val="25"/>
    </w:lvl>
    <w:lvl w:ilvl="1">
      <w:lvlJc w:val="left"/>
      <w:lvlText w:val="%2"/>
      <w:numFmt w:val="lowerRoman"/>
      <w:start w:val="1"/>
    </w:lvl>
  </w:abstractNum>
  <w:abstractNum w:abstractNumId="177">
    <w:nsid w:val="26F2D364"/>
    <w:multiLevelType w:val="hybridMultilevel"/>
    <w:lvl w:ilvl="0">
      <w:lvlJc w:val="left"/>
      <w:lvlText w:val="(%1)"/>
      <w:numFmt w:val="lowerLetter"/>
      <w:start w:val="3"/>
    </w:lvl>
  </w:abstractNum>
  <w:abstractNum w:abstractNumId="178">
    <w:nsid w:val="71C1AF98"/>
    <w:multiLevelType w:val="hybridMultilevel"/>
    <w:lvl w:ilvl="0">
      <w:lvlJc w:val="left"/>
      <w:lvlText w:val="(%1)"/>
      <w:numFmt w:val="lowerLetter"/>
      <w:start w:val="4"/>
    </w:lvl>
  </w:abstractNum>
  <w:abstractNum w:abstractNumId="179">
    <w:nsid w:val="3D00B9D9"/>
    <w:multiLevelType w:val="hybridMultilevel"/>
    <w:lvl w:ilvl="0">
      <w:lvlJc w:val="left"/>
      <w:lvlText w:val="(%1)"/>
      <w:numFmt w:val="lowerRoman"/>
      <w:start w:val="1"/>
    </w:lvl>
  </w:abstractNum>
  <w:abstractNum w:abstractNumId="180">
    <w:nsid w:val="15BCABA8"/>
    <w:multiLevelType w:val="hybridMultilevel"/>
    <w:lvl w:ilvl="0">
      <w:lvlJc w:val="left"/>
      <w:lvlText w:val="(%1)"/>
      <w:numFmt w:val="lowerRoman"/>
      <w:start w:val="5"/>
    </w:lvl>
  </w:abstractNum>
  <w:abstractNum w:abstractNumId="181">
    <w:nsid w:val="4E0B9A87"/>
    <w:multiLevelType w:val="hybridMultilevel"/>
    <w:lvl w:ilvl="0">
      <w:lvlJc w:val="left"/>
      <w:lvlText w:val="(%1)"/>
      <w:numFmt w:val="lowerLetter"/>
      <w:start w:val="1"/>
    </w:lvl>
  </w:abstractNum>
  <w:abstractNum w:abstractNumId="182">
    <w:nsid w:val="434BAE75"/>
    <w:multiLevelType w:val="hybridMultilevel"/>
    <w:lvl w:ilvl="0">
      <w:lvlJc w:val="left"/>
      <w:lvlText w:val="(%1)"/>
      <w:numFmt w:val="lowerLetter"/>
      <w:start w:val="1"/>
    </w:lvl>
  </w:abstractNum>
  <w:abstractNum w:abstractNumId="183">
    <w:nsid w:val="4F38F265"/>
    <w:multiLevelType w:val="hybridMultilevel"/>
    <w:lvl w:ilvl="0">
      <w:lvlJc w:val="left"/>
      <w:lvlText w:val="(%1)"/>
      <w:numFmt w:val="lowerLetter"/>
      <w:start w:val="5"/>
    </w:lvl>
  </w:abstractNum>
  <w:abstractNum w:abstractNumId="184">
    <w:nsid w:val="4C502870"/>
    <w:multiLevelType w:val="hybridMultilevel"/>
    <w:lvl w:ilvl="0">
      <w:lvlJc w:val="left"/>
      <w:lvlText w:val="(%1)"/>
      <w:numFmt w:val="lowerLetter"/>
      <w:start w:val="25"/>
    </w:lvl>
  </w:abstractNum>
  <w:abstractNum w:abstractNumId="185">
    <w:nsid w:val="1DE8725A"/>
    <w:multiLevelType w:val="hybridMultilevel"/>
    <w:lvl w:ilvl="0">
      <w:lvlJc w:val="left"/>
      <w:lvlText w:val="(%1)"/>
      <w:numFmt w:val="lowerLetter"/>
      <w:start w:val="2"/>
    </w:lvl>
  </w:abstractNum>
  <w:abstractNum w:abstractNumId="186">
    <w:nsid w:val="6A37288A"/>
    <w:multiLevelType w:val="hybridMultilevel"/>
    <w:lvl w:ilvl="0">
      <w:lvlJc w:val="left"/>
      <w:lvlText w:val="(%1)"/>
      <w:numFmt w:val="lowerLetter"/>
      <w:start w:val="1"/>
    </w:lvl>
    <w:lvl w:ilvl="1">
      <w:lvlJc w:val="left"/>
      <w:lvlText w:val="(%2)"/>
      <w:numFmt w:val="lowerLetter"/>
      <w:start w:val="9"/>
    </w:lvl>
  </w:abstractNum>
  <w:abstractNum w:abstractNumId="187">
    <w:nsid w:val="8F8B73F"/>
    <w:multiLevelType w:val="hybridMultilevel"/>
    <w:lvl w:ilvl="0">
      <w:lvlJc w:val="left"/>
      <w:lvlText w:val="(%1)"/>
      <w:numFmt w:val="lowerRoman"/>
      <w:start w:val="2"/>
    </w:lvl>
  </w:abstractNum>
  <w:abstractNum w:abstractNumId="188">
    <w:nsid w:val="CA6B462"/>
    <w:multiLevelType w:val="hybridMultilevel"/>
    <w:lvl w:ilvl="0">
      <w:lvlJc w:val="left"/>
      <w:lvlText w:val="(%1)"/>
      <w:numFmt w:val="lowerLetter"/>
      <w:start w:val="1"/>
    </w:lvl>
  </w:abstractNum>
  <w:abstractNum w:abstractNumId="189">
    <w:nsid w:val="763CB680"/>
    <w:multiLevelType w:val="hybridMultilevel"/>
    <w:lvl w:ilvl="0">
      <w:lvlJc w:val="left"/>
      <w:lvlText w:val="(%1)"/>
      <w:numFmt w:val="lowerLetter"/>
      <w:start w:val="1"/>
    </w:lvl>
  </w:abstractNum>
  <w:abstractNum w:abstractNumId="190">
    <w:nsid w:val="15B71329"/>
    <w:multiLevelType w:val="hybridMultilevel"/>
    <w:lvl w:ilvl="0">
      <w:lvlJc w:val="left"/>
      <w:lvlText w:val="(%1)"/>
      <w:numFmt w:val="lowerLetter"/>
      <w:start w:val="2"/>
    </w:lvl>
  </w:abstractNum>
  <w:abstractNum w:abstractNumId="191">
    <w:nsid w:val="3DA97044"/>
    <w:multiLevelType w:val="hybridMultilevel"/>
    <w:lvl w:ilvl="0">
      <w:lvlJc w:val="left"/>
      <w:lvlText w:val="(%1)"/>
      <w:numFmt w:val="lowerLetter"/>
      <w:start w:val="1"/>
    </w:lvl>
  </w:abstractNum>
  <w:abstractNum w:abstractNumId="192">
    <w:nsid w:val="1CDCE2DE"/>
    <w:multiLevelType w:val="hybridMultilevel"/>
    <w:lvl w:ilvl="0">
      <w:lvlJc w:val="left"/>
      <w:lvlText w:val="(%1)"/>
      <w:numFmt w:val="lowerLetter"/>
      <w:start w:val="2"/>
    </w:lvl>
  </w:abstractNum>
  <w:abstractNum w:abstractNumId="193">
    <w:nsid w:val="69D3947C"/>
    <w:multiLevelType w:val="hybridMultilevel"/>
    <w:lvl w:ilvl="0">
      <w:lvlJc w:val="left"/>
      <w:lvlText w:val="%1."/>
      <w:numFmt w:val="decimal"/>
      <w:start w:val="1"/>
    </w:lvl>
  </w:abstractNum>
  <w:abstractNum w:abstractNumId="194">
    <w:nsid w:val="2539DFA5"/>
    <w:multiLevelType w:val="hybridMultilevel"/>
    <w:lvl w:ilvl="0">
      <w:lvlJc w:val="left"/>
      <w:lvlText w:val="%1."/>
      <w:numFmt w:val="decimal"/>
      <w:start w:val="11"/>
    </w:lvl>
  </w:abstractNum>
  <w:abstractNum w:abstractNumId="195">
    <w:nsid w:val="2DB88089"/>
    <w:multiLevelType w:val="hybridMultilevel"/>
    <w:lvl w:ilvl="0">
      <w:lvlJc w:val="left"/>
      <w:lvlText w:val="%1."/>
      <w:numFmt w:val="decimal"/>
      <w:start w:val="23"/>
    </w:lvl>
  </w:abstractNum>
  <w:abstractNum w:abstractNumId="196">
    <w:nsid w:val="706B674E"/>
    <w:multiLevelType w:val="hybridMultilevel"/>
    <w:lvl w:ilvl="0">
      <w:lvlJc w:val="left"/>
      <w:lvlText w:val="%1."/>
      <w:numFmt w:val="decimal"/>
      <w:start w:val="1"/>
    </w:lvl>
  </w:abstractNum>
  <w:abstractNum w:abstractNumId="197">
    <w:nsid w:val="2C106A57"/>
    <w:multiLevelType w:val="hybridMultilevel"/>
    <w:lvl w:ilvl="0">
      <w:lvlJc w:val="left"/>
      <w:lvlText w:val="%1."/>
      <w:numFmt w:val="decimal"/>
      <w:start w:val="1"/>
    </w:lvl>
    <w:lvl w:ilvl="1">
      <w:lvlJc w:val="left"/>
      <w:lvlText w:val="%2."/>
      <w:numFmt w:val="lowerLetter"/>
      <w:start w:val="1"/>
    </w:lvl>
  </w:abstractNum>
  <w:abstractNum w:abstractNumId="198">
    <w:nsid w:val="684EED59"/>
    <w:multiLevelType w:val="hybridMultilevel"/>
    <w:lvl w:ilvl="0">
      <w:lvlJc w:val="left"/>
      <w:lvlText w:val="%1."/>
      <w:numFmt w:val="decimal"/>
      <w:start w:val="1"/>
    </w:lvl>
  </w:abstractNum>
  <w:abstractNum w:abstractNumId="199">
    <w:nsid w:val="545EE5D3"/>
    <w:multiLevelType w:val="hybridMultilevel"/>
    <w:lvl w:ilvl="0">
      <w:lvlJc w:val="left"/>
      <w:lvlText w:val="%1."/>
      <w:numFmt w:val="decimal"/>
      <w:start w:val="3"/>
    </w:lvl>
  </w:abstractNum>
  <w:abstractNum w:abstractNumId="200">
    <w:nsid w:val="4A66051"/>
    <w:multiLevelType w:val="hybridMultilevel"/>
    <w:lvl w:ilvl="0">
      <w:lvlJc w:val="left"/>
      <w:lvlText w:val="1"/>
      <w:numFmt w:val="bullet"/>
      <w:start w:val="1"/>
    </w:lvl>
  </w:abstractNum>
  <w:abstractNum w:abstractNumId="201">
    <w:nsid w:val="20F4BDAD"/>
    <w:multiLevelType w:val="hybridMultilevel"/>
    <w:lvl w:ilvl="0">
      <w:lvlJc w:val="left"/>
      <w:lvlText w:val="2"/>
      <w:numFmt w:val="bullet"/>
      <w:start w:val="1"/>
    </w:lvl>
  </w:abstractNum>
  <w:abstractNum w:abstractNumId="202">
    <w:nsid w:val="639DEFAC"/>
    <w:multiLevelType w:val="hybridMultilevel"/>
    <w:lvl w:ilvl="0">
      <w:lvlJc w:val="left"/>
      <w:lvlText w:val="3"/>
      <w:numFmt w:val="bullet"/>
      <w:start w:val="1"/>
    </w:lvl>
  </w:abstractNum>
  <w:abstractNum w:abstractNumId="203">
    <w:nsid w:val="501F9786"/>
    <w:multiLevelType w:val="hybridMultilevel"/>
    <w:lvl w:ilvl="0">
      <w:lvlJc w:val="left"/>
      <w:lvlText w:val="%1."/>
      <w:numFmt w:val="decimal"/>
      <w:start w:val="1"/>
    </w:lvl>
  </w:abstractNum>
  <w:abstractNum w:abstractNumId="204">
    <w:nsid w:val="6B057295"/>
    <w:multiLevelType w:val="hybridMultilevel"/>
    <w:lvl w:ilvl="0">
      <w:lvlJc w:val="left"/>
      <w:lvlText w:val="%1."/>
      <w:numFmt w:val="decimal"/>
      <w:start w:val="2"/>
    </w:lvl>
  </w:abstractNum>
  <w:abstractNum w:abstractNumId="205">
    <w:nsid w:val="2771AC80"/>
    <w:multiLevelType w:val="hybridMultilevel"/>
    <w:lvl w:ilvl="0">
      <w:lvlJc w:val="left"/>
      <w:lvlText w:val="%1."/>
      <w:numFmt w:val="decimal"/>
      <w:start w:val="3"/>
    </w:lvl>
  </w:abstractNum>
  <w:abstractNum w:abstractNumId="206">
    <w:nsid w:val="1C4A08EC"/>
    <w:multiLevelType w:val="hybridMultilevel"/>
    <w:lvl w:ilvl="0">
      <w:lvlJc w:val="left"/>
      <w:lvlText w:val="%1."/>
      <w:numFmt w:val="decimal"/>
      <w:start w:val="1"/>
    </w:lvl>
  </w:abstractNum>
  <w:abstractNum w:abstractNumId="207">
    <w:nsid w:val="1958BD17"/>
    <w:multiLevelType w:val="hybridMultilevel"/>
    <w:lvl w:ilvl="0">
      <w:lvlJc w:val="left"/>
      <w:lvlText w:val="5"/>
      <w:numFmt w:val="bullet"/>
      <w:start w:val="1"/>
    </w:lvl>
  </w:abstractNum>
  <w:abstractNum w:abstractNumId="208">
    <w:nsid w:val="4E647FE4"/>
    <w:multiLevelType w:val="hybridMultilevel"/>
    <w:lvl w:ilvl="0">
      <w:lvlJc w:val="left"/>
      <w:lvlText w:val="6"/>
      <w:numFmt w:val="bullet"/>
      <w:start w:val="1"/>
    </w:lvl>
  </w:abstractNum>
  <w:abstractNum w:abstractNumId="209">
    <w:nsid w:val="E0BB885"/>
    <w:multiLevelType w:val="hybridMultilevel"/>
    <w:lvl w:ilvl="0">
      <w:lvlJc w:val="left"/>
      <w:lvlText w:val="7"/>
      <w:numFmt w:val="bullet"/>
      <w:start w:val="1"/>
    </w:lvl>
  </w:abstractNum>
  <w:abstractNum w:abstractNumId="210">
    <w:nsid w:val="565976F1"/>
    <w:multiLevelType w:val="hybridMultilevel"/>
    <w:lvl w:ilvl="0">
      <w:lvlJc w:val="left"/>
      <w:lvlText w:val="%1."/>
      <w:numFmt w:val="decimal"/>
      <w:start w:val="1"/>
    </w:lvl>
  </w:abstractNum>
  <w:abstractNum w:abstractNumId="211">
    <w:nsid w:val="64212B8C"/>
    <w:multiLevelType w:val="hybridMultilevel"/>
    <w:lvl w:ilvl="0">
      <w:lvlJc w:val="left"/>
      <w:lvlText w:val="%1."/>
      <w:numFmt w:val="decimal"/>
      <w:start w:val="2"/>
    </w:lvl>
    <w:lvl w:ilvl="1">
      <w:lvlJc w:val="left"/>
      <w:lvlText w:val="☐"/>
      <w:numFmt w:val="bullet"/>
      <w:start w:val="1"/>
    </w:lvl>
  </w:abstractNum>
  <w:abstractNum w:abstractNumId="212">
    <w:nsid w:val="5C17530C"/>
    <w:multiLevelType w:val="hybridMultilevel"/>
    <w:lvl w:ilvl="0">
      <w:lvlJc w:val="left"/>
      <w:lvlText w:val="8"/>
      <w:numFmt w:val="bullet"/>
      <w:start w:val="1"/>
    </w:lvl>
  </w:abstractNum>
  <w:abstractNum w:abstractNumId="213">
    <w:nsid w:val="19A52566"/>
    <w:multiLevelType w:val="hybridMultilevel"/>
    <w:lvl w:ilvl="0">
      <w:lvlJc w:val="left"/>
      <w:lvlText w:val="%1."/>
      <w:numFmt w:val="decimal"/>
      <w:start w:val="5"/>
    </w:lvl>
  </w:abstractNum>
  <w:abstractNum w:abstractNumId="214">
    <w:nsid w:val="335A1DF1"/>
    <w:multiLevelType w:val="hybridMultilevel"/>
    <w:lvl w:ilvl="0">
      <w:lvlJc w:val="left"/>
      <w:lvlText w:val="(%1)"/>
      <w:numFmt w:val="lowerRoman"/>
      <w:start w:val="2"/>
    </w:lvl>
  </w:abstractNum>
  <w:abstractNum w:abstractNumId="215">
    <w:nsid w:val="28677B7C"/>
    <w:multiLevelType w:val="hybridMultilevel"/>
    <w:lvl w:ilvl="0">
      <w:lvlJc w:val="left"/>
      <w:lvlText w:val="(%1)"/>
      <w:numFmt w:val="lowerRoman"/>
      <w:start w:val="2"/>
    </w:lvl>
  </w:abstractNum>
  <w:abstractNum w:abstractNumId="216">
    <w:nsid w:val="378D97C0"/>
    <w:multiLevelType w:val="hybridMultilevel"/>
    <w:lvl w:ilvl="0">
      <w:lvlJc w:val="left"/>
      <w:lvlText w:val="%1."/>
      <w:numFmt w:val="decimal"/>
      <w:start w:val="1"/>
    </w:lvl>
  </w:abstractNum>
  <w:abstractNum w:abstractNumId="217">
    <w:nsid w:val="1D91467C"/>
    <w:multiLevelType w:val="hybridMultilevel"/>
    <w:lvl w:ilvl="0">
      <w:lvlJc w:val="left"/>
      <w:lvlText w:val="%1."/>
      <w:numFmt w:val="decimal"/>
      <w:start w:val="8"/>
    </w:lvl>
  </w:abstractNum>
  <w:abstractNum w:abstractNumId="218">
    <w:nsid w:val="316032BB"/>
    <w:multiLevelType w:val="hybridMultilevel"/>
    <w:lvl w:ilvl="0">
      <w:lvlJc w:val="left"/>
      <w:lvlText w:val="9"/>
      <w:numFmt w:val="bullet"/>
      <w:start w:val="1"/>
    </w:lvl>
  </w:abstractNum>
  <w:abstractNum w:abstractNumId="219">
    <w:nsid w:val="44344C22"/>
    <w:multiLevelType w:val="hybridMultilevel"/>
    <w:lvl w:ilvl="0">
      <w:lvlJc w:val="left"/>
      <w:lvlText w:val="(%1)"/>
      <w:numFmt w:val="lowerRoman"/>
      <w:start w:val="10"/>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1)"/>
      <w:numFmt w:val="lowerRoman"/>
      <w:start w:val="15"/>
    </w:lvl>
  </w:abstractNum>
  <w:abstractNum w:abstractNumId="222">
    <w:nsid w:val="1DDBC66"/>
    <w:multiLevelType w:val="hybridMultilevel"/>
    <w:lvl w:ilvl="0">
      <w:lvlJc w:val="left"/>
      <w:lvlText w:val="(%1)"/>
      <w:numFmt w:val="lowerRoman"/>
      <w:start w:val="15"/>
    </w:lvl>
  </w:abstractNum>
  <w:abstractNum w:abstractNumId="223">
    <w:nsid w:val="30AADFDA"/>
    <w:multiLevelType w:val="hybridMultilevel"/>
    <w:lvl w:ilvl="0">
      <w:lvlJc w:val="left"/>
      <w:lvlText w:val="+"/>
      <w:numFmt w:val="bullet"/>
      <w:start w:val="1"/>
    </w:lvl>
  </w:abstractNum>
  <w:abstractNum w:abstractNumId="224">
    <w:nsid w:val="30EADA61"/>
    <w:multiLevelType w:val="hybridMultilevel"/>
    <w:lvl w:ilvl="0">
      <w:lvlJc w:val="left"/>
      <w:lvlText w:val="%1."/>
      <w:numFmt w:val="decimal"/>
      <w:start w:val="1"/>
    </w:lvl>
  </w:abstractNum>
  <w:abstractNum w:abstractNumId="225">
    <w:nsid w:val="27179C0B"/>
    <w:multiLevelType w:val="hybridMultilevel"/>
    <w:lvl w:ilvl="0">
      <w:lvlJc w:val="left"/>
      <w:lvlText w:val="%1."/>
      <w:numFmt w:val="decimal"/>
      <w:start w:val="4"/>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lvl w:ilvl="1">
      <w:lvlJc w:val="left"/>
      <w:lvlText w:val="(%2)"/>
      <w:numFmt w:val="lowerLetter"/>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51" Type="http://schemas.openxmlformats.org/officeDocument/2006/relationships/hyperlink" Target="https://www.sec.gov/Archives/edgar/data/887359/000129993309004957/exhibit1.htm" TargetMode="External"/><Relationship Id="rId52" Type="http://schemas.openxmlformats.org/officeDocument/2006/relationships/hyperlink" Target="https://www.sec.gov/Archives/edgar/data/887359/000095012310030777/b80276exv3w2.htm" TargetMode="External"/><Relationship Id="rId53" Type="http://schemas.openxmlformats.org/officeDocument/2006/relationships/hyperlink" Target="https://www.sec.gov/Archives/edgar/data/887359/000095012311029237/a59068exv3w1.htm" TargetMode="External"/><Relationship Id="rId54" Type="http://schemas.openxmlformats.org/officeDocument/2006/relationships/hyperlink" Target="https://www.sec.gov/Archives/edgar/data/887359/000110465914083052/a14-25082_1ex3d1.htm" TargetMode="External"/><Relationship Id="rId55" Type="http://schemas.openxmlformats.org/officeDocument/2006/relationships/hyperlink" Target="https://www.sec.gov/Archives/edgar/data/887359/000129993310004053/exhibit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2022-11-09T07:59:46Z</dcterms:created>
  <dcterms:modified xsi:type="dcterms:W3CDTF">2022-11-09T07:59:46Z</dcterms:modified>
</cp:coreProperties>
</file>