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4" w:lineRule="exact"/>
        <w:rPr>
          <w:sz w:val="24"/>
          <w:szCs w:val="24"/>
          <w:color w:val="auto"/>
        </w:rPr>
      </w:pPr>
    </w:p>
    <w:p>
      <w:pPr>
        <w:jc w:val="center"/>
        <w:ind w:left="5400" w:right="220" w:hanging="5177"/>
        <w:spacing w:after="0" w:line="238" w:lineRule="auto"/>
        <w:tabs>
          <w:tab w:leader="none" w:pos="52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jc w:val="center"/>
        <w:ind w:right="-19"/>
        <w:spacing w:after="0" w:line="195" w:lineRule="auto"/>
        <w:rPr>
          <w:sz w:val="20"/>
          <w:szCs w:val="20"/>
          <w:color w:val="auto"/>
        </w:rPr>
      </w:pPr>
      <w:r>
        <w:rPr>
          <w:rFonts w:ascii="Times New Roman" w:cs="Times New Roman" w:eastAsia="Times New Roman" w:hAnsi="Times New Roman"/>
          <w:sz w:val="18"/>
          <w:szCs w:val="18"/>
          <w:b w:val="1"/>
          <w:bCs w:val="1"/>
          <w:color w:val="auto"/>
        </w:rPr>
        <w:t>or</w:t>
      </w:r>
    </w:p>
    <w:p>
      <w:pPr>
        <w:ind w:left="540" w:hanging="346"/>
        <w:spacing w:after="0" w:line="222" w:lineRule="auto"/>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jc w:val="center"/>
        <w:ind w:right="-19"/>
        <w:spacing w:after="0" w:line="223" w:lineRule="auto"/>
        <w:rPr>
          <w:sz w:val="20"/>
          <w:szCs w:val="20"/>
          <w:color w:val="auto"/>
        </w:rPr>
      </w:pPr>
      <w:r>
        <w:rPr>
          <w:rFonts w:ascii="Times New Roman" w:cs="Times New Roman" w:eastAsia="Times New Roman" w:hAnsi="Times New Roman"/>
          <w:sz w:val="22"/>
          <w:szCs w:val="22"/>
          <w:b w:val="1"/>
          <w:bCs w:val="1"/>
          <w:color w:val="auto"/>
        </w:rPr>
        <w:t>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p>
      <w:pPr>
        <w:spacing w:after="0" w:line="29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4" w:lineRule="exact"/>
        <w:rPr>
          <w:sz w:val="24"/>
          <w:szCs w:val="24"/>
          <w:color w:val="auto"/>
        </w:rPr>
      </w:pPr>
    </w:p>
    <w:p>
      <w:pPr>
        <w:sectPr>
          <w:pgSz w:w="11900" w:h="16838" w:orient="portrait"/>
          <w:cols w:equalWidth="0" w:num="2">
            <w:col w:w="7140" w:space="720"/>
            <w:col w:w="3380"/>
          </w:cols>
          <w:pgMar w:left="320" w:top="1438"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438"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110490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4120" w:type="dxa"/>
            <w:vAlign w:val="bottom"/>
          </w:tcPr>
          <w:p>
            <w:pPr>
              <w:jc w:val="center"/>
              <w:ind w:left="222"/>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31"/>
        </w:trPr>
        <w:tc>
          <w:tcPr>
            <w:tcW w:w="34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4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370"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7" w:lineRule="exact"/>
        <w:rPr>
          <w:sz w:val="24"/>
          <w:szCs w:val="24"/>
          <w:color w:val="auto"/>
        </w:rPr>
      </w:pPr>
    </w:p>
    <w:p>
      <w:pPr>
        <w:ind w:right="240"/>
        <w:spacing w:after="0" w:line="24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8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800" w:type="dxa"/>
        <w:tblCellMar>
          <w:top w:w="0" w:type="dxa"/>
          <w:left w:w="0" w:type="dxa"/>
          <w:bottom w:w="0" w:type="dxa"/>
          <w:right w:w="0" w:type="dxa"/>
        </w:tblCellMar>
      </w:tblPr>
      <w:tr>
        <w:trPr>
          <w:trHeight w:val="216"/>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Non-accelerated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7"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6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30, 2023, 47,564,919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13"/>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24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gridSpan w:val="7"/>
          </w:tcPr>
          <w:p>
            <w:pPr>
              <w:spacing w:after="0"/>
              <w:rPr>
                <w:sz w:val="16"/>
                <w:szCs w:val="16"/>
                <w:color w:val="auto"/>
              </w:rPr>
            </w:pPr>
          </w:p>
        </w:tc>
        <w:tc>
          <w:tcPr>
            <w:tcW w:w="400" w:type="dxa"/>
            <w:vAlign w:val="bottom"/>
            <w:gridSpan w:val="2"/>
          </w:tcPr>
          <w:p>
            <w:pPr>
              <w:jc w:val="center"/>
              <w:ind w:left="232"/>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Loss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7"/>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3"/>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gridSpan w:val="6"/>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tcPr>
          <w:p>
            <w:pPr>
              <w:spacing w:after="0"/>
              <w:rPr>
                <w:sz w:val="18"/>
                <w:szCs w:val="18"/>
                <w:color w:val="auto"/>
              </w:rPr>
            </w:pPr>
          </w:p>
        </w:tc>
        <w:tc>
          <w:tcPr>
            <w:tcW w:w="6900" w:type="dxa"/>
            <w:vAlign w:val="bottom"/>
            <w:gridSpan w:val="8"/>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60" w:type="dxa"/>
            <w:vAlign w:val="bottom"/>
            <w:gridSpan w:val="9"/>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2"/>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51,067</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68,471</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$47 and $47, respectively)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46,539</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186,866</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41,535</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19,962</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273,003</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37,463</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43,268</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4"/>
        </w:trPr>
        <w:tc>
          <w:tcPr>
            <w:tcW w:w="82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47,507 and 47,253,</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593,245</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(399,995)</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192,272</w:t>
            </w:r>
          </w:p>
        </w:tc>
      </w:t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273,003</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00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120" w:type="dxa"/>
            <w:vAlign w:val="bottom"/>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35,852</w:t>
            </w: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1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36,074</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23,452</w:t>
            </w:r>
          </w:p>
        </w:tc>
        <w:tc>
          <w:tcPr>
            <w:tcW w:w="0" w:type="dxa"/>
            <w:vAlign w:val="bottom"/>
          </w:tcPr>
          <w:p>
            <w:pPr>
              <w:spacing w:after="0"/>
              <w:rPr>
                <w:sz w:val="1"/>
                <w:szCs w:val="1"/>
                <w:color w:val="auto"/>
              </w:rPr>
            </w:pPr>
          </w:p>
        </w:tc>
      </w:tr>
      <w:tr>
        <w:trPr>
          <w:trHeight w:val="22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30,725</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0" w:type="dxa"/>
            <w:vAlign w:val="bottom"/>
          </w:tcPr>
          <w:p>
            <w:pPr>
              <w:spacing w:after="0"/>
              <w:rPr>
                <w:sz w:val="1"/>
                <w:szCs w:val="1"/>
                <w:color w:val="auto"/>
              </w:rPr>
            </w:pP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320" w:type="dxa"/>
            <w:vAlign w:val="bottom"/>
            <w:tcBorders>
              <w:bottom w:val="single" w:sz="8" w:color="CCEEFF"/>
            </w:tcBorders>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tcBorders>
              <w:bottom w:val="single" w:sz="8" w:color="auto"/>
            </w:tcBorders>
            <w:shd w:val="clear" w:color="auto" w:fill="CCEEFF"/>
          </w:tcPr>
          <w:p>
            <w:pPr>
              <w:jc w:val="right"/>
              <w:ind w:right="917"/>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5"/>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0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(7,550)</w:t>
            </w: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150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9"/>
                <w:szCs w:val="9"/>
                <w:color w:val="auto"/>
              </w:rPr>
            </w:pPr>
          </w:p>
        </w:tc>
        <w:tc>
          <w:tcPr>
            <w:tcW w:w="12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81"/>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47,253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593,245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(399,995)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192,272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(7,495)</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(7,495)</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2023</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47,507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(407,490)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193,978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1060" w:type="dxa"/>
            <w:vAlign w:val="bottom"/>
            <w:vMerge w:val="restart"/>
          </w:tcPr>
          <w:p>
            <w:pPr>
              <w:jc w:val="center"/>
              <w:ind w:right="81"/>
              <w:spacing w:after="0" w:line="124"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6"/>
        </w:trPr>
        <w:tc>
          <w:tcPr>
            <w:tcW w:w="4600" w:type="dxa"/>
            <w:vAlign w:val="bottom"/>
          </w:tcPr>
          <w:p>
            <w:pPr>
              <w:spacing w:after="0"/>
              <w:rPr>
                <w:sz w:val="3"/>
                <w:szCs w:val="3"/>
                <w:color w:val="auto"/>
              </w:rPr>
            </w:pP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3"/>
                <w:szCs w:val="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46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553,902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(383,286)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170,462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563,475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172,485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r>
      <w:tr>
        <w:trPr>
          <w:trHeight w:val="230"/>
        </w:trPr>
        <w:tc>
          <w:tcPr>
            <w:tcW w:w="82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information:</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 and lease liability recognized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held for employee tax remittance included in accounts payable</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543"/>
        </w:trPr>
        <w:tc>
          <w:tcPr>
            <w:tcW w:w="8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amounts within the condensed consolidated balance sheets: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55,659</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61,843</w:t>
            </w:r>
          </w:p>
        </w:tc>
      </w:tr>
      <w:tr>
        <w:trPr>
          <w:trHeight w:val="21"/>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5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leader in advanced therapies for the sports medicine and severe burn care markets. Vericel currently markets three commercial-stage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Epicel (cultured epidermal autografts) is a permanent skin replacement for the treatment of adult and pediatric patients with deep-dermal or full-thickness burns comprising greater than or equal to 30 percent of total body surface area (“TBSA”). The Company also holds an exclusive license from MediWound Ltd. (“MediWound”) to commercialize NexoBrid (anacaulase-bcdb) in North America. On December 28, 2022, the U.S. Food and Drug Administration (“FDA”) approved a Biologics License Application (“BLA”) for NexoBrid, granting a license for commercial use in the U.S. NexoBrid is a topically-administered biological product containing proteolytic enzymes and is indicated for the removal of eschar in adults with deep partial-thickness and/or full thickness thermal burns. The Company operates its business primarily in the U.S. in one reportable segment - the research, product development, manufacture and distribution of cellular therapies and specialty biologics for use in the treatment of specific diseases.</w:t>
      </w:r>
    </w:p>
    <w:p>
      <w:pPr>
        <w:spacing w:after="0" w:line="21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declared the spread of a novel strain of coronavirus (“COVID-19”) to be a pandemic, which contributed to an economic downturn on a global scale, as well as significant volatility in the financial markets. At the time of the pandemic’s inception, and at times throughout its duration, there was significant volatility in the Company’s results of operations on a quarterly basis due to the widespread and periodic cancellation or delay of elective MACI surgical procedures throughout the U.S., staffing shortages and the Company’s ability to access customers. Based on declining COVID-related statistics, the U.S. Department of Health and Human Services has announced that the federal Public Health Emergency for COVID-19 is set to expire at the end of the day on May 11, 2023. Although at this juncture the pandemic’s effects on the Company’s business and results of operations have moderated, should a resurgence of COVID-19 occur it could result in additional disruptions that could impact the Company’s business and operations in the future, including intermittent restrictions on the ability of Company personnel to travel and access customers for selling, marketing, training, case support and product development feedback, delays in approvals by regulatory bodies, delays in product development efforts, and additional government requirements or other incremental mitigation efforts that may further impact its capacity to manufacture, sell and support the use of its products.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ongoing war between Russia and Ukraine and the related sanctions and other penalties imposed by countries across the globe against Russia are continuing to create substantial uncertainty in the global economy and have contributed to heightened inflation and supply chain disruptions. While the Company does not have operations in Russia or Ukraine and does not have exposure to distributors, or third-party service providers in Russia or Ukraine, it is unable to predict the ultimate impact that these actions will have on the global economy or on its financial condition, results of operations, and cash flows as of the date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222222"/>
        </w:rPr>
        <w:t>Liquidity</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w:t>
      </w:r>
      <w:r>
        <w:rPr>
          <w:rFonts w:ascii="Times New Roman" w:cs="Times New Roman" w:eastAsia="Times New Roman" w:hAnsi="Times New Roman"/>
          <w:sz w:val="18"/>
          <w:szCs w:val="18"/>
          <w:color w:val="000000"/>
        </w:rPr>
        <w:t xml:space="preserve">March 31, 2023, the Company had an accumulated deficit of </w:t>
      </w:r>
      <w:r>
        <w:rPr>
          <w:rFonts w:ascii="Times New Roman" w:cs="Times New Roman" w:eastAsia="Times New Roman" w:hAnsi="Times New Roman"/>
          <w:sz w:val="18"/>
          <w:szCs w:val="18"/>
          <w:color w:val="222222"/>
        </w:rPr>
        <w:t>$407.5 million</w:t>
      </w:r>
      <w:r>
        <w:rPr>
          <w:rFonts w:ascii="Times New Roman" w:cs="Times New Roman" w:eastAsia="Times New Roman" w:hAnsi="Times New Roman"/>
          <w:sz w:val="18"/>
          <w:szCs w:val="18"/>
          <w:color w:val="000000"/>
        </w:rPr>
        <w:t xml:space="preserve"> and had a </w:t>
      </w:r>
      <w:r>
        <w:rPr>
          <w:rFonts w:ascii="Times New Roman" w:cs="Times New Roman" w:eastAsia="Times New Roman" w:hAnsi="Times New Roman"/>
          <w:sz w:val="18"/>
          <w:szCs w:val="18"/>
          <w:color w:val="222222"/>
        </w:rPr>
        <w:t>net loss of $7.5 million during the</w:t>
      </w:r>
      <w:r>
        <w:rPr>
          <w:rFonts w:ascii="Times New Roman" w:cs="Times New Roman" w:eastAsia="Times New Roman" w:hAnsi="Times New Roman"/>
          <w:sz w:val="18"/>
          <w:szCs w:val="18"/>
          <w:color w:val="000000"/>
        </w:rPr>
        <w:t xml:space="preserve"> three months ended </w:t>
      </w:r>
      <w:r>
        <w:rPr>
          <w:rFonts w:ascii="Times New Roman" w:cs="Times New Roman" w:eastAsia="Times New Roman" w:hAnsi="Times New Roman"/>
          <w:sz w:val="18"/>
          <w:szCs w:val="18"/>
          <w:color w:val="222222"/>
        </w:rPr>
        <w:t>March 31,</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2023. The Company had cash and cash equivalents of $61.8 million and investments of $77.4 million as of March 31, 2023. The Company expects that cash from the sales of its products and existing cash, cash equivalents, investments, and available borrowing capacity will be sufficient to support the Company’s current operations through at least 12 months from the issuance of these condensed consolidated financial statements. If revenues decline for a sustained period, the Company may need to access additional capital; however, the Company may not be able to obtain additional financing on acceptable terms or at all. The terms of any additional financing may adversely affect the holdings or the rights of the Company’s shareholders.</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222222"/>
        </w:rPr>
        <w:t>Financial instruments that potentially subject the Company to significant concentration of credit risk consist primarily of cash, cash equivalents and investments in marketable debt securities. The Company may maintain deposits in financial institutions in excess of the insurance coverage offered by the Federal Deposit Insurance Corporation (“FDIC”), the loss of which could have a negative effect on our operations and liquidity. The Company is closely monitoring ongoing events involving limited liquidity, defaults, non-performance or other adverse developments that affect financial institutions or other companies in the financial services industry or the financial services industry generally. The Company believes that it is not exposed to significant credit risk as its deposits, including cash and cash equivalents, are held at multiple high credit quality financial institutions. The Company has not experienced any losses on these deposits; however no assurances can be provided that there will not be losses experienced in the future. The Company believes that the market risk arising from its holdings of these financial instruments is mitigated based on the fact that many of these securities are either government-backed or of high credit rating.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Vericel are unaudited and have been prepared in accordance with the rules and regulations of the U.S. Securities and Exchange Commission (“SEC”). The preparation of condensed consolidated financial statements in conformity with U.S. generally accepted accounting principles (“U.S.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2022 has been derived from the audited consolidated financial statements at that date, but does not include all the information and notes required by U.S. GAAP for complete financial statements. These c</w:t>
      </w:r>
      <w:r>
        <w:rPr>
          <w:rFonts w:ascii="Times New Roman" w:cs="Times New Roman" w:eastAsia="Times New Roman" w:hAnsi="Times New Roman"/>
          <w:sz w:val="18"/>
          <w:szCs w:val="18"/>
          <w:color w:val="222222"/>
        </w:rPr>
        <w:t>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statements </w:t>
      </w:r>
      <w:r>
        <w:rPr>
          <w:rFonts w:ascii="Times New Roman" w:cs="Times New Roman" w:eastAsia="Times New Roman" w:hAnsi="Times New Roman"/>
          <w:sz w:val="18"/>
          <w:szCs w:val="18"/>
          <w:color w:val="000000"/>
        </w:rPr>
        <w:t>should be read in conjunction with the audited consolidated financial statements and the notes thereto included in the Company’s Annual Report</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on Form 10-K for the year ended December 31, 2022, as filed with the SEC on February 23, 2023 (“Annual Report”).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 xml:space="preserve">No new accounting standards were adopted during the three months ended March 31, 2023. </w:t>
      </w:r>
      <w:r>
        <w:rPr>
          <w:rFonts w:ascii="Times New Roman" w:cs="Times New Roman" w:eastAsia="Times New Roman" w:hAnsi="Times New Roman"/>
          <w:sz w:val="18"/>
          <w:szCs w:val="18"/>
          <w:color w:val="222222"/>
        </w:rPr>
        <w:t>The Company considers the applicability and impact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recent Accounting Standards Updates (“ASUs”) issued by the Financial Accounting Standards Board (“FASB”). Based on the assessment, the ASUs were determined to be either not applicable or are expected to have minimal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Product Sales, Net</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of MACI biopsy kits, MACI implants, Epicel grafts and NexoBrid following the five-step model in Accounting Standards Codification 606, </w:t>
      </w: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both specialty pharmacies a fee for each patient to whom MACI is dispensed. Both Orsini and AllCare perform collection activities to collect payment from customers. The Company engages a third party to provide services in connection with a patient support program to manage patient cases and to ensure complete and correct billing information is provided to the insurers and hospitals. In addition, the Company also sells MACI directly to DMS Pharmaceutical Group, Inc. (“DMS”) for patients treated at military treatment facilities. The sales directly to DMS are made at a contracted rate.</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product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8"/>
          <w:szCs w:val="18"/>
          <w:i w:val="1"/>
          <w:iCs w:val="1"/>
          <w:color w:val="auto"/>
        </w:rPr>
        <w:t>ASC 326, Financial Instruments - Credit Losses</w:t>
      </w:r>
      <w:r>
        <w:rPr>
          <w:rFonts w:ascii="Times New Roman" w:cs="Times New Roman" w:eastAsia="Times New Roman" w:hAnsi="Times New Roman"/>
          <w:sz w:val="18"/>
          <w:szCs w:val="18"/>
          <w:color w:val="auto"/>
        </w:rPr>
        <w:t>.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receivables as of March 31, 2023. The total allowance for uncollectible consideration as of March 31, 2023 and December 31, 2022 was $7.1 million and $6.1 million, respectively. Changes to the estimate of the amount of consideration that will not be collected could have a material impact on the revenue recognized. A 50 basis points change to the estimated uncollectible percentage could result in an approximately $0.3 million decrease or increase in the revenue recognized for the three months ended March 31, 2023.</w:t>
      </w:r>
    </w:p>
    <w:p>
      <w:pPr>
        <w:spacing w:after="0" w:line="21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 Additionally, beginning in 2020 the U.S. Biomedical Advanced Research and Development Authority (“BARDA”) procured quantities of NexoBrid from MediWound, for use as a medical countermeasure in the event of a mass casualty emergency in the U.S. involving thermal burns. The initial, quarterly, procurement of NexoBrid by BARDA under its agreement with MediWound completed during the third quarter of 2022. The Company recognized revenue based on a percentage of gross profits for sales of NexoBrid to BARDA upon delivery, at which time BARDA was in control of the product. As of March 31, 2023, the Company did not hold a direct contract or distribution agreement with BARDA, or take title to the product procured by BARDA.</w:t>
      </w:r>
    </w:p>
    <w:p>
      <w:pPr>
        <w:spacing w:after="0" w:line="21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May 9, 2023, MediWound announced BARDA’s award of additional funding under the parties’ existing agreement, $3 million of which will support the replacement of NexoBrid, previously procured for emergency response preparedness, which has since expired. Pursuant to the terms of the Company’s license agreement with MediWound, the Company would recognize revenue based on a percentage of gross profits, minus a percentage of net sales, on any sales of NexoBrid directly to BARDA upon delivery, pursuant to this additional award.</w:t>
      </w:r>
    </w:p>
    <w:p>
      <w:pPr>
        <w:spacing w:after="0" w:line="193" w:lineRule="exact"/>
        <w:rPr>
          <w:sz w:val="20"/>
          <w:szCs w:val="20"/>
          <w:color w:val="auto"/>
        </w:rPr>
      </w:pPr>
    </w:p>
    <w:p>
      <w:pPr>
        <w:jc w:val="both"/>
        <w:ind w:firstLine="243"/>
        <w:spacing w:after="0" w:line="242" w:lineRule="auto"/>
        <w:rPr>
          <w:sz w:val="20"/>
          <w:szCs w:val="20"/>
          <w:color w:val="auto"/>
        </w:rPr>
      </w:pPr>
      <w:r>
        <w:rPr>
          <w:rFonts w:ascii="Times New Roman" w:cs="Times New Roman" w:eastAsia="Times New Roman" w:hAnsi="Times New Roman"/>
          <w:sz w:val="18"/>
          <w:szCs w:val="18"/>
          <w:color w:val="auto"/>
        </w:rPr>
        <w:t>Additionally, on December 28, 2022, the FDA approved a BLA for NexoBrid, granting a license for commercial use in the U.S. NexoBrid is a topically-administered biological product containing proteolytic enzymes and is indicated for the removal of eschar in adults with deep partial-thickness and/or full thickness thermal burns.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 for the periods indicated:</w:t>
      </w: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MACI implants and kits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based on contracted rate sold through a specialty pharmacy </w:t>
            </w:r>
            <w:r>
              <w:rPr>
                <w:rFonts w:ascii="Times New Roman" w:cs="Times New Roman" w:eastAsia="Times New Roman" w:hAnsi="Times New Roman"/>
                <w:sz w:val="23"/>
                <w:szCs w:val="23"/>
                <w:color w:val="auto"/>
                <w:vertAlign w:val="superscript"/>
              </w:rPr>
              <w:t>(a)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subject to third party reimbursement sold through a specialty pharmacy </w:t>
            </w:r>
            <w:r>
              <w:rPr>
                <w:rFonts w:ascii="Times New Roman" w:cs="Times New Roman" w:eastAsia="Times New Roman" w:hAnsi="Times New Roman"/>
                <w:sz w:val="23"/>
                <w:szCs w:val="23"/>
                <w:color w:val="auto"/>
                <w:vertAlign w:val="superscript"/>
              </w:rPr>
              <w:t>(b)</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0" w:type="dxa"/>
            <w:vAlign w:val="bottom"/>
          </w:tcPr>
          <w:p>
            <w:pPr>
              <w:spacing w:after="0"/>
              <w:rPr>
                <w:sz w:val="1"/>
                <w:szCs w:val="1"/>
                <w:color w:val="auto"/>
              </w:rPr>
            </w:pPr>
          </w:p>
        </w:tc>
      </w:tr>
      <w:tr>
        <w:trPr>
          <w:trHeight w:val="229"/>
        </w:trPr>
        <w:tc>
          <w:tcPr>
            <w:tcW w:w="77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 direct bill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774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Total MACI implants and kits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25,995</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 bill (hospital)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NexoBrid revenue </w:t>
            </w:r>
            <w:r>
              <w:rPr>
                <w:rFonts w:ascii="Times New Roman" w:cs="Times New Roman" w:eastAsia="Times New Roman" w:hAnsi="Times New Roman"/>
                <w:sz w:val="23"/>
                <w:szCs w:val="23"/>
                <w:i w:val="1"/>
                <w:iCs w:val="1"/>
                <w:color w:val="auto"/>
                <w:vertAlign w:val="superscript"/>
              </w:rPr>
              <w:t>(f)</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8"/>
        </w:trPr>
        <w:tc>
          <w:tcPr>
            <w:tcW w:w="77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120015</wp:posOffset>
            </wp:positionV>
            <wp:extent cx="68237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pacing w:after="0" w:line="173" w:lineRule="exact"/>
        <w:rPr>
          <w:sz w:val="20"/>
          <w:szCs w:val="20"/>
          <w:color w:val="auto"/>
        </w:rPr>
      </w:pPr>
    </w:p>
    <w:p>
      <w:pPr>
        <w:ind w:left="520" w:right="140" w:hanging="251"/>
        <w:spacing w:after="0" w:line="261" w:lineRule="auto"/>
        <w:tabs>
          <w:tab w:leader="none" w:pos="47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81" w:lineRule="exact"/>
        <w:rPr>
          <w:rFonts w:ascii="Times New Roman" w:cs="Times New Roman" w:eastAsia="Times New Roman" w:hAnsi="Times New Roman"/>
          <w:sz w:val="14"/>
          <w:szCs w:val="14"/>
          <w:color w:val="auto"/>
        </w:rPr>
      </w:pPr>
    </w:p>
    <w:p>
      <w:pPr>
        <w:ind w:left="520" w:right="120" w:hanging="251"/>
        <w:spacing w:after="0" w:line="261" w:lineRule="auto"/>
        <w:tabs>
          <w:tab w:leader="none" w:pos="49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pharmacy does not have a direct contract with the underlying payer, and are subject to third-party reimbursement. The amount of reimbursement is established based on publicly available rates, fee schedules or past payer precedents.</w:t>
      </w:r>
    </w:p>
    <w:p>
      <w:pPr>
        <w:spacing w:after="0" w:line="81" w:lineRule="exact"/>
        <w:rPr>
          <w:rFonts w:ascii="Times New Roman" w:cs="Times New Roman" w:eastAsia="Times New Roman" w:hAnsi="Times New Roman"/>
          <w:sz w:val="14"/>
          <w:szCs w:val="14"/>
          <w:color w:val="auto"/>
        </w:rPr>
      </w:pPr>
    </w:p>
    <w:p>
      <w:pPr>
        <w:ind w:left="520" w:right="120" w:hanging="251"/>
        <w:spacing w:after="0" w:line="261" w:lineRule="auto"/>
        <w:tabs>
          <w:tab w:leader="none" w:pos="48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81" w:lineRule="exact"/>
        <w:rPr>
          <w:rFonts w:ascii="Times New Roman" w:cs="Times New Roman" w:eastAsia="Times New Roman" w:hAnsi="Times New Roman"/>
          <w:sz w:val="14"/>
          <w:szCs w:val="14"/>
          <w:color w:val="auto"/>
        </w:rPr>
      </w:pPr>
    </w:p>
    <w:p>
      <w:pPr>
        <w:ind w:left="520" w:right="120" w:hanging="251"/>
        <w:spacing w:after="0" w:line="261" w:lineRule="auto"/>
        <w:tabs>
          <w:tab w:leader="none" w:pos="48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81" w:lineRule="exact"/>
        <w:rPr>
          <w:rFonts w:ascii="Times New Roman" w:cs="Times New Roman" w:eastAsia="Times New Roman" w:hAnsi="Times New Roman"/>
          <w:sz w:val="14"/>
          <w:szCs w:val="14"/>
          <w:color w:val="auto"/>
        </w:rPr>
      </w:pPr>
    </w:p>
    <w:p>
      <w:pPr>
        <w:jc w:val="both"/>
        <w:ind w:left="520" w:right="120" w:hanging="251"/>
        <w:spacing w:after="0" w:line="241" w:lineRule="auto"/>
        <w:tabs>
          <w:tab w:leader="none" w:pos="48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p>
      <w:pPr>
        <w:spacing w:after="0" w:line="5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revenue based on a percentage of gross profits for sales of NexoBrid to BARDA, pursuant to the license agreement between the Company and MediWound (see Note 11).</w:t>
      </w:r>
    </w:p>
    <w:p>
      <w:pPr>
        <w:spacing w:after="0" w:line="200" w:lineRule="exact"/>
        <w:rPr>
          <w:sz w:val="20"/>
          <w:szCs w:val="20"/>
          <w:color w:val="auto"/>
        </w:rPr>
      </w:pPr>
    </w:p>
    <w:p>
      <w:pPr>
        <w:spacing w:after="0" w:line="328" w:lineRule="exact"/>
        <w:rPr>
          <w:sz w:val="20"/>
          <w:szCs w:val="20"/>
          <w:color w:val="auto"/>
        </w:rPr>
      </w:pPr>
    </w:p>
    <w:p>
      <w:pPr>
        <w:ind w:left="260" w:right="8140" w:hanging="252"/>
        <w:spacing w:after="0" w:line="534" w:lineRule="auto"/>
        <w:tabs>
          <w:tab w:leader="none" w:pos="19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Selected Balance Sheet Components </w:t>
      </w:r>
      <w:r>
        <w:rPr>
          <w:rFonts w:ascii="Times New Roman" w:cs="Times New Roman" w:eastAsia="Times New Roman" w:hAnsi="Times New Roman"/>
          <w:sz w:val="18"/>
          <w:szCs w:val="18"/>
          <w:i w:val="1"/>
          <w:iCs w:val="1"/>
          <w:color w:val="auto"/>
        </w:rPr>
        <w:t>Inventory</w:t>
      </w: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consisted of the following:</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8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15,101</w:t>
            </w: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15,986</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8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13,689</w:t>
            </w: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r>
      <w:tr>
        <w:trPr>
          <w:trHeight w:val="229"/>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right-of-use lease</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7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34,139</w:t>
            </w:r>
          </w:p>
        </w:tc>
      </w:tr>
      <w:tr>
        <w:trPr>
          <w:trHeight w:val="229"/>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(18,302)</w:t>
            </w:r>
          </w:p>
        </w:tc>
      </w:tr>
      <w:tr>
        <w:trPr>
          <w:trHeight w:val="248"/>
        </w:trPr>
        <w:tc>
          <w:tcPr>
            <w:tcW w:w="77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2023 and 2022 was $1.0 million and $0.9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6"/>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Live (in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1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9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5"/>
          </w:tcPr>
          <w:p>
            <w:pPr>
              <w:jc w:val="center"/>
              <w:ind w:right="29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1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2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5"/>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 license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ind w:right="139"/>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6580" w:type="dxa"/>
            <w:vAlign w:val="bottom"/>
            <w:gridSpan w:val="13"/>
          </w:tcPr>
          <w:p>
            <w:pPr>
              <w:ind w:left="260"/>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2023 was $0.2 million.</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80" w:type="dxa"/>
            <w:vAlign w:val="bottom"/>
            <w:gridSpan w:val="17"/>
          </w:tcPr>
          <w:p>
            <w:pPr>
              <w:ind w:left="260"/>
              <w:spacing w:after="0"/>
              <w:rPr>
                <w:sz w:val="20"/>
                <w:szCs w:val="20"/>
                <w:color w:val="auto"/>
              </w:rPr>
            </w:pPr>
            <w:r>
              <w:rPr>
                <w:rFonts w:ascii="Times New Roman" w:cs="Times New Roman" w:eastAsia="Times New Roman" w:hAnsi="Times New Roman"/>
                <w:sz w:val="18"/>
                <w:szCs w:val="18"/>
                <w:color w:val="auto"/>
              </w:rPr>
              <w:t>Future amortization expense of intangible assets as of March 31, 2023 is estimated to be as follows: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9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96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2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1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278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 related compensation</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Employee related accruals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13,111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leases facilities in Ann Arbor, Michigan and Cambridge, Massachusetts. The Ann Arbor facility includes office space, and the Cambridge facilities include clean rooms, laboratories for MACI and Epicel manufacturing, and office space. The Company also leases offsite warehouse space, and other computer-related equipment.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With respect to the Ann Arbor facility, in March 2023, the Company entered into an amendment to that lease extending its term until April 30,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Monthly contractual payments are expected to range from $17,000 to $18,000.</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(the “Burlington Lease”) to lease approximately 126,000 square feet of to-be-constructed manufacturing, laboratory and office space in Burlington, Massachusetts (the “Premises”). Once constructed, the Premises will serve as the Company’s new corporate headquarters and primary manufacturing facility.</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term of the Burlington Lease is currently expected to begin mid-year 2023 (the “Commencement Date”). The Company’s obligation to pay rent for the Premises will begin on the earlier of: 13 months from the Commencement Date; or the date on which the Company first occupies the Premises to conduct operations (the “Rent Commencement Date”). The initial term of the Lease is 144 months following the Rent Commencement Date. The Company has a one-time option to extend the term of the Lease for an additional 10 years, exercisable under certain conditions and at a market rate determined in accordance with the Burlington Lease.</w:t>
      </w:r>
    </w:p>
    <w:p>
      <w:pPr>
        <w:spacing w:after="0" w:line="21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annual base rent of the Burlington Lease is initially $57 per square foot per year, subject to annual increases of 2.5%. Monthly contractual payments are expected to range from $0.6 million to $0.8 million. Additionally, the Company is responsible for reimbursing the landlord for the Company’s share of the Premises’ property taxes and certain other operating expenses. The Burlington Lease also provides for a tenant improvement allowance from the landlord in an amount equal to $200 per square foot of the Premises, or approximately $24.4 million in total, following certain reductions to the tenant improvement allowance to account for the costs associated with changes to the landlord’s work on the Premises, as requested by the Company. The tenant improvement allowance will be used towards the design and construction of certain tenant improvements made to the Premises, subject to the terms set forth in the Burlington Lease.</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is not involved in the initial construction of the core and shell of the building and will record the lease liability and right-of-use asset on its condensed consolidated balance sheet when the construction is substantially completed and it obtains control of the Premises, which is currently expected to be on or around the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January 2022, in connection with the execution of the Burlington Lease, the Company issued a letter of credit collateralized by cash deposits of approximately $6.0 million. Subsequent to the execution of the Revolving Credit Agreement on July 29, 2022 (see Note 8, “Revolving Credit Agreement” for further details), the letter of credit is issued under the sub-facility limit of the Revolving Credit Agreement. Such letter of credit shall be reduced to approximately $4.2 million and $1.8 million at the conclusion of the third and sixth lease years, respectively, provided certain conditions set forth in the Burlington Lease are satisfied.</w:t>
      </w:r>
    </w:p>
    <w:p>
      <w:pPr>
        <w:spacing w:after="0" w:line="21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March 31, 2023 and 2022, lease expense of less than $0.1 million was recorded related to short-term leases. </w:t>
      </w:r>
      <w:r>
        <w:rPr>
          <w:rFonts w:ascii="Times New Roman" w:cs="Times New Roman" w:eastAsia="Times New Roman" w:hAnsi="Times New Roman"/>
          <w:sz w:val="18"/>
          <w:szCs w:val="18"/>
          <w:color w:val="222222"/>
        </w:rPr>
        <w:t>For the</w:t>
      </w:r>
      <w:r>
        <w:rPr>
          <w:rFonts w:ascii="Times New Roman" w:cs="Times New Roman" w:eastAsia="Times New Roman" w:hAnsi="Times New Roman"/>
          <w:sz w:val="18"/>
          <w:szCs w:val="18"/>
          <w:color w:val="auto"/>
        </w:rPr>
        <w:t xml:space="preserve"> three months ended March 31, 2023 and </w:t>
      </w:r>
      <w:r>
        <w:rPr>
          <w:rFonts w:ascii="Times New Roman" w:cs="Times New Roman" w:eastAsia="Times New Roman" w:hAnsi="Times New Roman"/>
          <w:sz w:val="18"/>
          <w:szCs w:val="18"/>
          <w:color w:val="222222"/>
        </w:rPr>
        <w:t>2022, the Company recognized $1.7 million of operating lease expense. For the</w:t>
      </w:r>
      <w:r>
        <w:rPr>
          <w:rFonts w:ascii="Times New Roman" w:cs="Times New Roman" w:eastAsia="Times New Roman" w:hAnsi="Times New Roman"/>
          <w:sz w:val="18"/>
          <w:szCs w:val="18"/>
          <w:color w:val="auto"/>
        </w:rPr>
        <w:t xml:space="preserve"> three months ended March 31, 2023 and </w:t>
      </w:r>
      <w:r>
        <w:rPr>
          <w:rFonts w:ascii="Times New Roman" w:cs="Times New Roman" w:eastAsia="Times New Roman" w:hAnsi="Times New Roman"/>
          <w:sz w:val="18"/>
          <w:szCs w:val="18"/>
          <w:color w:val="222222"/>
        </w:rPr>
        <w:t xml:space="preserve">2022, the Company recognized less than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22222"/>
        </w:rPr>
        <w:t xml:space="preserve"> of financing lease expense.</w:t>
      </w:r>
    </w:p>
    <w:p>
      <w:pPr>
        <w:spacing w:after="0" w:line="200" w:lineRule="exact"/>
        <w:rPr>
          <w:sz w:val="20"/>
          <w:szCs w:val="20"/>
          <w:color w:val="auto"/>
        </w:rPr>
      </w:pPr>
    </w:p>
    <w:p>
      <w:pPr>
        <w:spacing w:after="0" w:line="2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5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41,535</w:t>
            </w: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41,572</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17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5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1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43,268</w:t>
            </w:r>
          </w:p>
        </w:tc>
      </w:tr>
      <w:tr>
        <w:trPr>
          <w:trHeight w:val="248"/>
        </w:trPr>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leased liabilities</w:t>
            </w:r>
          </w:p>
        </w:tc>
        <w:tc>
          <w:tcPr>
            <w:tcW w:w="5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47,611</w:t>
            </w: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54" w:lineRule="exact"/>
        <w:rPr>
          <w:sz w:val="20"/>
          <w:szCs w:val="20"/>
          <w:color w:val="auto"/>
        </w:rPr>
      </w:pPr>
    </w:p>
    <w:p>
      <w:pPr>
        <w:jc w:val="both"/>
        <w:ind w:right="80" w:firstLine="243"/>
        <w:spacing w:after="0" w:line="267"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condensed consolidated balance sheets on a settlement date basis. The following tables summarize the gross unrealized gains and losses of the Company’s marketable securities:</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77,352</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3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80" w:firstLine="243"/>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all marketable securities held by the Company had remaining contractual maturities of three years or less. There have been no impairments of the Company’s assets measured and carried at fair value during the three months ended March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5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There were no transfers into or out of Level 3 from December 31, 2022 to March 31, 2023.</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instruments that are measured at fair value on a recurring basis:</w:t>
      </w:r>
    </w:p>
    <w:p>
      <w:pPr>
        <w:sectPr>
          <w:pgSz w:w="11900" w:h="16838" w:orient="portrait"/>
          <w:cols w:equalWidth="0" w:num="1">
            <w:col w:w="11240"/>
          </w:cols>
          <w:pgMar w:left="320" w:top="117" w:right="339" w:bottom="1440" w:gutter="0" w:footer="0" w:header="0"/>
        </w:sectPr>
      </w:pPr>
    </w:p>
    <w:p>
      <w:pPr>
        <w:spacing w:after="0" w:line="28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33655</wp:posOffset>
            </wp:positionV>
            <wp:extent cx="25203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33655</wp:posOffset>
            </wp:positionV>
            <wp:extent cx="2529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3" w:lineRule="exact"/>
        <w:rPr>
          <w:sz w:val="20"/>
          <w:szCs w:val="20"/>
          <w:color w:val="auto"/>
        </w:rPr>
      </w:pPr>
    </w:p>
    <w:p>
      <w:pPr>
        <w:sectPr>
          <w:pgSz w:w="11900" w:h="16838" w:orient="portrait"/>
          <w:cols w:equalWidth="0" w:num="2">
            <w:col w:w="7920" w:space="720"/>
            <w:col w:w="26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29"/>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agency bonds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80" w:hanging="129"/>
        <w:spacing w:after="0"/>
        <w:tabs>
          <w:tab w:leader="none" w:pos="38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$6.5 million of U.S. government agency bonds had an original maturity of 90 days or less and were recorded as a cash equivalent as of December 31, 2022.</w:t>
      </w:r>
    </w:p>
    <w:p>
      <w:pPr>
        <w:spacing w:after="0" w:line="262"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Credit Agreement</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$6.2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 the Company must prepay the Revolving Loans in an amount equal to such excess. As of March 31, 2023, there are no outstanding borrowings under the Revolving Credit Agreement.</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provides incentives through the grant of stock options, stock appreciation rights, restricted stock awards and restricted stock units. The exercise price of stock options granted under the 2022 Plan shall not be less than the fair market value of the Company’s common stock on the date of grant. The 2022 Plan replaced the 1992 Stock Option Plan, the 2001 Stock Option Plan, the Amended and Restated 2004 Equity Incentive Plan, the 2009 Second Amended and Restated Omnibus Incentive Plan, the 2017 Omnibus Incentive Plan, and the Amended and Restated 2019 Omnibus Incentive Plan (“Prior Plans”), and no new grants have been granted under the Prior Plans after approval of the 2022 Plan. However, the expiration or forfeiture of options previously granted under the Prior Plans will increase the number of shares available for issuance under the 2022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employee stock purchase plan) is summarized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0" w:type="dxa"/>
            <w:vAlign w:val="bottom"/>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0" w:type="dxa"/>
            <w:vAlign w:val="bottom"/>
          </w:tcPr>
          <w:p>
            <w:pPr>
              <w:spacing w:after="0"/>
              <w:rPr>
                <w:sz w:val="1"/>
                <w:szCs w:val="1"/>
                <w:color w:val="auto"/>
              </w:rPr>
            </w:pPr>
          </w:p>
        </w:tc>
      </w:tr>
      <w:tr>
        <w:trPr>
          <w:trHeight w:val="22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and 2022, the Company granted service-based options to purchase common stock of 467,957 and 993,589, respectively. The weighted-average grant-date fair value of service-based options granted during the three months ended March 31, 2023 and 2022 was $18.00 and $20.99 per option,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and 2022, the Company granted 496,505 and 343,022 restricted stock units, respectively. The weighted-average grant-date fair value of restricted stock units granted during the three months ended March 31, 2023 and 2022 was $29.82 and $34.97 per unit,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Common Share</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net loss per common share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2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4"/>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4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per common share:</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3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NexoBrid License and Supply Agreements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in North America. NexoBrid is a topically-administered biological product, which was approved by the FDA on December 28, 2022 for commercial use in the U.S. NexoBrid contains proteolytic enzymes and is indicated for the removal of eschar in adults with deep partial-thickness and/or full thickness thermal burns.</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Pursuant to the terms of the license agreement, following the FDA approval of NexoBrid, MediWound transferred the BLA to Vericel effective February 20, 2023. Both MediWound and Vericel, under the supervision of a Central Steering Committee comprised of members of both companies will continue to guide the development of NexoBrid in North America (the “Central Steering Committee”). NexoBrid is approved in the European Union (“EU”) and other international markets and has been designated as an orphan biologic in the U.S., EU and other international markets.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Pursuant to the terms of the license agreement, in February 2023, the Company tendered to MediWound a $7.5 million regulatory milestone payment following the FDA’s BLA approval of NexoBrid on December 28, 2022. The Company recorded the $7.5 million milestone payment for the licensing rights to commercially sell NexoBrid in the U.S., as an intangible asset (see Note 4, “Selected Balance Sheet Components” for further details).</w:t>
      </w:r>
    </w:p>
    <w:p>
      <w:pPr>
        <w:spacing w:after="0" w:line="20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is additionally obligated to pay MediWound up to $125.0 million, which is contingent upon meeting certain sales milestones. The first sales milestone payment of $7.5 million would be triggered when annual net sales of NexoBrid or improvements to it in North America exceed $75.0 million. As of March 31, 2023, the sales milestone payments are not yet probable and therefore, not recorded as a liability. The Company also will pay MediWound tiered royalties on net sales ranging from mid-high single-digit to mid-teen percentages, subject to customary reductions. Pursuant to the terms of the Company’s supply agreement with MediWound, MediWound will manufacture NexoBrid for the Company on a unit price basis, which may be increased pursuant to the terms of the supply agreement. MediWound is obligated to supply the Company with NexoBrid for sale in North America on an exclusive basis for the first five years of the term of the supply agreement. Under the supply agreement, the Company possesses the option to extend the initial term of the agreement by an additional 24 months, which it did in May 2022. After the exclusivity period or upon supply failure, the Company will be permitted to establish an alternate source of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Additionally, beginning in 2020 BARDA procured quantities of NexoBrid from MediWound for use as a medical countermeasure in the event of a mass casualty emergency in the U.S. involving thermal burns. The initial, quarterly, procurement of NexoBrid by BARDA under its agreement with MediWound completed during the third quarter of 2022. As a part of BARDA’s commitment to procure NexoBrid, the Company has received a percentage of gross profit for sales directly to BARDA. As of March 31, 2023, the Company did not hold a direct contract or distribution agreement with BARDA, or take title to the product procured by BARDA.</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May 9, 2023, MediWound announced BARDA’s award of additional funding under the parties’ existing agreement, $3 million of which will support the replacement of NexoBrid, previously procured for emergency response preparedness, which has since expired. Pursuant to the terms of the Company’s license agreement with MediWound, the Company would recognize revenue based on a percentage of gross profits, minus a percentage of net sales, on any sales of NexoBrid directly to BARDA, upon delivery, pursuant to this additional award.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From time to 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March 31, 2023, the Company has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April 2023, in connection with the Burlington Lease, the Company entered into a construction escrow agreement (the “Construction Escrow Agreement”) with the facility’s landlord and an escrow agent. Pursuant to the terms of the Construction Escrow Agreement, in April 2023, the Company began funding into an escrow account maintained by the escrow agent a portion of its share of tenant improvement construction costs at the facility, which will be designated as restricted cash. At the same time, the facility’s landlord began funding a portion of its tenant improvement allowance through a separate escrow account. To date, the Company has transferred into its escrow account 50% of its required cost amount, or approximately $28.3 million. The Company anticipates funding the remaining 50% of its required cost amount in late 2023 or early 2024. Additionally, and in order to support the expansion of the Company’s autologous cell manufacturing operations at the new facility in Burlington, the Company plans to invest in the acquisition and installation of certain specialized manufacturing and laboratory equipment.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leader in advanced therapies for the sports medicine and severe burn care markets. We currently market two U.S. Food and Drug Administration (“FDA”) approved autologous cell therapy products and one FDA-approved specialty biologic product in the U.S. MACI® is an autologous cellularized scaffold product indicated for the repair of symptomatic, single or multiple full-thickness cartilage defects of the knee with or without bone involvement in adults. Epicel® is a permanent skin replacement Humanitarian Use Device (“HUD”) for the treatment of adult and pediatric patients with deep-dermal or full-thickness burns comprising greater than or equal to 30 percent of total body surface area (“TBSA”). We also hold an exclusive license from MediWound Ltd. (“MediWound”) for North American rights to NexoBrid (anacaulase-bcdb). On December 28, 2022, the FDA approved a Biologics License Application (“BLA”) for NexoBrid, granting a license for commercial use in the U.S. NexoBrid is a topically-administered biological product containing proteolytic enzymes and is indicated for the removal of eschar in adults with deep partial-thickness and/or full thickness thermal burns. Following NexoBrid’s approval, we have begun cross-functional commercial launch activities for the product, including education, training and engagement activities and the deployment of additional NexoBrid account managers. The ultimate timing of the availability of commercial NexoBrid in the United States is dependent, in part, on MediWound’s completion of certain manufacturing updates required by the FDA in connection with the NexoBrid BLA approval. Based on MediWound’s current timeline to complete these activities, we now expect to receive U.S. commercial NexoBrid from MediWound and begin commercial sales during the third quarter of 2023.</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declared the spread of a novel strain of coronavirus (“COVID-19”) to be a pandemic, which contributed to an economic downturn on a global scale, as well as significant volatility in the financial markets. At the time of the pandemic’s inception, and at times throughout its duration, there was significant volatility in our results of operations on a quarterly basis due to the widespread and periodic cancellation or delay of elective MACI surgical procedures throughout the U.S., staffing shortages and our ability to access customers. Based on declining COVID-related statistics, the U.S. Department of Health and Human Services has announced that the federal Public Health Emergency for COVID-19 is set to expire at the end of the day on May 11, 2023. Although at this juncture the pandemic’s effects on our business and results of operations have moderated, should a resurgence of COVID-19 occur it could result in additional disruptions that could impact our business and operations in the future, including intermittent restrictions on the ability of our personnel to travel and access customers for selling, marketing, training, case support and product development feedback, delays in approvals by regulatory bodies, delays in product development efforts, and additional government requirements or other incremental mitigation efforts that may further impact our capacity to manufacture, sell and support the use of our products.</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ongoing war between Russia and Ukraine and the related sanctions and other penalties imposed by countries across the globe against Russia are continuing to create substantial uncertainty in the global economy and have contributed to heightened inflation and supply chain disruptions. While we do not have operations in Russia or Ukraine and do not have exposure to distributors, or third-party service providers in Russia or Ukraine, we are unable to predict the ultimate impact that these actions will have on the global economy or on our financial condition, results of operations, and cash flows as of the date of these condensed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 The manufacturing process for NexoBrid is conducted by MediWound, primarily at manufacturing locations in Israel. Certain raw materials utilized in NexoBrid’s manufacture, including the supply of the active ingredient bromelain, are obtained from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43" w:lineRule="exact"/>
        <w:rPr>
          <w:sz w:val="20"/>
          <w:szCs w:val="20"/>
          <w:color w:val="auto"/>
        </w:rPr>
      </w:pPr>
    </w:p>
    <w:p>
      <w:pPr>
        <w:ind w:right="20" w:firstLine="243"/>
        <w:spacing w:after="0" w:line="236" w:lineRule="auto"/>
        <w:rPr>
          <w:sz w:val="20"/>
          <w:szCs w:val="20"/>
          <w:color w:val="auto"/>
        </w:rPr>
      </w:pPr>
      <w:r>
        <w:rPr>
          <w:rFonts w:ascii="Times New Roman" w:cs="Times New Roman" w:eastAsia="Times New Roman" w:hAnsi="Times New Roman"/>
          <w:sz w:val="18"/>
          <w:szCs w:val="18"/>
          <w:color w:val="auto"/>
        </w:rPr>
        <w:t>Our marketed products include two FDA-approved autologous cell therapies: MACI, a third-generation autologous cellularized scaffold product indicated for the repair of symptomatic, single or multiple full-thickness cartilage defects of the knee with or without bone involvement in adults; and Epicel, a permanent skin replacement for the treatment of adult and pediatric patients with deep-dermal or full-thickness burns comprising greater than or equal to 30 percent TBSA. Both autologous cell therapy products are currently manufactured and marketed in the U.S. Our product portfolio also includes a FDA-approved specialty biologic, NexoBrid, which is a topically-administered biological orphan product containing proteolytic enzymes that is indicated for eschar removal in adults with deep partial-thickness and/or full-thickness burns. We have entered into exclusive license and supply agreements with MediWound to commercialize NexoBrid in North America. On December 28, 2022, the FDA approved a BLA for NexoBrid, granting a license for commercial use in the U.S. Following NexoBrid’s approval, we have begun cross-functional commercial launch activities for the product, including education, training and engagement activities and the deployment of additional NexoBrid account managers. The ultimate timing of the availability of commercial NexoBrid in the United States is dependent, in part, on MediWound’s completion of certain manufacturing updates required by the FDA in connection with the NexoBrid BLA approval. Based on MediWound’s current timeline to complete these activities, we now expect to receive U.S. commercial NexoBrid from MediWound and begin commercial sales during the third quarter of 2023.</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75" w:lineRule="exact"/>
        <w:rPr>
          <w:sz w:val="20"/>
          <w:szCs w:val="20"/>
          <w:color w:val="auto"/>
        </w:rPr>
      </w:pPr>
    </w:p>
    <w:p>
      <w:pPr>
        <w:ind w:right="80" w:firstLine="243"/>
        <w:spacing w:after="0" w:line="241"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a formal specialty as sports medicine physicians, and a subpopulation of general orthopedic surgeons who perform a high volume of cartilage repair procedures. As of the date of this report, we employ approximately 75 MACI sales representatives to enable the sales force to reach our target audience. The team is divided into geographic regions, each managed by a Regional Manager and led by a Vice President of National MACI Sales.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2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MACI is currently implanted into the patient’s cartilage defect through an open surgical procedure. We are currently evaluating the potential for the arthroscopic delivery of MACI to the cartilage defect – a procedure in which a surgeon can evaluate, prepare and treat the cartilage defect under direct vision using specialized instruments delivered through a number of smaller incisions or portals. The arthroscopic delivery of MACI could increase the ease of MACI’s use for physicians and reduce both the length of the procedure and a patient’s post-operative pain and recovery. We have designed and are currently developing novel and specialized instruments to be used in and help facilitate such a procedure. We have recently discussed with the FDA a non-clinical regulatory strategy to support the potential inclusion of arthroscopic delivery in MACI’s approved labeling. Specifically, following a Type C meeting with the FDA, we submitted a protocol for a MACI arthroscopic delivery human factors validation study and plan to initiate the study in the third quarter of 2023.</w:t>
      </w:r>
    </w:p>
    <w:p>
      <w:pPr>
        <w:spacing w:after="0" w:line="2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Earlier this year, we conducted pre-IND interactions with the FDA concerning our clinical development program for MACI to treat cartilage injuries in the ankle, and based on feedback from the FDA, our team is actively working to finalize our non-clinical testing and propose a clinical development plan/protocol to FDA for review.</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TBSA. Epicel is regulated by the Center for Biologics Evaluation and Research (“CBER”) of the FDA under medical device authorities, and is the only FDA-approved cultured epidermal autograft product available for large total surface area burns in both adult and pediatric patients. Epicel was designated as a HUD in 1998 and a Humanitarian Device Exemption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 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 as the number of devices distributed in any calendar year does not exceed the Annual Distribution Number (“ADN”). The ADN is defined as the number of devices reasonably needed to treat a population of 8,000 individuals per year in the U.S.</w:t>
      </w:r>
    </w:p>
    <w:p>
      <w:pPr>
        <w:spacing w:after="0" w:line="18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On February 18, 2016, the FDA 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to be 360,400 which is approximately 40 times larger than the volume of grafts sold in 2022. As of March 31, 2023, our burn care field force was recently expanded to approximately 20 individuals to prepare for the launch of NexoBrid. The team is divided into geographic regions, each managed by a Regional Manager and led by a Vice President of National Burn Care Sales.</w:t>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portfolio of commercial-stage products now includes NexoBrid (anacaulase-bcdb), a topically-administered biological product containing proteolytic enzymes. The FDA approved NexoBrid on December 28, 2022, and the product is indicated for the removal of eschar in adults with deep partial-thickness and/or full thickness thermal burns. We have entered into exclusive license and supply agreements with MediWound to commercialize NexoBrid in North America.</w:t>
      </w:r>
    </w:p>
    <w:p>
      <w:pPr>
        <w:spacing w:after="0" w:line="20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burn patients that are hospitalized in the U.S. each year, the majority, over 30,000, have thermal burns and will likely require some level of eschar removal. NexoBrid’s FDA approval expands our burn care franchise’s total addressable market, which will permit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 With NexoBrid’s approval, our cross-functional commercial launch activities for the product are underway, including education, training and engagement activities and the deployment of additional NexoBrid account managers.</w:t>
      </w:r>
    </w:p>
    <w:p>
      <w:pPr>
        <w:spacing w:after="0" w:line="2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obtained from Taiwan. We expect to receive U.S. commercial product from MediWound and begin commercial sales of NexoBrid in the U.S. during the third quarter of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summary of our condensed consolidated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7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2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274.7 %</w:t>
            </w:r>
          </w:p>
        </w:tc>
        <w:tc>
          <w:tcPr>
            <w:tcW w:w="0" w:type="dxa"/>
            <w:vAlign w:val="bottom"/>
          </w:tcPr>
          <w:p>
            <w:pPr>
              <w:spacing w:after="0"/>
              <w:rPr>
                <w:sz w:val="1"/>
                <w:szCs w:val="1"/>
                <w:color w:val="auto"/>
              </w:rPr>
            </w:pPr>
          </w:p>
        </w:tc>
      </w:tr>
      <w:tr>
        <w:trPr>
          <w:trHeight w:val="223"/>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March 31, 2023 and 2022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 by product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7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8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100" w:firstLine="243"/>
        <w:spacing w:after="0" w:line="266" w:lineRule="auto"/>
        <w:rPr>
          <w:sz w:val="20"/>
          <w:szCs w:val="20"/>
          <w:color w:val="auto"/>
        </w:rPr>
      </w:pPr>
      <w:r>
        <w:rPr>
          <w:rFonts w:ascii="Times New Roman" w:cs="Times New Roman" w:eastAsia="Times New Roman" w:hAnsi="Times New Roman"/>
          <w:sz w:val="18"/>
          <w:szCs w:val="18"/>
          <w:color w:val="auto"/>
        </w:rPr>
        <w:t>Total revenue increase for the three months ended March 31, 2023 compared to the same period in 2022, was driven primarily by MACI volume and price growth, which more than offset lower Epicel volume and lower revenue associated with the delivery of NexoBrid to BARDA for emergency response preparedness.</w:t>
      </w:r>
    </w:p>
    <w:p>
      <w:pPr>
        <w:spacing w:after="0" w:line="201" w:lineRule="exact"/>
        <w:rPr>
          <w:sz w:val="20"/>
          <w:szCs w:val="20"/>
          <w:color w:val="auto"/>
        </w:rPr>
      </w:pPr>
    </w:p>
    <w:p>
      <w:pPr>
        <w:jc w:val="both"/>
        <w:ind w:right="100" w:firstLine="24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Since March 2020, the effects of the COVID-19 pandemic have, at times, disrupted the normal seasonality of our MACI business.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 effects have included periodic restrictions on the performance of elective surgical procedures throughout the country, the unavailability of physicians and/or changes to their treatment prioritizations, reductions in the levels of healthcare facility staffing and, in certain instances, the willingness or ability of patients to seek treatment and the inability of our sales representatives to call on surgeon customers. As a result of these effects, the MACI business seasonality in 2021 and 2020 did not follow our historic patterns. At this juncture the pandemic’s effects on our business and results of operations have moderated, although there continues to be a level of uncertainty whether MACI seasonality will return to pre-pandemic patterns. In the last five years through 2022, MACI sales volumes from the first through the fourth quarter on average represented 20% (18%-21% range), 21% (16%-24% range), 24% (21%-26% range) and 35% (33%-38% range) respectively, of total annual volumes. 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revenue has inherent variability from quarter-to-quarter and does not exhibit significant seasonality.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jc w:val="both"/>
        <w:ind w:right="120" w:firstLine="243"/>
        <w:spacing w:after="0" w:line="282" w:lineRule="auto"/>
        <w:rPr>
          <w:sz w:val="20"/>
          <w:szCs w:val="20"/>
          <w:color w:val="auto"/>
        </w:rPr>
      </w:pPr>
      <w:r>
        <w:rPr>
          <w:rFonts w:ascii="Times New Roman" w:cs="Times New Roman" w:eastAsia="Times New Roman" w:hAnsi="Times New Roman"/>
          <w:sz w:val="18"/>
          <w:szCs w:val="18"/>
          <w:color w:val="auto"/>
        </w:rPr>
        <w:t>Gross profit increase for the three months ended March 31, 2023 compared to the same period in 2022, was driven by higher MACI volume and price growth, which more than offset higher employee costs, raw material price increases and higher external storage and manufacturing facility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ind w:right="28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which include materials, professional fees and an allocation of employee-related salary and fringe benefit costs for our research and development projects: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7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Epicel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NexoBrid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0" w:type="dxa"/>
            <w:vAlign w:val="bottom"/>
          </w:tcPr>
          <w:p>
            <w:pPr>
              <w:spacing w:after="0"/>
              <w:rPr>
                <w:sz w:val="1"/>
                <w:szCs w:val="1"/>
                <w:color w:val="auto"/>
              </w:rPr>
            </w:pPr>
          </w:p>
        </w:tc>
      </w:tr>
      <w:tr>
        <w:trPr>
          <w:trHeight w:val="223"/>
        </w:trPr>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2023 were $5.2 million, compared to $4.9 million for the same period in 2022. The increase is primarily due to lower reimbursement of expenses from MediWound related to NexoBrid BLA resubmission.</w:t>
      </w:r>
    </w:p>
    <w:p>
      <w:pPr>
        <w:sectPr>
          <w:pgSz w:w="11900" w:h="16838" w:orient="portrait"/>
          <w:cols w:equalWidth="0" w:num="1">
            <w:col w:w="11340"/>
          </w:cols>
          <w:pgMar w:left="32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2023 were $29.5 million compared to $25.9 million for the same period in 2022. The increase in selling, general and administrative expenses was primarily due to higher headcount and employee expenses, additional travel and in-person events across the commercial organization, and an increase in marketing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254" w:lineRule="exact"/>
        <w:rPr>
          <w:sz w:val="20"/>
          <w:szCs w:val="20"/>
          <w:color w:val="auto"/>
        </w:rPr>
      </w:pPr>
    </w:p>
    <w:p>
      <w:pPr>
        <w:jc w:val="both"/>
        <w:ind w:right="120" w:firstLine="243"/>
        <w:spacing w:after="0" w:line="282" w:lineRule="auto"/>
        <w:rPr>
          <w:sz w:val="20"/>
          <w:szCs w:val="20"/>
          <w:color w:val="auto"/>
        </w:rPr>
      </w:pPr>
      <w:r>
        <w:rPr>
          <w:rFonts w:ascii="Times New Roman" w:cs="Times New Roman" w:eastAsia="Times New Roman" w:hAnsi="Times New Roman"/>
          <w:sz w:val="18"/>
          <w:szCs w:val="18"/>
          <w:color w:val="auto"/>
        </w:rPr>
        <w:t>The change in other income for the three months ended March 31, 2023, compared to the same period in 2022 was due primarily to fluctuations in the rates of return on our investments in various marketable debt securities slightly offset by interest expense related to our Revolving Credit Agreement.</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7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right="100" w:firstLine="243"/>
        <w:spacing w:after="0" w:line="266" w:lineRule="auto"/>
        <w:rPr>
          <w:sz w:val="20"/>
          <w:szCs w:val="20"/>
          <w:color w:val="auto"/>
        </w:rPr>
      </w:pPr>
      <w:r>
        <w:rPr>
          <w:rFonts w:ascii="Times New Roman" w:cs="Times New Roman" w:eastAsia="Times New Roman" w:hAnsi="Times New Roman"/>
          <w:sz w:val="18"/>
          <w:szCs w:val="18"/>
          <w:color w:val="auto"/>
        </w:rPr>
        <w:t>The decrease in stock-based compensation expense for the three months ended March 31, 2023 compared to the same period in 2022, was due primarily to fluctuations in stock prices and the mix of service-based options and restricted stock units, which impacts the fair value of the options and restricted stock units awarded and the expense recognized in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23"/>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ind w:right="100" w:firstLine="243"/>
        <w:spacing w:after="0" w:line="256" w:lineRule="auto"/>
        <w:rPr>
          <w:sz w:val="20"/>
          <w:szCs w:val="20"/>
          <w:color w:val="auto"/>
        </w:rPr>
      </w:pPr>
      <w:r>
        <w:rPr>
          <w:rFonts w:ascii="Times New Roman" w:cs="Times New Roman" w:eastAsia="Times New Roman" w:hAnsi="Times New Roman"/>
          <w:sz w:val="18"/>
          <w:szCs w:val="18"/>
          <w:color w:val="auto"/>
        </w:rPr>
        <w:t>Our cash and cash equivalents totaled $61.8 million, short-term investments totaled $57.4 million and long-term investments totaled $19.9 million as of March 31, 2023. The $7.9 million of cash provided by operations during the three months ended March 31, 2023 was primarily the result of non-cash charges of $8.7 million related to stock-based compensation expense, $1.1 million of operating lease amortization and $1.2 million in depreciation and amortization expense, offset by a net loss of $7.5 million and a net increase of $4.6 million related to movements in our working capital accounts. The overall increase in cash from our working capital accounts was primarily driven by a decrease in accounts receivable due to cash collections on the revenue from the seasonally-high previous sequential quarter, offset by a decrease in accounts payable and accrued expenses due to timing of payments.</w:t>
      </w:r>
    </w:p>
    <w:p>
      <w:pPr>
        <w:spacing w:after="0" w:line="214" w:lineRule="exact"/>
        <w:rPr>
          <w:sz w:val="20"/>
          <w:szCs w:val="20"/>
          <w:color w:val="auto"/>
        </w:rPr>
      </w:pPr>
    </w:p>
    <w:p>
      <w:pPr>
        <w:jc w:val="both"/>
        <w:ind w:right="100" w:firstLine="243"/>
        <w:spacing w:after="0" w:line="255" w:lineRule="auto"/>
        <w:rPr>
          <w:sz w:val="20"/>
          <w:szCs w:val="20"/>
          <w:color w:val="auto"/>
        </w:rPr>
      </w:pPr>
      <w:r>
        <w:rPr>
          <w:rFonts w:ascii="Times New Roman" w:cs="Times New Roman" w:eastAsia="Times New Roman" w:hAnsi="Times New Roman"/>
          <w:sz w:val="18"/>
          <w:szCs w:val="18"/>
          <w:color w:val="auto"/>
        </w:rPr>
        <w:t>Our cash, cash equivalents and restricted cash totaled $61.8 million, short-term investments totaled $44.9 million and long-term investments totaled $22.8 million as of March 31, 2022. The $3.5 million of cash provided by operations during the three months ended March 31, 2022 was primarily the result of non-cash charges of $9.5 million related to stock-based compensation expense, $1.1 million of operating lease amortization, $0.9 million in depreciation and amortization expense, offset by a net loss of $7.1 million and a net decrease of $1.1 million related to movements in our working capital accounts. The overall decrease in cash from our working capital accounts was primarily driven by a decrease in accounts payable and accrued expenses due to timing of payments, an increase in inventory due to increased production needs, offset by a decrease in accounts receivable due to a decrease in sales volume compared to the previous sequential quarter.</w:t>
      </w:r>
    </w:p>
    <w:p>
      <w:pPr>
        <w:sectPr>
          <w:pgSz w:w="11900" w:h="16838" w:orient="portrait"/>
          <w:cols w:equalWidth="0" w:num="1">
            <w:col w:w="11340"/>
          </w:cols>
          <w:pgMar w:left="32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2023 was the result of $21.5 million of investment sales and maturities, offset by $9.8 million in investment purchases, a $7.5 million regulatory milestone payment to MediWound resulting from the FDA’s approval of the NexoBrid BLA, and $1.4 million of property and equipment purchases primarily for manufacturing upgrades and construction in process related to the Burlington Lease.</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2022 was the result of $12.6 million in investments purchases and $3.1 million of property and equipment purchases primarily for manufacturing upgrades and leasehold improvements, offset by $5.0 million of investment sales and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2023 was the result of net proceeds from the exercise of stock options and the employee stock purchase plan of $2.2 million, partially offset by the payment of employee withholding taxes related to the vesting of restricted stock units of $2.1 million.</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2022 was primarily the result of net proceeds from the exercise of stock options and the employee stock purchase plan of $1.5 million partially offset by payments of employee withholding taxes related to the vesting of restricted stock units of $0.9 million.</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including NexoBrid. To date, we have financed our operations primarily through cash received through MACI and Epicel sales, debt, and public and private sales of our equity securities. We may finance our operations through the sales of equity securities, revolver borrowings or other debt financings, in addition to cash generated from operations.</w:t>
      </w:r>
    </w:p>
    <w:p>
      <w:pPr>
        <w:spacing w:after="0" w:line="21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 condensed consolidated financial statements included in this report. Although the effects of the ongoing COVID-19 pandemic have moderated in recent months, our business and operations may be adversely affected in the future if conditions were to worsen. Our actual cash requirements may differ from projections and will depend on many factors, including any future impacts of the COVID-19 pandemic,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costs associated with possible acquisitions or development of complementary business activities, and the cost to market our products.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we were not party to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August 27, 2021, we entered into a Sales Agreement with SVB Securities, LLC (f/k/a SVB Leerink LLC), as sales agent (“SVB Securities”), pursuant to which we may offer and sell up to $200.0 million of shares of our common stock, no par value per share (“ATM Shares”). The ATM Shares to be offered and sold under the Sales Agreement will be issued and sold pursuant to an automatically effective shelf registration statement on Form S-3ASR (File No. 333-259119) filed by us on August 27, 2021, which expires three years from the filing date. We also filed a prospectus supplement relating to the offering and sale of the ATM Shares on August 27, 2021. We are not obligated to make any sales of ATM Shares, and SVB Securities is not required to sell any specific number or dollar amount of the ATM Shares under the Sales Agreement. As of March 31, 2023, we have sold no shares pursuant to the Sales Agreement.</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As of March 31, 2023, there are no outstanding borrowings under the Revolving Credit Agreement, and we are in compliance with all applicable covenant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See Note 8, “Revolving Credit Agreement” in the accompanying condensed consolidated financial statements for further details.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in the heading “Management’s Discussion and Analysis of Financial Conditions and Results of Operations - Contractual Obligations” in our Annual Report on Form 10-K for the year ended December 31, 2022. There have been no material changes, outside of the ordinary course of business, to our contractual obligations and commitments since December 31, 2022, except as noted below.</w:t>
      </w:r>
    </w:p>
    <w:p>
      <w:pPr>
        <w:spacing w:after="0" w:line="20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April 2023, in connection with the Burlington Lease, we entered into a construction escrow agreement (the “Construction Escrow Agreement”) with the facility’s landlord and an escrow agent. Pursuant to the terms of the Construction Escrow Agreement, in April 2023 we began funding into an escrow account maintained by the escrow agent a portion of our share of tenant improvement construction costs at the facility, which will be designated as restricted cash. At the same time, the facility’s landlord began funding a portion of its tenant improvement allowance through a separate escrow account. To date, we have transferred into our escrow account 50% of our required cost amount, or approximately $28.3 million. We anticipate funding the remaining 50% of our required cost amount in late 2023 or early 2024. Additionally, and in order to support the expansion of our autologous cell manufacturing operations at the new facility in Burlington, we plan to invest in the acquisition and installation of certain specialized manufacturing and laboratory equipment.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in the three months ended March 31, 2023. For further information, refer to our summary of significant accounting policies and estimates in our Annual Report on Form 10-K filed for the year ended December 31, 2022.</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243"/>
        <w:spacing w:after="0" w:line="244" w:lineRule="auto"/>
        <w:rPr>
          <w:sz w:val="20"/>
          <w:szCs w:val="20"/>
          <w:color w:val="auto"/>
        </w:rPr>
      </w:pPr>
      <w:r>
        <w:rPr>
          <w:rFonts w:ascii="Times New Roman" w:cs="Times New Roman" w:eastAsia="Times New Roman" w:hAnsi="Times New Roman"/>
          <w:sz w:val="18"/>
          <w:szCs w:val="18"/>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growth in profit, gross margins and operating margins, the ability to continue to scale our manufacturing operations to meet the demand for our cell therapy products, including the timely completion of a new headquarters and manufacturing facility in Burlington, Massachusetts, the ability to achieve or sustain profitability, the expected target surgeon audience, potential fluctuations in sales and volumes and our results of operations over the course of the year, timing and conduct of clinical trial and product development activities, timing and likelihood of the FDA’s potential approval of the arthroscopic delivery of MACI to the knee or the use of MACI to treat cartilage defects in the ankle, the estimate of the commercial growth potential of our products and product candidates, competitive developments, changes in third-party coverage and reimbursement, the ultimate timing of the commercial launch of NexoBrid in the United States, physician and burn center adoption of NexoBrid, supply chain disruptions or other events affecting MediWound Ltd.’s ability to manufacture and supply NexoBrid to meet customer demand, negative impacts on the global economy and capital markets resulting from the conflict in Ukraine, adverse developments affecting financial institutions, companies in the financial services industry or the financial services industry generally, global geopolitical tensions or record inflation and the ongoing or future impacts of the COVID-19 pandemic on our business or the economy generally. These forward-looking statements are based upon assumptions our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under “Part I, Item 1A Risk Factors” and the risk listed in this Quarterly Report under “Part I, Item 1A Risk Factors.”</w:t>
      </w:r>
    </w:p>
    <w:p>
      <w:pPr>
        <w:spacing w:after="0" w:line="20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of our Annual Report on Form 10-K for the year ended December 31, 2022. Our exposures to market risk have not changed materially since December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March 31, 2023, the Company’s Certifying Officers concluded that the Company’s disclosure controls and procedures were effective.</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Certifying Officers,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there were no material changes made in our internal control over financial reporting (as such term is defined in Rules 13a-15(f) and 15d-15(f) of the Exchange Act).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 to time we may become involved in disputes in connection with the operation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Factors that could cause the Company’s actual results to differ materially from those in this Quarterly Report are any of the risks described in our Annual Report on Form 10-K for the fiscal year ended December 31, 2022 filed with the SEC on February 23, 2023.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on Form 10-Q, there have been no material changes to the risk factors disclosed in our Annual Report on Form 10-K for the fiscal year ended December 31, 2022, except as follows.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8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maintain cash and investments that are held in a number of investment and deposit accounts at leading financial institutions. The amounts held in the deposit accounts are in excess of the insurance coverage offered by the FDIC, and we may in the future, continue to have assets held at financial institutions that exceed the insurance coverage offered by the FDIC, the loss of which would have a severe negative effect on our operations and liquidity.</w:t>
      </w:r>
    </w:p>
    <w:p>
      <w:pPr>
        <w:spacing w:after="0" w:line="20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Federal Deposit Insurance Corporation (“FDIC”) and Federal Reserve Board have announced a program to provide up to $25 billion of loans to financial institutions secured by such government securities held by financial institutions to mitigate the risk of potential losses on the sale of such instruments. However, there is no guarantee that the U.S. Department of Treasury, FDIC and Federal Reserve Board will provide access to uninsured funds in the future in the event of the closure of banks or financial institutions in a timely fashion or at all.</w:t>
      </w:r>
    </w:p>
    <w:p>
      <w:pPr>
        <w:spacing w:after="0" w:line="21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access to our cash and cash equivalents in amounts adequate to finance our operations could be significantly impaired if the financial institutions with which we have arrangements directly face liquidity constraints or failures. In addition, investor concerns regarding the U.S. or international financial systems could result in less favorable commercial financing terms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 Furthermore, should our customers have relationships with financial institutions that fail, this may result in a delay of collecting outstanding receivables, which could have a material adverse effect on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Exhibits listed in the Exhibit Index are filed as a part of this Quarterly Report on Form 10-Q.</w:t>
      </w: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5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3.3</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3.4</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3.5</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4.1</w:t>
      </w:r>
    </w:p>
    <w:p>
      <w:pPr>
        <w:spacing w:after="0" w:line="20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31.1*</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31.2*</w:t>
      </w:r>
    </w:p>
    <w:p>
      <w:pPr>
        <w:spacing w:after="0" w:line="38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32.1*</w:t>
      </w:r>
    </w:p>
    <w:p>
      <w:pPr>
        <w:spacing w:after="0" w:line="2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101.INS*</w:t>
      </w:r>
    </w:p>
    <w:p>
      <w:pPr>
        <w:spacing w:after="0" w:line="2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101.SCH*</w:t>
      </w:r>
    </w:p>
    <w:p>
      <w:pPr>
        <w:spacing w:after="0" w:line="20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101.CAL*</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101.LAB*</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101.PRE*</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101.DEF*</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20" w:type="dxa"/>
            <w:vAlign w:val="bottom"/>
            <w:gridSpan w:val="10"/>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10"/>
            <w:vMerge w:val="continue"/>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2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10"/>
          </w:tcPr>
          <w:p>
            <w:pPr>
              <w:spacing w:after="0" w:line="20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Restated Articles of Incorporation of the Company.</w:t>
              </w:r>
            </w:hyperlink>
          </w:p>
        </w:tc>
        <w:tc>
          <w:tcPr>
            <w:tcW w:w="12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Certificate of Amendment to Restated Articles of</w:t>
              </w:r>
            </w:hyperlink>
          </w:p>
        </w:tc>
        <w:tc>
          <w:tcPr>
            <w:tcW w:w="940" w:type="dxa"/>
            <w:vAlign w:val="bottom"/>
            <w:gridSpan w:val="6"/>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Incorporation of the Company dated February 9,</w:t>
              </w:r>
            </w:hyperlink>
          </w:p>
        </w:tc>
        <w:tc>
          <w:tcPr>
            <w:tcW w:w="400" w:type="dxa"/>
            <w:vAlign w:val="bottom"/>
            <w:tcBorders>
              <w:bottom w:val="single" w:sz="8" w:color="0000FF"/>
            </w:tcBorders>
            <w:gridSpan w:val="4"/>
          </w:tcPr>
          <w:p>
            <w:pPr>
              <w:jc w:val="right"/>
              <w:spacing w:after="0" w:line="136" w:lineRule="exact"/>
              <w:rPr>
                <w:rFonts w:ascii="Times New Roman" w:cs="Times New Roman" w:eastAsia="Times New Roman" w:hAnsi="Times New Roman"/>
                <w:sz w:val="15"/>
                <w:szCs w:val="15"/>
                <w:color w:val="0000FF"/>
              </w:rPr>
            </w:pPr>
            <w:hyperlink r:id="rId51">
              <w:r>
                <w:rPr>
                  <w:rFonts w:ascii="Times New Roman" w:cs="Times New Roman" w:eastAsia="Times New Roman" w:hAnsi="Times New Roman"/>
                  <w:sz w:val="15"/>
                  <w:szCs w:val="15"/>
                  <w:color w:val="0000FF"/>
                </w:rPr>
                <w:t>2010.</w:t>
              </w:r>
            </w:hyperlink>
          </w:p>
        </w:tc>
        <w:tc>
          <w:tcPr>
            <w:tcW w:w="22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120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5"/>
                <w:szCs w:val="15"/>
                <w:color w:val="auto"/>
              </w:rPr>
              <w:t>S-1</w:t>
            </w:r>
          </w:p>
        </w:tc>
        <w:tc>
          <w:tcPr>
            <w:tcW w:w="118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333-160044</w:t>
            </w:r>
          </w:p>
        </w:tc>
        <w:tc>
          <w:tcPr>
            <w:tcW w:w="120" w:type="dxa"/>
            <w:vAlign w:val="bottom"/>
          </w:tcPr>
          <w:p>
            <w:pPr>
              <w:spacing w:after="0"/>
              <w:rPr>
                <w:sz w:val="13"/>
                <w:szCs w:val="13"/>
                <w:color w:val="auto"/>
              </w:rPr>
            </w:pPr>
          </w:p>
        </w:tc>
        <w:tc>
          <w:tcPr>
            <w:tcW w:w="100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spacing w:after="0"/>
              <w:rPr>
                <w:sz w:val="13"/>
                <w:szCs w:val="13"/>
                <w:color w:val="auto"/>
              </w:rPr>
            </w:pPr>
          </w:p>
        </w:tc>
        <w:tc>
          <w:tcPr>
            <w:tcW w:w="138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March 31, 2010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Certificate of Amendment to Restated Articles of</w:t>
              </w:r>
            </w:hyperlink>
          </w:p>
        </w:tc>
        <w:tc>
          <w:tcPr>
            <w:tcW w:w="1080" w:type="dxa"/>
            <w:vAlign w:val="bottom"/>
            <w:gridSpan w:val="7"/>
          </w:tcPr>
          <w:p>
            <w:pPr>
              <w:spacing w:after="0"/>
              <w:rPr>
                <w:sz w:val="19"/>
                <w:szCs w:val="19"/>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9"/>
                <w:szCs w:val="1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25, 2011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tcBorders>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Incorporation of the Company dated March 22, 2011.</w:t>
              </w:r>
            </w:hyperlink>
          </w:p>
        </w:tc>
        <w:tc>
          <w:tcPr>
            <w:tcW w:w="320" w:type="dxa"/>
            <w:vAlign w:val="bottom"/>
            <w:gridSpan w:val="2"/>
          </w:tcPr>
          <w:p>
            <w:pPr>
              <w:spacing w:after="0"/>
              <w:rPr>
                <w:sz w:val="13"/>
                <w:szCs w:val="13"/>
                <w:color w:val="auto"/>
              </w:rPr>
            </w:pPr>
          </w:p>
        </w:tc>
        <w:tc>
          <w:tcPr>
            <w:tcW w:w="460" w:type="dxa"/>
            <w:vAlign w:val="bottom"/>
            <w:gridSpan w:val="2"/>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10"/>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Certificate of Amendment to the Restated Articles of</w:t>
              </w:r>
            </w:hyperlink>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Incorporation of the Company, dated November 21,</w:t>
              </w:r>
            </w:hyperlink>
          </w:p>
        </w:tc>
        <w:tc>
          <w:tcPr>
            <w:tcW w:w="820" w:type="dxa"/>
            <w:vAlign w:val="bottom"/>
            <w:gridSpan w:val="5"/>
          </w:tcPr>
          <w:p>
            <w:pPr>
              <w:jc w:val="right"/>
              <w:ind w:right="460"/>
              <w:spacing w:after="0" w:line="136" w:lineRule="exact"/>
              <w:rPr>
                <w:rFonts w:ascii="Times New Roman" w:cs="Times New Roman" w:eastAsia="Times New Roman" w:hAnsi="Times New Roman"/>
                <w:sz w:val="15"/>
                <w:szCs w:val="15"/>
                <w:color w:val="0000FF"/>
              </w:rPr>
            </w:pPr>
            <w:hyperlink r:id="rId53">
              <w:r>
                <w:rPr>
                  <w:rFonts w:ascii="Times New Roman" w:cs="Times New Roman" w:eastAsia="Times New Roman" w:hAnsi="Times New Roman"/>
                  <w:sz w:val="15"/>
                  <w:szCs w:val="15"/>
                  <w:color w:val="0000FF"/>
                </w:rPr>
                <w:t>2014.</w:t>
              </w:r>
            </w:hyperlink>
          </w:p>
        </w:tc>
        <w:tc>
          <w:tcPr>
            <w:tcW w:w="120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5"/>
                <w:szCs w:val="15"/>
                <w:color w:val="auto"/>
              </w:rPr>
              <w:t>8-K</w:t>
            </w:r>
          </w:p>
        </w:tc>
        <w:tc>
          <w:tcPr>
            <w:tcW w:w="118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001-35280</w:t>
            </w:r>
          </w:p>
        </w:tc>
        <w:tc>
          <w:tcPr>
            <w:tcW w:w="120" w:type="dxa"/>
            <w:vAlign w:val="bottom"/>
          </w:tcPr>
          <w:p>
            <w:pPr>
              <w:spacing w:after="0"/>
              <w:rPr>
                <w:sz w:val="13"/>
                <w:szCs w:val="13"/>
                <w:color w:val="auto"/>
              </w:rPr>
            </w:pPr>
          </w:p>
        </w:tc>
        <w:tc>
          <w:tcPr>
            <w:tcW w:w="100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3"/>
                <w:szCs w:val="13"/>
                <w:color w:val="auto"/>
              </w:rPr>
            </w:pPr>
          </w:p>
        </w:tc>
        <w:tc>
          <w:tcPr>
            <w:tcW w:w="138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3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202" w:lineRule="exact"/>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Amended and restated bylaws.</w:t>
              </w:r>
            </w:hyperlink>
          </w:p>
        </w:tc>
        <w:tc>
          <w:tcPr>
            <w:tcW w:w="2420" w:type="dxa"/>
            <w:vAlign w:val="bottom"/>
            <w:gridSpan w:val="8"/>
          </w:tcPr>
          <w:p>
            <w:pPr>
              <w:spacing w:after="0"/>
              <w:rPr>
                <w:sz w:val="17"/>
                <w:szCs w:val="17"/>
                <w:color w:val="auto"/>
              </w:rPr>
            </w:pPr>
          </w:p>
        </w:tc>
        <w:tc>
          <w:tcPr>
            <w:tcW w:w="12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gridSpan w:val="10"/>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Description of Capital Stock.</w:t>
              </w:r>
            </w:hyperlink>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25,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-925195</wp:posOffset>
            </wp:positionV>
            <wp:extent cx="699516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995160" cy="26543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-393700</wp:posOffset>
            </wp:positionV>
            <wp:extent cx="6995160"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995160" cy="26543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-1464945</wp:posOffset>
            </wp:positionV>
            <wp:extent cx="699516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0000FF"/>
        </w:rPr>
        <w:t>Section 302 of the Sarbanes-Oxley Act of 2002.</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Section 302 of the Sarbanes-Oxley Act of 2002.</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377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ind w:left="20"/>
        <w:spacing w:after="0" w:line="219" w:lineRule="auto"/>
        <w:rPr>
          <w:sz w:val="20"/>
          <w:szCs w:val="20"/>
          <w:color w:val="auto"/>
        </w:rPr>
      </w:pPr>
      <w:r>
        <w:rPr>
          <w:rFonts w:ascii="Times New Roman" w:cs="Times New Roman" w:eastAsia="Times New Roman" w:hAnsi="Times New Roman"/>
          <w:sz w:val="18"/>
          <w:szCs w:val="18"/>
          <w:u w:val="single" w:color="auto"/>
          <w:color w:val="0000FF"/>
        </w:rPr>
        <w:t>Officer pursuant to Section 906 of the Sarbanes-Oxley Act of</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14605</wp:posOffset>
            </wp:positionV>
            <wp:extent cx="699516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6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95160" cy="266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Cover Page Interactive Data File (formatted as inline XBRL</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and contained in Exhibit 101)</w:t>
      </w:r>
    </w:p>
    <w:p>
      <w:pPr>
        <w:spacing w:after="0" w:line="200" w:lineRule="exact"/>
        <w:rPr>
          <w:sz w:val="20"/>
          <w:szCs w:val="20"/>
          <w:color w:val="auto"/>
        </w:rPr>
      </w:pPr>
    </w:p>
    <w:p>
      <w:pPr>
        <w:sectPr>
          <w:pgSz w:w="11900" w:h="16838" w:orient="portrait"/>
          <w:cols w:equalWidth="0" w:num="2">
            <w:col w:w="1240" w:space="260"/>
            <w:col w:w="9640"/>
          </w:cols>
          <w:pgMar w:left="320" w:top="117" w:right="4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2023</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8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20"/>
          </w:cols>
          <w:pgMar w:left="320" w:top="117" w:right="10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5"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jc w:val="both"/>
        <w:ind w:right="260" w:firstLine="8"/>
        <w:spacing w:after="0" w:line="282" w:lineRule="auto"/>
        <w:tabs>
          <w:tab w:leader="none" w:pos="4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4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4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1182"/>
        <w:spacing w:after="0" w:line="266" w:lineRule="auto"/>
        <w:tabs>
          <w:tab w:leader="none" w:pos="141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80" w:firstLine="1182"/>
        <w:spacing w:after="0" w:line="266" w:lineRule="auto"/>
        <w:tabs>
          <w:tab w:leader="none" w:pos="142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1182"/>
        <w:spacing w:after="0" w:line="282" w:lineRule="auto"/>
        <w:tabs>
          <w:tab w:leader="none" w:pos="141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80" w:firstLine="1182"/>
        <w:spacing w:after="0" w:line="266" w:lineRule="auto"/>
        <w:tabs>
          <w:tab w:leader="none" w:pos="142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4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40" w:firstLine="1182"/>
        <w:spacing w:after="0" w:line="282" w:lineRule="auto"/>
        <w:tabs>
          <w:tab w:leader="none" w:pos="140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1182"/>
        <w:spacing w:after="0" w:line="282" w:lineRule="auto"/>
        <w:tabs>
          <w:tab w:leader="none" w:pos="141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10, 2023</w:t>
      </w:r>
    </w:p>
    <w:p>
      <w:pPr>
        <w:spacing w:after="0" w:line="36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Mara, certify that:</w:t>
      </w:r>
    </w:p>
    <w:p>
      <w:pPr>
        <w:spacing w:after="0" w:line="225" w:lineRule="exact"/>
        <w:rPr>
          <w:sz w:val="20"/>
          <w:szCs w:val="20"/>
          <w:color w:val="auto"/>
        </w:rPr>
      </w:pPr>
    </w:p>
    <w:p>
      <w:pPr>
        <w:ind w:left="440" w:hanging="189"/>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ind w:right="260" w:firstLine="251"/>
        <w:spacing w:after="0" w:line="282"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251"/>
        <w:spacing w:after="0" w:line="282"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51"/>
        <w:spacing w:after="0" w:line="266"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34"/>
        <w:spacing w:after="0" w:line="266" w:lineRule="auto"/>
        <w:tabs>
          <w:tab w:leader="none" w:pos="7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34"/>
        <w:spacing w:after="0" w:line="266" w:lineRule="auto"/>
        <w:tabs>
          <w:tab w:leader="none" w:pos="7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34"/>
        <w:spacing w:after="0" w:line="282" w:lineRule="auto"/>
        <w:tabs>
          <w:tab w:leader="none" w:pos="7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34"/>
        <w:spacing w:after="0" w:line="266" w:lineRule="auto"/>
        <w:tabs>
          <w:tab w:leader="none" w:pos="7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251"/>
        <w:spacing w:after="0" w:line="282"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60" w:firstLine="534"/>
        <w:spacing w:after="0" w:line="282" w:lineRule="auto"/>
        <w:tabs>
          <w:tab w:leader="none" w:pos="7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34"/>
        <w:spacing w:after="0" w:line="282" w:lineRule="auto"/>
        <w:tabs>
          <w:tab w:leader="none" w:pos="7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10, 2023</w:t>
      </w:r>
    </w:p>
    <w:p>
      <w:pPr>
        <w:spacing w:after="0" w:line="36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3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March 31, 2023,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25" w:lineRule="exact"/>
        <w:rPr>
          <w:rFonts w:ascii="Times New Roman" w:cs="Times New Roman" w:eastAsia="Times New Roman" w:hAnsi="Times New Roman"/>
          <w:sz w:val="18"/>
          <w:szCs w:val="18"/>
          <w:color w:val="auto"/>
        </w:rPr>
      </w:pPr>
    </w:p>
    <w:p>
      <w:pPr>
        <w:ind w:right="420" w:firstLine="8"/>
        <w:spacing w:after="0" w:line="532" w:lineRule="auto"/>
        <w:tabs>
          <w:tab w:leader="none" w:pos="3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10, 2023</w:t>
      </w:r>
    </w:p>
    <w:p>
      <w:pPr>
        <w:spacing w:after="0" w:line="8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Joseph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50" Type="http://schemas.openxmlformats.org/officeDocument/2006/relationships/hyperlink" Target="https://www.sec.gov/Archives/edgar/data/887359/000129993309004957/exhibit1.htm" TargetMode="External"/><Relationship Id="rId51" Type="http://schemas.openxmlformats.org/officeDocument/2006/relationships/hyperlink" Target="https://www.sec.gov/Archives/edgar/data/887359/000095012310030777/b80276exv3w2.htm" TargetMode="External"/><Relationship Id="rId52" Type="http://schemas.openxmlformats.org/officeDocument/2006/relationships/hyperlink" Target="https://www.sec.gov/Archives/edgar/data/887359/000095012311029237/a59068exv3w1.htm" TargetMode="External"/><Relationship Id="rId53" Type="http://schemas.openxmlformats.org/officeDocument/2006/relationships/hyperlink" Target="https://www.sec.gov/Archives/edgar/data/887359/000110465914083052/a14-25082_1ex3d1.htm" TargetMode="External"/><Relationship Id="rId54" Type="http://schemas.openxmlformats.org/officeDocument/2006/relationships/hyperlink" Target="https://www.sec.gov/Archives/edgar/data/887359/000129993310004053/exhibit1.htm" TargetMode="External"/><Relationship Id="rId55" Type="http://schemas.openxmlformats.org/officeDocument/2006/relationships/hyperlink" Target="https://www.sec.gov/Archives/edgar/data/887359/000162828020002229/ex45descriptionofcap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2023-05-10T07:53:21Z</dcterms:created>
  <dcterms:modified xsi:type="dcterms:W3CDTF">2023-05-10T07:53:21Z</dcterms:modified>
</cp:coreProperties>
</file>