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t>UNITED STATES SECURITIES AND EXCHANGE COMMISSION</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94" w:lineRule="exact"/>
        <w:rPr>
          <w:sz w:val="24"/>
          <w:szCs w:val="24"/>
          <w:color w:val="auto"/>
        </w:rPr>
      </w:pPr>
    </w:p>
    <w:p>
      <w:pPr>
        <w:jc w:val="center"/>
        <w:ind w:left="5400" w:right="220" w:hanging="5177"/>
        <w:spacing w:after="0" w:line="238" w:lineRule="auto"/>
        <w:tabs>
          <w:tab w:leader="none" w:pos="525"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jc w:val="center"/>
        <w:ind w:right="-19"/>
        <w:spacing w:after="0" w:line="195" w:lineRule="auto"/>
        <w:rPr>
          <w:sz w:val="20"/>
          <w:szCs w:val="20"/>
          <w:color w:val="auto"/>
        </w:rPr>
      </w:pPr>
      <w:r>
        <w:rPr>
          <w:rFonts w:ascii="Times New Roman" w:cs="Times New Roman" w:eastAsia="Times New Roman" w:hAnsi="Times New Roman"/>
          <w:sz w:val="18"/>
          <w:szCs w:val="18"/>
          <w:b w:val="1"/>
          <w:bCs w:val="1"/>
          <w:color w:val="auto"/>
        </w:rPr>
        <w:t>or</w:t>
      </w:r>
    </w:p>
    <w:p>
      <w:pPr>
        <w:ind w:left="540" w:hanging="346"/>
        <w:spacing w:after="0" w:line="222" w:lineRule="auto"/>
        <w:tabs>
          <w:tab w:leader="none" w:pos="54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jc w:val="center"/>
        <w:ind w:right="-19"/>
        <w:spacing w:after="0" w:line="223" w:lineRule="auto"/>
        <w:rPr>
          <w:sz w:val="20"/>
          <w:szCs w:val="20"/>
          <w:color w:val="auto"/>
        </w:rPr>
      </w:pPr>
      <w:r>
        <w:rPr>
          <w:rFonts w:ascii="Times New Roman" w:cs="Times New Roman" w:eastAsia="Times New Roman" w:hAnsi="Times New Roman"/>
          <w:sz w:val="22"/>
          <w:szCs w:val="22"/>
          <w:b w:val="1"/>
          <w:bCs w:val="1"/>
          <w:color w:val="auto"/>
        </w:rPr>
        <w:t>1934</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001-35280</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VERICEL CORPORATION</w:t>
      </w: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99060</wp:posOffset>
            </wp:positionV>
            <wp:extent cx="12687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8730" cy="17145"/>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p>
      <w:pPr>
        <w:spacing w:after="0" w:line="294"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4"/>
          <w:szCs w:val="14"/>
          <w:b w:val="1"/>
          <w:bCs w:val="1"/>
          <w:color w:val="auto"/>
        </w:rPr>
        <w:t>Michigan</w:t>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94-3096597</w:t>
      </w:r>
    </w:p>
    <w:p>
      <w:pPr>
        <w:spacing w:after="0" w:line="44" w:lineRule="exact"/>
        <w:rPr>
          <w:sz w:val="24"/>
          <w:szCs w:val="24"/>
          <w:color w:val="auto"/>
        </w:rPr>
      </w:pPr>
    </w:p>
    <w:p>
      <w:pPr>
        <w:sectPr>
          <w:pgSz w:w="11900" w:h="16838" w:orient="portrait"/>
          <w:cols w:equalWidth="0" w:num="2">
            <w:col w:w="7140" w:space="720"/>
            <w:col w:w="3380"/>
          </w:cols>
          <w:pgMar w:left="320" w:top="1438" w:right="33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2">
            <w:col w:w="6440" w:space="720"/>
            <w:col w:w="4080"/>
          </w:cols>
          <w:pgMar w:left="320" w:top="1438" w:right="339" w:bottom="1440" w:gutter="0" w:footer="0" w:header="0"/>
          <w:type w:val="continuous"/>
        </w:sectPr>
      </w:pP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 Sidney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Cambridge, MA 02139</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2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(617) 588-5555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110490</wp:posOffset>
            </wp:positionV>
            <wp:extent cx="12687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1714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420" w:type="dxa"/>
            <w:vAlign w:val="bottom"/>
          </w:tcPr>
          <w:p>
            <w:pPr>
              <w:spacing w:after="0"/>
              <w:rPr>
                <w:sz w:val="16"/>
                <w:szCs w:val="16"/>
                <w:color w:val="auto"/>
              </w:rPr>
            </w:pPr>
          </w:p>
        </w:tc>
        <w:tc>
          <w:tcPr>
            <w:tcW w:w="4120" w:type="dxa"/>
            <w:vAlign w:val="bottom"/>
          </w:tcPr>
          <w:p>
            <w:pPr>
              <w:jc w:val="center"/>
              <w:ind w:left="222"/>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700" w:type="dxa"/>
            <w:vAlign w:val="bottom"/>
          </w:tcPr>
          <w:p>
            <w:pPr>
              <w:spacing w:after="0"/>
              <w:rPr>
                <w:sz w:val="16"/>
                <w:szCs w:val="16"/>
                <w:color w:val="auto"/>
              </w:rPr>
            </w:pPr>
          </w:p>
        </w:tc>
      </w:tr>
      <w:tr>
        <w:trPr>
          <w:trHeight w:val="331"/>
        </w:trPr>
        <w:tc>
          <w:tcPr>
            <w:tcW w:w="3420" w:type="dxa"/>
            <w:vAlign w:val="bottom"/>
            <w:tcBorders>
              <w:bottom w:val="single" w:sz="8" w:color="auto"/>
            </w:tcBorders>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Title of Class</w:t>
            </w:r>
          </w:p>
        </w:tc>
        <w:tc>
          <w:tcPr>
            <w:tcW w:w="4120" w:type="dxa"/>
            <w:vAlign w:val="bottom"/>
            <w:tcBorders>
              <w:bottom w:val="single" w:sz="8" w:color="auto"/>
            </w:tcBorders>
          </w:tcPr>
          <w:p>
            <w:pPr>
              <w:jc w:val="center"/>
              <w:ind w:left="202"/>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4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Common Stock (No par value)</w:t>
            </w:r>
          </w:p>
        </w:tc>
        <w:tc>
          <w:tcPr>
            <w:tcW w:w="4120" w:type="dxa"/>
            <w:vAlign w:val="bottom"/>
          </w:tcPr>
          <w:p>
            <w:pPr>
              <w:jc w:val="center"/>
              <w:ind w:left="182"/>
              <w:spacing w:after="0"/>
              <w:rPr>
                <w:sz w:val="20"/>
                <w:szCs w:val="20"/>
                <w:color w:val="auto"/>
              </w:rPr>
            </w:pPr>
            <w:r>
              <w:rPr>
                <w:rFonts w:ascii="Times New Roman" w:cs="Times New Roman" w:eastAsia="Times New Roman" w:hAnsi="Times New Roman"/>
                <w:sz w:val="16"/>
                <w:szCs w:val="16"/>
                <w:color w:val="auto"/>
              </w:rPr>
              <w:t>VCEL</w:t>
            </w: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w:t>
            </w:r>
          </w:p>
        </w:tc>
      </w:tr>
    </w:tbl>
    <w:p>
      <w:pPr>
        <w:spacing w:after="0" w:line="370" w:lineRule="exact"/>
        <w:rPr>
          <w:sz w:val="24"/>
          <w:szCs w:val="24"/>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17" w:lineRule="exact"/>
        <w:rPr>
          <w:sz w:val="24"/>
          <w:szCs w:val="24"/>
          <w:color w:val="auto"/>
        </w:rPr>
      </w:pPr>
    </w:p>
    <w:p>
      <w:pPr>
        <w:ind w:right="240"/>
        <w:spacing w:after="0" w:line="245"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10" w:lineRule="exact"/>
        <w:rPr>
          <w:sz w:val="24"/>
          <w:szCs w:val="24"/>
          <w:color w:val="auto"/>
        </w:rPr>
      </w:pPr>
    </w:p>
    <w:p>
      <w:pPr>
        <w:ind w:right="8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2800" w:type="dxa"/>
        <w:tblCellMar>
          <w:top w:w="0" w:type="dxa"/>
          <w:left w:w="0" w:type="dxa"/>
          <w:bottom w:w="0" w:type="dxa"/>
          <w:right w:w="0" w:type="dxa"/>
        </w:tblCellMar>
      </w:tblPr>
      <w:tr>
        <w:trPr>
          <w:trHeight w:val="216"/>
        </w:trPr>
        <w:tc>
          <w:tcPr>
            <w:tcW w:w="2240" w:type="dxa"/>
            <w:vAlign w:val="bottom"/>
          </w:tcPr>
          <w:p>
            <w:pPr>
              <w:jc w:val="center"/>
              <w:ind w:right="699"/>
              <w:spacing w:after="0"/>
              <w:rPr>
                <w:sz w:val="20"/>
                <w:szCs w:val="20"/>
                <w:color w:val="auto"/>
              </w:rPr>
            </w:pPr>
            <w:r>
              <w:rPr>
                <w:rFonts w:ascii="Times New Roman" w:cs="Times New Roman" w:eastAsia="Times New Roman" w:hAnsi="Times New Roman"/>
                <w:sz w:val="16"/>
                <w:szCs w:val="16"/>
                <w:color w:val="auto"/>
              </w:rPr>
              <w:t>Large accelerated filer</w:t>
            </w:r>
          </w:p>
        </w:tc>
        <w:tc>
          <w:tcPr>
            <w:tcW w:w="136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2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Accelerated filer</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9"/>
        </w:trPr>
        <w:tc>
          <w:tcPr>
            <w:tcW w:w="2240" w:type="dxa"/>
            <w:vAlign w:val="bottom"/>
          </w:tcPr>
          <w:p>
            <w:pPr>
              <w:jc w:val="center"/>
              <w:ind w:right="699"/>
              <w:spacing w:after="0"/>
              <w:rPr>
                <w:sz w:val="20"/>
                <w:szCs w:val="20"/>
                <w:color w:val="auto"/>
              </w:rPr>
            </w:pPr>
            <w:r>
              <w:rPr>
                <w:rFonts w:ascii="Times New Roman" w:cs="Times New Roman" w:eastAsia="Times New Roman" w:hAnsi="Times New Roman"/>
                <w:sz w:val="16"/>
                <w:szCs w:val="16"/>
                <w:color w:val="auto"/>
              </w:rPr>
              <w:t>Non-accelerated filer</w:t>
            </w:r>
          </w:p>
        </w:tc>
        <w:tc>
          <w:tcPr>
            <w:tcW w:w="136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2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9" w:lineRule="exact"/>
        <w:rPr>
          <w:sz w:val="24"/>
          <w:szCs w:val="24"/>
          <w:color w:val="auto"/>
        </w:rPr>
      </w:pPr>
    </w:p>
    <w:p>
      <w:pPr>
        <w:ind w:right="58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5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July 24, 2024, 49,030,175 shares of Common Stock, no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7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4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40" w:type="dxa"/>
            <w:vAlign w:val="bottom"/>
            <w:gridSpan w:val="13"/>
            <w:vMerge w:val="continue"/>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248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760" w:type="dxa"/>
            <w:vAlign w:val="bottom"/>
            <w:gridSpan w:val="7"/>
          </w:tcPr>
          <w:p>
            <w:pPr>
              <w:spacing w:after="0"/>
              <w:rPr>
                <w:sz w:val="16"/>
                <w:szCs w:val="16"/>
                <w:color w:val="auto"/>
              </w:rPr>
            </w:pPr>
          </w:p>
        </w:tc>
        <w:tc>
          <w:tcPr>
            <w:tcW w:w="400" w:type="dxa"/>
            <w:vAlign w:val="bottom"/>
            <w:gridSpan w:val="2"/>
          </w:tcPr>
          <w:p>
            <w:pPr>
              <w:jc w:val="center"/>
              <w:ind w:left="232"/>
              <w:spacing w:after="0" w:line="194" w:lineRule="exact"/>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Comprehensive Loss</w:t>
            </w:r>
          </w:p>
        </w:tc>
        <w:tc>
          <w:tcPr>
            <w:tcW w:w="4880" w:type="dxa"/>
            <w:vAlign w:val="bottom"/>
            <w:gridSpan w:val="2"/>
          </w:tcPr>
          <w:p>
            <w:pPr>
              <w:spacing w:after="0"/>
              <w:rPr>
                <w:sz w:val="18"/>
                <w:szCs w:val="18"/>
                <w:color w:val="auto"/>
              </w:rPr>
            </w:pP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w:t>
            </w: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880" w:type="dxa"/>
            <w:vAlign w:val="bottom"/>
            <w:gridSpan w:val="2"/>
          </w:tcPr>
          <w:p>
            <w:pPr>
              <w:spacing w:after="0"/>
              <w:rPr>
                <w:sz w:val="18"/>
                <w:szCs w:val="18"/>
                <w:color w:val="auto"/>
              </w:rPr>
            </w:pP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gridSpan w:val="7"/>
          </w:tcPr>
          <w:p>
            <w:pPr>
              <w:spacing w:after="0"/>
              <w:rPr>
                <w:sz w:val="18"/>
                <w:szCs w:val="18"/>
                <w:color w:val="auto"/>
              </w:rPr>
            </w:pPr>
          </w:p>
        </w:tc>
        <w:tc>
          <w:tcPr>
            <w:tcW w:w="48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4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FF"/>
              </w:rPr>
              <w:t>Legal Proceedings</w:t>
            </w:r>
          </w:p>
        </w:tc>
        <w:tc>
          <w:tcPr>
            <w:tcW w:w="720" w:type="dxa"/>
            <w:vAlign w:val="bottom"/>
            <w:gridSpan w:val="3"/>
          </w:tcPr>
          <w:p>
            <w:pPr>
              <w:jc w:val="center"/>
              <w:ind w:right="20"/>
              <w:spacing w:after="0" w:line="194" w:lineRule="exact"/>
              <w:rPr>
                <w:sz w:val="20"/>
                <w:szCs w:val="20"/>
                <w:color w:val="auto"/>
              </w:rPr>
            </w:pPr>
            <w:r>
              <w:rPr>
                <w:rFonts w:ascii="Times New Roman" w:cs="Times New Roman" w:eastAsia="Times New Roman" w:hAnsi="Times New Roman"/>
                <w:sz w:val="18"/>
                <w:szCs w:val="18"/>
                <w:color w:val="0000FF"/>
                <w:w w:val="99"/>
              </w:rPr>
              <w:t>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00" w:type="dxa"/>
            <w:vAlign w:val="bottom"/>
          </w:tcPr>
          <w:p>
            <w:pPr>
              <w:spacing w:after="0"/>
              <w:rPr>
                <w:sz w:val="18"/>
                <w:szCs w:val="18"/>
                <w:color w:val="auto"/>
              </w:rPr>
            </w:pPr>
          </w:p>
        </w:tc>
        <w:tc>
          <w:tcPr>
            <w:tcW w:w="7920" w:type="dxa"/>
            <w:vAlign w:val="bottom"/>
            <w:gridSpan w:val="10"/>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8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2020" w:type="dxa"/>
            <w:vAlign w:val="bottom"/>
            <w:gridSpan w:val="6"/>
          </w:tcPr>
          <w:p>
            <w:pPr>
              <w:spacing w:after="0"/>
              <w:rPr>
                <w:sz w:val="18"/>
                <w:szCs w:val="18"/>
                <w:color w:val="auto"/>
              </w:rPr>
            </w:pPr>
          </w:p>
        </w:tc>
        <w:tc>
          <w:tcPr>
            <w:tcW w:w="48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60" w:type="dxa"/>
            <w:vAlign w:val="bottom"/>
          </w:tcPr>
          <w:p>
            <w:pPr>
              <w:spacing w:after="0"/>
              <w:rPr>
                <w:sz w:val="18"/>
                <w:szCs w:val="18"/>
                <w:color w:val="auto"/>
              </w:rPr>
            </w:pPr>
          </w:p>
        </w:tc>
        <w:tc>
          <w:tcPr>
            <w:tcW w:w="6900" w:type="dxa"/>
            <w:vAlign w:val="bottom"/>
            <w:gridSpan w:val="8"/>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60" w:type="dxa"/>
            <w:vAlign w:val="bottom"/>
            <w:gridSpan w:val="9"/>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920" w:type="dxa"/>
            <w:vAlign w:val="bottom"/>
            <w:gridSpan w:val="10"/>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20" w:type="dxa"/>
            <w:vAlign w:val="bottom"/>
            <w:gridSpan w:val="10"/>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Exhibit Index</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60" w:type="dxa"/>
            <w:vAlign w:val="bottom"/>
            <w:gridSpan w:val="12"/>
          </w:tcPr>
          <w:p>
            <w:pPr>
              <w:ind w:left="4320"/>
              <w:spacing w:after="0"/>
              <w:rPr>
                <w:sz w:val="20"/>
                <w:szCs w:val="20"/>
                <w:color w:val="auto"/>
              </w:rPr>
            </w:pPr>
            <w:r>
              <w:rPr>
                <w:rFonts w:ascii="Times New Roman" w:cs="Times New Roman" w:eastAsia="Times New Roman" w:hAnsi="Times New Roman"/>
                <w:sz w:val="18"/>
                <w:szCs w:val="18"/>
                <w:color w:val="auto"/>
              </w:rPr>
              <w:t>2</w:t>
            </w:r>
          </w:p>
        </w:tc>
        <w:tc>
          <w:tcPr>
            <w:tcW w:w="2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6"/>
                <w:szCs w:val="16"/>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69,088</w:t>
            </w:r>
          </w:p>
        </w:tc>
        <w:tc>
          <w:tcPr>
            <w:tcW w:w="0" w:type="dxa"/>
            <w:vAlign w:val="bottom"/>
          </w:tcPr>
          <w:p>
            <w:pPr>
              <w:spacing w:after="0"/>
              <w:rPr>
                <w:sz w:val="1"/>
                <w:szCs w:val="1"/>
                <w:color w:val="auto"/>
              </w:rPr>
            </w:pPr>
          </w:p>
        </w:tc>
      </w:tr>
      <w:tr>
        <w:trPr>
          <w:trHeight w:val="230"/>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17,778</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40,469</w:t>
            </w:r>
          </w:p>
        </w:tc>
        <w:tc>
          <w:tcPr>
            <w:tcW w:w="0" w:type="dxa"/>
            <w:vAlign w:val="bottom"/>
          </w:tcPr>
          <w:p>
            <w:pPr>
              <w:spacing w:after="0"/>
              <w:rPr>
                <w:sz w:val="1"/>
                <w:szCs w:val="1"/>
                <w:color w:val="auto"/>
              </w:rPr>
            </w:pPr>
          </w:p>
        </w:tc>
      </w:tr>
      <w:tr>
        <w:trPr>
          <w:trHeight w:val="229"/>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$10 and $43, respectively)</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58,356</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0" w:type="dxa"/>
            <w:vAlign w:val="bottom"/>
          </w:tcPr>
          <w:p>
            <w:pPr>
              <w:spacing w:after="0"/>
              <w:rPr>
                <w:sz w:val="1"/>
                <w:szCs w:val="1"/>
                <w:color w:val="auto"/>
              </w:rPr>
            </w:pPr>
          </w:p>
        </w:tc>
      </w:tr>
      <w:tr>
        <w:trPr>
          <w:trHeight w:val="229"/>
        </w:trPr>
        <w:tc>
          <w:tcPr>
            <w:tcW w:w="8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205,631</w:t>
            </w:r>
          </w:p>
        </w:tc>
        <w:tc>
          <w:tcPr>
            <w:tcW w:w="0" w:type="dxa"/>
            <w:vAlign w:val="bottom"/>
          </w:tcPr>
          <w:p>
            <w:pPr>
              <w:spacing w:after="0"/>
              <w:rPr>
                <w:sz w:val="1"/>
                <w:szCs w:val="1"/>
                <w:color w:val="auto"/>
              </w:rPr>
            </w:pPr>
          </w:p>
        </w:tc>
      </w:tr>
      <w:tr>
        <w:trPr>
          <w:trHeight w:val="229"/>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41,635</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0" w:type="dxa"/>
            <w:vAlign w:val="bottom"/>
          </w:tcPr>
          <w:p>
            <w:pPr>
              <w:spacing w:after="0"/>
              <w:rPr>
                <w:sz w:val="1"/>
                <w:szCs w:val="1"/>
                <w:color w:val="auto"/>
              </w:rPr>
            </w:pPr>
          </w:p>
        </w:tc>
      </w:tr>
      <w:tr>
        <w:trPr>
          <w:trHeight w:val="230"/>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73,462</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investments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25,283</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long-term assets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353,657</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22,347</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17,215</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6,187</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45,749</w:t>
            </w:r>
          </w:p>
        </w:tc>
        <w:tc>
          <w:tcPr>
            <w:tcW w:w="0" w:type="dxa"/>
            <w:vAlign w:val="bottom"/>
          </w:tcPr>
          <w:p>
            <w:pPr>
              <w:spacing w:after="0"/>
              <w:rPr>
                <w:sz w:val="1"/>
                <w:szCs w:val="1"/>
                <w:color w:val="auto"/>
              </w:rPr>
            </w:pPr>
          </w:p>
        </w:tc>
      </w:tr>
      <w:tr>
        <w:trPr>
          <w:trHeight w:val="230"/>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81,856</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127,705</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5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no par value; shares authorized — 75,000; shares issued and outstanding — 48,862 and 47,829,</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654,971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629,229</w:t>
            </w:r>
          </w:p>
        </w:tc>
        <w:tc>
          <w:tcPr>
            <w:tcW w:w="0" w:type="dxa"/>
            <w:vAlign w:val="bottom"/>
          </w:tcPr>
          <w:p>
            <w:pPr>
              <w:spacing w:after="0"/>
              <w:rPr>
                <w:sz w:val="1"/>
                <w:szCs w:val="1"/>
                <w:color w:val="auto"/>
              </w:rPr>
            </w:pPr>
          </w:p>
        </w:tc>
      </w:tr>
      <w:tr>
        <w:trPr>
          <w:trHeight w:val="229"/>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(403,177)</w:t>
            </w:r>
          </w:p>
        </w:tc>
        <w:tc>
          <w:tcPr>
            <w:tcW w:w="0" w:type="dxa"/>
            <w:vAlign w:val="bottom"/>
          </w:tcPr>
          <w:p>
            <w:pPr>
              <w:spacing w:after="0"/>
              <w:rPr>
                <w:sz w:val="1"/>
                <w:szCs w:val="1"/>
                <w:color w:val="auto"/>
              </w:rPr>
            </w:pPr>
          </w:p>
        </w:tc>
      </w:tr>
      <w:tr>
        <w:trPr>
          <w:trHeight w:val="223"/>
        </w:trPr>
        <w:tc>
          <w:tcPr>
            <w:tcW w:w="85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242,977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225,952</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353,657</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 except per share amounts)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2940" w:type="dxa"/>
            <w:vAlign w:val="bottom"/>
            <w:gridSpan w:val="4"/>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2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42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1100" w:type="dxa"/>
            <w:vAlign w:val="bottom"/>
            <w:tcBorders>
              <w:bottom w:val="single" w:sz="8" w:color="auto"/>
            </w:tcBorders>
            <w:shd w:val="clear" w:color="auto" w:fill="CCEEFF"/>
          </w:tcPr>
          <w:p>
            <w:pPr>
              <w:jc w:val="right"/>
              <w:ind w:right="91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52,662</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45,922</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103,943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86,939</w:t>
            </w:r>
          </w:p>
        </w:tc>
      </w:tr>
      <w:tr>
        <w:trPr>
          <w:trHeight w:val="223"/>
        </w:trPr>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52,662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45,922</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103,943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86,939</w:t>
            </w:r>
          </w:p>
        </w:tc>
      </w:tr>
      <w:tr>
        <w:trPr>
          <w:trHeight w:val="229"/>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product sales</w:t>
            </w: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16,061</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15,981</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30,478</w:t>
            </w:r>
          </w:p>
        </w:tc>
      </w:tr>
      <w:tr>
        <w:trPr>
          <w:trHeight w:val="223"/>
        </w:trPr>
        <w:tc>
          <w:tcPr>
            <w:tcW w:w="4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36,601</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29,941</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71,955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56,461</w:t>
            </w:r>
          </w:p>
        </w:tc>
      </w:tr>
      <w:tr>
        <w:trPr>
          <w:trHeight w:val="223"/>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10,465</w:t>
            </w:r>
          </w:p>
        </w:tc>
      </w:tr>
      <w:tr>
        <w:trPr>
          <w:trHeight w:val="229"/>
        </w:trPr>
        <w:tc>
          <w:tcPr>
            <w:tcW w:w="4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35,269</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30,649</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69,669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60,134</w:t>
            </w:r>
          </w:p>
        </w:tc>
      </w:tr>
      <w:tr>
        <w:trPr>
          <w:trHeight w:val="223"/>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42,632</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35,902</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70,599</w:t>
            </w:r>
          </w:p>
        </w:tc>
      </w:tr>
      <w:tr>
        <w:trPr>
          <w:trHeight w:val="223"/>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(14,138)</w:t>
            </w:r>
          </w:p>
        </w:tc>
      </w:tr>
      <w:tr>
        <w:trPr>
          <w:trHeight w:val="20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r>
      <w:tr>
        <w:trPr>
          <w:trHeight w:val="230"/>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29"/>
        </w:trPr>
        <w:tc>
          <w:tcPr>
            <w:tcW w:w="4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4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income</w:t>
            </w: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r>
      <w:tr>
        <w:trPr>
          <w:trHeight w:val="22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tcBorders>
              <w:bottom w:val="single" w:sz="8" w:color="auto"/>
            </w:tcBorders>
          </w:tcPr>
          <w:p>
            <w:pPr>
              <w:jc w:val="right"/>
              <w:ind w:right="91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(8,544)</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(12,515)</w:t>
            </w: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7"/>
        </w:trPr>
        <w:tc>
          <w:tcPr>
            <w:tcW w:w="42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common share:</w:t>
            </w:r>
          </w:p>
        </w:tc>
        <w:tc>
          <w:tcPr>
            <w:tcW w:w="1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3"/>
        </w:trPr>
        <w:tc>
          <w:tcPr>
            <w:tcW w:w="4220" w:type="dxa"/>
            <w:vAlign w:val="bottom"/>
          </w:tcPr>
          <w:p>
            <w:pPr>
              <w:ind w:left="240"/>
              <w:spacing w:after="0" w:line="202" w:lineRule="exact"/>
              <w:rPr>
                <w:sz w:val="20"/>
                <w:szCs w:val="20"/>
                <w:color w:val="auto"/>
              </w:rPr>
            </w:pPr>
            <w:r>
              <w:rPr>
                <w:rFonts w:ascii="Times New Roman" w:cs="Times New Roman" w:eastAsia="Times New Roman" w:hAnsi="Times New Roman"/>
                <w:sz w:val="18"/>
                <w:szCs w:val="18"/>
                <w:color w:val="auto"/>
              </w:rPr>
              <w:t>Basic and diluted</w:t>
            </w:r>
          </w:p>
        </w:tc>
        <w:tc>
          <w:tcPr>
            <w:tcW w:w="1100" w:type="dxa"/>
            <w:vAlign w:val="bottom"/>
            <w:tcBorders>
              <w:bottom w:val="single" w:sz="8" w:color="auto"/>
            </w:tcBorders>
          </w:tcPr>
          <w:p>
            <w:pPr>
              <w:jc w:val="right"/>
              <w:ind w:right="917"/>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ind w:right="895"/>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(0.11)</w:t>
            </w:r>
          </w:p>
        </w:tc>
        <w:tc>
          <w:tcPr>
            <w:tcW w:w="16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(0.18)</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(0.26)</w:t>
            </w: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7"/>
        </w:trPr>
        <w:tc>
          <w:tcPr>
            <w:tcW w:w="42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w:t>
            </w:r>
          </w:p>
        </w:tc>
        <w:tc>
          <w:tcPr>
            <w:tcW w:w="1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9"/>
        </w:trPr>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and diluted</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48,686</w:t>
            </w: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47,572</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48,413</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47,480</w:t>
            </w:r>
          </w:p>
        </w:tc>
      </w:tr>
      <w:tr>
        <w:trPr>
          <w:trHeight w:val="21"/>
        </w:trPr>
        <w:tc>
          <w:tcPr>
            <w:tcW w:w="4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r>
        <w:rPr>
          <w:rFonts w:ascii="Times New Roman" w:cs="Times New Roman" w:eastAsia="Times New Roman" w:hAnsi="Times New Roman"/>
          <w:sz w:val="18"/>
          <w:szCs w:val="18"/>
          <w:color w:val="auto"/>
        </w:rPr>
        <w:t>)</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296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20" w:type="dxa"/>
            <w:vAlign w:val="bottom"/>
            <w:gridSpan w:val="5"/>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2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42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(12,515)</w:t>
            </w: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(loss) gain:</w:t>
            </w: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 gain on investments</w:t>
            </w: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160" w:type="dxa"/>
            <w:vAlign w:val="bottom"/>
          </w:tcPr>
          <w:p>
            <w:pPr>
              <w:spacing w:after="0"/>
              <w:rPr>
                <w:sz w:val="19"/>
                <w:szCs w:val="19"/>
                <w:color w:val="auto"/>
              </w:rPr>
            </w:pP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(12,158)</w:t>
            </w:r>
          </w:p>
        </w:tc>
      </w:tr>
      <w:tr>
        <w:trPr>
          <w:trHeight w:val="20"/>
        </w:trPr>
        <w:tc>
          <w:tcPr>
            <w:tcW w:w="4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00" w:lineRule="exact"/>
        <w:rPr>
          <w:sz w:val="20"/>
          <w:szCs w:val="20"/>
          <w:color w:val="auto"/>
        </w:rPr>
      </w:pP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2560" w:type="dxa"/>
            <w:vAlign w:val="bottom"/>
            <w:gridSpan w:val="5"/>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5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4580" w:type="dxa"/>
            <w:vAlign w:val="bottom"/>
          </w:tcPr>
          <w:p>
            <w:pPr>
              <w:spacing w:after="0"/>
              <w:rPr>
                <w:sz w:val="9"/>
                <w:szCs w:val="9"/>
                <w:color w:val="auto"/>
              </w:rPr>
            </w:pPr>
          </w:p>
        </w:tc>
        <w:tc>
          <w:tcPr>
            <w:tcW w:w="2560" w:type="dxa"/>
            <w:vAlign w:val="bottom"/>
            <w:gridSpan w:val="5"/>
            <w:vMerge w:val="continue"/>
          </w:tcPr>
          <w:p>
            <w:pPr>
              <w:spacing w:after="0"/>
              <w:rPr>
                <w:sz w:val="9"/>
                <w:szCs w:val="9"/>
                <w:color w:val="auto"/>
              </w:rPr>
            </w:pPr>
          </w:p>
        </w:tc>
        <w:tc>
          <w:tcPr>
            <w:tcW w:w="1500" w:type="dxa"/>
            <w:vAlign w:val="bottom"/>
            <w:gridSpan w:val="3"/>
            <w:vMerge w:val="restart"/>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 Gain</w:t>
            </w:r>
          </w:p>
        </w:tc>
        <w:tc>
          <w:tcPr>
            <w:tcW w:w="140" w:type="dxa"/>
            <w:vAlign w:val="bottom"/>
          </w:tcPr>
          <w:p>
            <w:pPr>
              <w:spacing w:after="0"/>
              <w:rPr>
                <w:sz w:val="9"/>
                <w:szCs w:val="9"/>
                <w:color w:val="auto"/>
              </w:rPr>
            </w:pPr>
          </w:p>
        </w:tc>
        <w:tc>
          <w:tcPr>
            <w:tcW w:w="1200" w:type="dxa"/>
            <w:vAlign w:val="bottom"/>
            <w:gridSpan w:val="2"/>
            <w:vMerge w:val="restart"/>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9"/>
                <w:szCs w:val="9"/>
                <w:color w:val="auto"/>
              </w:rPr>
            </w:pPr>
          </w:p>
        </w:tc>
        <w:tc>
          <w:tcPr>
            <w:tcW w:w="1060" w:type="dxa"/>
            <w:vAlign w:val="bottom"/>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580" w:type="dxa"/>
            <w:vAlign w:val="bottom"/>
          </w:tcPr>
          <w:p>
            <w:pPr>
              <w:spacing w:after="0"/>
              <w:rPr>
                <w:sz w:val="16"/>
                <w:szCs w:val="16"/>
                <w:color w:val="auto"/>
              </w:rPr>
            </w:pP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6"/>
                <w:szCs w:val="16"/>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0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40"/>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47,829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629,229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(403,177)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225,952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58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(3,862)</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(3,862)</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9,834</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6,779</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(4,909)</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 on investments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37"/>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MARCH 31,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48,489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641,180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(407,039)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233,896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58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(4,682)</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(4,682)</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9,520</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4,020</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 on investments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37"/>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JUNE 30,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48,862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654,971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(411,721)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242,977</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258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4600" w:type="dxa"/>
            <w:vAlign w:val="bottom"/>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60" w:type="dxa"/>
            <w:vAlign w:val="bottom"/>
            <w:gridSpan w:val="3"/>
            <w:vMerge w:val="restart"/>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Comprehensive Gain</w:t>
            </w:r>
          </w:p>
        </w:tc>
        <w:tc>
          <w:tcPr>
            <w:tcW w:w="140" w:type="dxa"/>
            <w:vAlign w:val="bottom"/>
          </w:tcPr>
          <w:p>
            <w:pPr>
              <w:spacing w:after="0"/>
              <w:rPr>
                <w:sz w:val="5"/>
                <w:szCs w:val="5"/>
                <w:color w:val="auto"/>
              </w:rPr>
            </w:pPr>
          </w:p>
        </w:tc>
        <w:tc>
          <w:tcPr>
            <w:tcW w:w="1260" w:type="dxa"/>
            <w:vAlign w:val="bottom"/>
            <w:gridSpan w:val="2"/>
            <w:vMerge w:val="restart"/>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5"/>
                <w:szCs w:val="5"/>
                <w:color w:val="auto"/>
              </w:rPr>
            </w:pPr>
          </w:p>
        </w:tc>
        <w:tc>
          <w:tcPr>
            <w:tcW w:w="1060" w:type="dxa"/>
            <w:vAlign w:val="bottom"/>
            <w:vMerge w:val="restart"/>
          </w:tcPr>
          <w:p>
            <w:pPr>
              <w:jc w:val="center"/>
              <w:ind w:right="80"/>
              <w:spacing w:after="0" w:line="124"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36"/>
        </w:trPr>
        <w:tc>
          <w:tcPr>
            <w:tcW w:w="4600" w:type="dxa"/>
            <w:vAlign w:val="bottom"/>
          </w:tcPr>
          <w:p>
            <w:pPr>
              <w:spacing w:after="0"/>
              <w:rPr>
                <w:sz w:val="3"/>
                <w:szCs w:val="3"/>
                <w:color w:val="auto"/>
              </w:rPr>
            </w:pPr>
          </w:p>
        </w:tc>
        <w:tc>
          <w:tcPr>
            <w:tcW w:w="12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3"/>
                <w:szCs w:val="3"/>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6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46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6"/>
                <w:szCs w:val="16"/>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0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9"/>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47,253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593,245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(399,995)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192,272</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60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(7,495)</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(7,495)</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8,731</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 on investments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0" w:type="dxa"/>
            <w:vAlign w:val="bottom"/>
          </w:tcPr>
          <w:p>
            <w:pPr>
              <w:spacing w:after="0"/>
              <w:rPr>
                <w:sz w:val="1"/>
                <w:szCs w:val="1"/>
                <w:color w:val="auto"/>
              </w:rPr>
            </w:pPr>
          </w:p>
        </w:tc>
      </w:tr>
      <w:tr>
        <w:trPr>
          <w:trHeight w:val="237"/>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MARCH 31,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47,507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602,104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(407,490)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193,978</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60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(5,020)</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(5,020)</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8,761</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 on investments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37"/>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JUNE 30,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47,616</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612,059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(412,510)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198,928</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(12,515)</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flows from operating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17,492</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premiums and discounts on marketable securities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lease costs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r>
      <w:tr>
        <w:trPr>
          <w:trHeight w:val="229"/>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w:t>
            </w:r>
          </w:p>
        </w:tc>
      </w:tr>
      <w:tr>
        <w:trPr>
          <w:trHeight w:val="229"/>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30"/>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29"/>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r>
      <w:tr>
        <w:trPr>
          <w:trHeight w:val="230"/>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9"/>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 non-current assets and liabilities, net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18,056</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(28,537)</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maturities of investments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42,038</w:t>
            </w: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Expenditures for property and equipment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(43,171)</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proceeds from common stock issuance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on employee’s behalf for taxes related to vesting of restricted stock unit awards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826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19,750</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51,067</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75,854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70,817</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00" w:lineRule="exact"/>
        <w:rPr>
          <w:sz w:val="20"/>
          <w:szCs w:val="20"/>
          <w:color w:val="auto"/>
        </w:rPr>
      </w:pP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information:</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Right-of-use asset and lease liability recognized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35,976</w:t>
            </w:r>
          </w:p>
        </w:tc>
      </w:tr>
      <w:tr>
        <w:trPr>
          <w:trHeight w:val="234"/>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Additions to property and equipment included in accounts payable</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w:t>
            </w:r>
          </w:p>
        </w:tc>
      </w:tr>
      <w:tr>
        <w:trPr>
          <w:trHeight w:val="539"/>
        </w:trPr>
        <w:tc>
          <w:tcPr>
            <w:tcW w:w="8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8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amounts within the condensed consolidated balance sheets: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43,023</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27,794</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 at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75,854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70,817</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56"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8"/>
          <w:szCs w:val="18"/>
          <w:color w:val="auto"/>
        </w:rPr>
        <w:t>Vericel Corporation, a Michigan corporation (together with its consolidated subsidiaries referred to herein as the Company, or Vericel), was incorporated in March 1989 and began employee-based operations in 1991. The Company is a fully-integrated, commercial-stage biopharmaceutical company and is a leading provider of advanced therapies for the sports medicine and severe burn care markets. Vericel currently markets three commercial-stage products in the U.S.,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NexoBrid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MACI (autologous cultured chondrocytes on porcine collagen membrane) is an autologous cellularized scaffold product indicated for the repair of symptomatic, single or multiple full-thickness cartilage defects of the knee with or without bone involvement in adults. Epicel (cultured epidermal autografts) is a permanent skin replacement for the treatment of adult and pediatric patients with deep-dermal or full-thickness burns comprising greater than or equal to 30 percent of total body surface area (“TBSA”). The Company also holds an exclusive license from MediWound Ltd. (“MediWound”) for North American rights to NexoBrid (anacaulase-bcdb), a topically administered biological orphan product containing proteolytic enzymes, which is indicated for the removal of eschar in adults with deep partial-thickness and/or full thickness thermal burns. Following the FDA’s approval of a Biologics License Application for NexoBrid in December 2022, the Company began commercial sales of NexoBrid in the U.S. during the third quarter of 2023. The Company operates its business primarily in the U.S. in one reportable segment — the research, product development, manufacture and distribution of cellular therapies and specialty biologics for use in the treatment of specific conditions.</w:t>
      </w:r>
    </w:p>
    <w:p>
      <w:pPr>
        <w:spacing w:after="0" w:line="21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life sciences industry including, but not limited to, development by the Company or its competitors of new technological innovations, dependence on key personnel, protection of proprietary technology, commercialization of existing and new products, and compliance with FDA regulations and approval requirements, as well as the ability to grow the Company’s business through appropriate commercial strategies.</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War in Israel and Gaza</w:t>
      </w:r>
    </w:p>
    <w:p>
      <w:pPr>
        <w:spacing w:after="0" w:line="24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 May 2019, the Company entered into exclusive license and supply agreements with MediWound, under which MediWound manufactures and supplies NexoBrid to the U.S. market on a unit price basis. MediWound develops and manufactures NexoBrid, in part, at its facilities in Yavne, Israel.</w:t>
      </w:r>
    </w:p>
    <w:p>
      <w:pPr>
        <w:spacing w:after="0" w:line="18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Company continues to monitor the ongoing conflict in Israel and other unrest in the Middle East and is in close communication with MediWound leadership. MediWound’s NexoBrid manufacturing operations are continuing and, as of the date of this disclosure, MediWound does not anticipate a material disruption to its ongoing supply of commercial NexoBrid to the United States. To the extent the war between Israel and Hamas intensifies or expands to include additional countries or militant groups in the region and MediWound’s facilities in Israel are damaged or destroyed, travel to and from Israel is halted or inhibited, or significant key MediWound operational personnel are called to military service, MediWound’s ability to continue to supply NexoBrid to the U.S. market could be disrupted.</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222222"/>
        </w:rPr>
        <w:t>Liquidity</w:t>
      </w:r>
    </w:p>
    <w:p>
      <w:pPr>
        <w:spacing w:after="0" w:line="25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222222"/>
        </w:rPr>
        <w:t xml:space="preserve">The accompanying condensed consolidated financial statements have been prepared on a basis which assumes that the Company will continue as a going concern and contemplates the realization of assets and the satisfaction of liabilities and commitments in the normal course of business. As of June 30, 2024, the Company had an accumulated deficit of $411.7 million and had a net loss of </w:t>
      </w:r>
      <w:r>
        <w:rPr>
          <w:rFonts w:ascii="Times New Roman" w:cs="Times New Roman" w:eastAsia="Times New Roman" w:hAnsi="Times New Roman"/>
          <w:sz w:val="18"/>
          <w:szCs w:val="18"/>
          <w:color w:val="000000"/>
        </w:rPr>
        <w:t>$8.5 million</w:t>
      </w:r>
      <w:r>
        <w:rPr>
          <w:rFonts w:ascii="Times New Roman" w:cs="Times New Roman" w:eastAsia="Times New Roman" w:hAnsi="Times New Roman"/>
          <w:sz w:val="18"/>
          <w:szCs w:val="18"/>
          <w:color w:val="222222"/>
        </w:rPr>
        <w:t xml:space="preserve"> during the </w:t>
      </w:r>
      <w:r>
        <w:rPr>
          <w:rFonts w:ascii="Times New Roman" w:cs="Times New Roman" w:eastAsia="Times New Roman" w:hAnsi="Times New Roman"/>
          <w:sz w:val="18"/>
          <w:szCs w:val="18"/>
          <w:color w:val="000000"/>
        </w:rPr>
        <w:t>six months ended</w:t>
      </w:r>
      <w:r>
        <w:rPr>
          <w:rFonts w:ascii="Times New Roman" w:cs="Times New Roman" w:eastAsia="Times New Roman" w:hAnsi="Times New Roman"/>
          <w:sz w:val="18"/>
          <w:szCs w:val="18"/>
          <w:color w:val="222222"/>
        </w:rPr>
        <w:t xml:space="preserve"> June 30, 2024. The Company had cash and cash equivalents of $50.3 million and investments of $78.3 million as of June 30, 2024. The Company expects that cash from the sales of its products and existing cash, cash equivalents, investments, and available borrowing capacity will be sufficient </w:t>
      </w:r>
      <w:r>
        <w:rPr>
          <w:rFonts w:ascii="Times New Roman" w:cs="Times New Roman" w:eastAsia="Times New Roman" w:hAnsi="Times New Roman"/>
          <w:sz w:val="18"/>
          <w:szCs w:val="18"/>
          <w:color w:val="000000"/>
        </w:rPr>
        <w:t>to support the Company’s current</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operations through at least 12 months from the issuance of these condensed consolidated financial statements. If revenues decline for a sustained period, the Company may need to access additional capital; however, the Company may not be able to obtain additional financing on acceptable terms or at all. The terms of any additional financing may adversely affect the holdings or the rights of the Company’s shareholders.</w:t>
      </w:r>
    </w:p>
    <w:p>
      <w:pPr>
        <w:spacing w:after="0" w:line="2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222222"/>
        </w:rPr>
        <w:t>Financial instruments that potentially subject the Company to significant concentration of credit risk consist primarily of cash, cash equivalents and investments in marketable debt securities. The Company may maintain deposits in financial institutions in excess of the insurance coverage offered by the Federal Deposit Insurance Corporation, the loss of which could have a negative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22222"/>
        </w:rPr>
        <w:t>effect on its operations and liquidity. The Company believes that it is not exposed to significant credit risk as its deposits, including cash and cash equivalents, are held at multiple high-credit-quality financial institutions. The Company has not experienced any losses on these deposits; however, no assurances can be provided that there will not be losses experienced in the future. The Company believes that the market risk arising from its holdings of these financial instruments is mitigated based on the fact that many of these securities are either government-backed or of high credit rating.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Vericel are unaudited and have been prepared in accordance with the rules and regulations of the U.S. Securities and Exchange Commission (“SEC”). The preparation of condensed consolidated financial statements in conformity with U.S. generally accepted accounting principles (“U.S. GAAP”) requires management to make estimates, judgments, and assumptions that may affect the reported amounts of assets, liabilities, equity, revenue and expenses. Certain information and footnote disclosures normally included in financial statements prepared in accordance with U.S. GAAP have been omitted pursuant to such rules and regulations.</w:t>
      </w:r>
    </w:p>
    <w:p>
      <w:pPr>
        <w:spacing w:after="0" w:line="21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financial statements reflect, in the opinion of management, all adjustments (consisting only of normal, recurring adjustments) necessary to state fairly the financial position and results of operations as of and for the periods indicated. The Company bases its estimates on historical experience and on various other assumptions that it believes are reasonable, the results of which form the basis for making judgments about the carrying values of assets, liabilities and equity and the amount of revenue and expenses.</w:t>
      </w:r>
    </w:p>
    <w:p>
      <w:pPr>
        <w:spacing w:after="0" w:line="20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2023 has been derived from the audited consolidated financial statements at that date, but does not include all the information and notes required by U.S. GAAP for complete financial statements. These c</w:t>
      </w:r>
      <w:r>
        <w:rPr>
          <w:rFonts w:ascii="Times New Roman" w:cs="Times New Roman" w:eastAsia="Times New Roman" w:hAnsi="Times New Roman"/>
          <w:sz w:val="18"/>
          <w:szCs w:val="18"/>
          <w:color w:val="222222"/>
        </w:rPr>
        <w:t>ondensed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statements </w:t>
      </w:r>
      <w:r>
        <w:rPr>
          <w:rFonts w:ascii="Times New Roman" w:cs="Times New Roman" w:eastAsia="Times New Roman" w:hAnsi="Times New Roman"/>
          <w:sz w:val="18"/>
          <w:szCs w:val="18"/>
          <w:color w:val="000000"/>
        </w:rPr>
        <w:t>should be read in conjunction with the audited consolidated financial statements and the notes thereto included in the Company’s Annual Report</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on Form 10-K for the year ended December 31, 2023, as filed with the SEC on February 29, 2024 (“Annual Report”).</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 xml:space="preserve">No new accounting standards were adopted during the six months ended June 30, 2024. </w:t>
      </w:r>
      <w:r>
        <w:rPr>
          <w:rFonts w:ascii="Times New Roman" w:cs="Times New Roman" w:eastAsia="Times New Roman" w:hAnsi="Times New Roman"/>
          <w:sz w:val="18"/>
          <w:szCs w:val="18"/>
          <w:color w:val="222222"/>
        </w:rPr>
        <w:t>The Company considers the applicability and impact of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recent Accounting Standards Updates (“ASUs”) issued by the Financial Accounting Standards Board (“FASB”), as noted below:</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to improve reportable segment disclosure requirements, primarily through enhanced disclosures about significant segment expenses. The disclosure requirements must be applied retrospectively to all prior periods presented in the financial statements. The effective date for the standard is for fiscal years beginning after December 15, 2023 and interim periods within fiscal years beginning after December 15, 2024, with early adoption permitted. The Company is currently evaluating the effects adoption of this guidance will have on the consolidated financial statements.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w:t>
      </w:r>
      <w:r>
        <w:rPr>
          <w:rFonts w:ascii="Times New Roman" w:cs="Times New Roman" w:eastAsia="Times New Roman" w:hAnsi="Times New Roman"/>
          <w:sz w:val="18"/>
          <w:szCs w:val="18"/>
          <w:i w:val="1"/>
          <w:iCs w:val="1"/>
          <w:color w:val="auto"/>
        </w:rPr>
        <w:t>, Improvements to Income Tax Disclosures</w:t>
      </w:r>
      <w:r>
        <w:rPr>
          <w:rFonts w:ascii="Times New Roman" w:cs="Times New Roman" w:eastAsia="Times New Roman" w:hAnsi="Times New Roman"/>
          <w:sz w:val="18"/>
          <w:szCs w:val="18"/>
          <w:color w:val="auto"/>
        </w:rPr>
        <w:t xml:space="preserve">, to provide more detailed income tax disclosure requirements. The guidance requires entities to disclose disaggregated information about their effective tax rate reconciliation as well as information on income taxes paid. The disclosure requirements will be applied on a prospective basis, with the option to apply it retrospectively. The effective date for the standard is for fiscal years beginning after </w:t>
      </w:r>
      <w:r>
        <w:rPr>
          <w:rFonts w:ascii="Times New Roman" w:cs="Times New Roman" w:eastAsia="Times New Roman" w:hAnsi="Times New Roman"/>
          <w:sz w:val="18"/>
          <w:szCs w:val="18"/>
          <w:i w:val="1"/>
          <w:iCs w:val="1"/>
          <w:color w:val="auto"/>
        </w:rPr>
        <w:t>December 15, 2024,</w:t>
      </w:r>
      <w:r>
        <w:rPr>
          <w:rFonts w:ascii="Times New Roman" w:cs="Times New Roman" w:eastAsia="Times New Roman" w:hAnsi="Times New Roman"/>
          <w:sz w:val="18"/>
          <w:szCs w:val="18"/>
          <w:color w:val="auto"/>
        </w:rPr>
        <w:t xml:space="preserve"> with early adoption permitted. The Company is currently evaluating the effects adoption of this guidance will have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Product Sales, Net</w:t>
      </w:r>
    </w:p>
    <w:p>
      <w:pPr>
        <w:spacing w:after="0" w:line="25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 xml:space="preserve">The Company recognizes product revenue from sales of MACI biopsy kits, MACI implants, Epicel grafts, and NexoBrid following the five-step model in Accounting Standards Codification 606, </w:t>
      </w:r>
      <w:r>
        <w:rPr>
          <w:rFonts w:ascii="Times New Roman" w:cs="Times New Roman" w:eastAsia="Times New Roman" w:hAnsi="Times New Roman"/>
          <w:sz w:val="18"/>
          <w:szCs w:val="18"/>
          <w:i w:val="1"/>
          <w:iCs w:val="1"/>
          <w:color w:val="auto"/>
        </w:rPr>
        <w:t>Revenue Recognition.</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MACI Biopsy Kits</w:t>
      </w:r>
    </w:p>
    <w:p>
      <w:pPr>
        <w:spacing w:after="0" w:line="25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MACI biopsy kits are sold directly to hospitals and ambulatory surgical centers based on contracted rates in an approved contract or sales order. The Company recognizes MACI kit revenue upon delivery of the biopsy kit, at which time the customer (the facility) is in control of the kit. The kit is used by the doctor to provide a sample of cartilage tissue to the Company, which can later be used to manufacture a MACI implant. The ordering of the kit does not obligate the Company to manufacture an implant nor does the receipt of the cartilage tissue by the Company from the customer following biopsy. The customer’s order of an implant is separate from the process of ordering the biopsy kit. Therefore, the sale of the biopsy kit and any subsequent sale of an implant are distinct contracts and are accounted for separately.</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MACI Implants</w:t>
      </w:r>
    </w:p>
    <w:p>
      <w:pPr>
        <w:spacing w:after="0" w:line="25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Company contracts with two specialty pharmacies, Orsini Pharmaceutical Services, Inc. (“Orsini”) and AllCare Plus Pharmacy, Inc. (“AllCare”) to distribute MACI in a manner in which the Company retains the credit and collection risk from the end customer. The Company pays each specialty pharmacy a fee in each instance when it dispenses MACI for use in treating a patient. Both Orsini and AllCare perform collection activities to collect payment from customers. In addition, the Company sells MACI directly to hospitals pursuant to an agreed upon purchase order and to a distributor, DMS Pharmaceutical Group, Inc. (“DMS”) at a contracted rate for the treatment of patients at military facilities throughout the U.S. The Company engages a third party to provide services in connection with a patient support program to manage patient cases and to ensure that complete and correct billing information is provided to the insurers and hospitals.</w:t>
      </w:r>
    </w:p>
    <w:p>
      <w:pPr>
        <w:spacing w:after="0" w:line="21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Prior authorization and confirmation of coverage level by the patient’s private insurance plan, hospital or government payer is a prerequisite to the shipment of a MACI implant to a patient. The Company recognizes product revenue from sales of all MACI implants upon delivery at which time the customer obtains control of the implant and the claim is billable. The total consideration that the Company expects to collect in exchange for MACI implants (the “Transaction Price”) may be fixed or variable. Direct sales to hospitals or distributors are recorded at a contracted price, and there are typically no forms of variable consideration.</w:t>
      </w:r>
    </w:p>
    <w:p>
      <w:pPr>
        <w:spacing w:after="0" w:line="210"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 xml:space="preserve">When the Company sells MACI through its specialty pharmacies, the Company is typically reimbursed by a third-party insurer or government payer, subject to a patient co-pay amount. Reimbursements from third-party insurers and government payers vary by patient and payer and are based on either contracted rates, publicly available rates, fee schedules or past payer precedents. Net product revenue is recognized net of estimated contractual allowances, which considers historical collection experience from both the payer and patient, denial rates and the terms of the Company’s contractual arrangements. The Company estimates expected collections for these transactions using the portfolio approach. The Company records a reduction to revenue at the time of sale for its estimate of the amount of consideration that will not be collected. In addition, potential credit risk exposure has been evaluated for the Company’s accounts receivable in accordance with </w:t>
      </w:r>
      <w:r>
        <w:rPr>
          <w:rFonts w:ascii="Times New Roman" w:cs="Times New Roman" w:eastAsia="Times New Roman" w:hAnsi="Times New Roman"/>
          <w:sz w:val="18"/>
          <w:szCs w:val="18"/>
          <w:i w:val="1"/>
          <w:iCs w:val="1"/>
          <w:color w:val="auto"/>
        </w:rPr>
        <w:t>ASC 326, Financial Instruments - Credit Losses</w:t>
      </w:r>
      <w:r>
        <w:rPr>
          <w:rFonts w:ascii="Times New Roman" w:cs="Times New Roman" w:eastAsia="Times New Roman" w:hAnsi="Times New Roman"/>
          <w:sz w:val="18"/>
          <w:szCs w:val="18"/>
          <w:color w:val="auto"/>
        </w:rPr>
        <w:t>. The Company assesses risk and determines a loss percentage by pooling accounts receivable based on similar risk characteristics. The loss percentage is calculated through the use of forecasts that are based on current and historical economic and financial information. This loss percentage was applied to the accounts receivables as of June 30, 2024. The total allowance for uncollectible consideration as of June 30, 2024 and December 31, 2023 was $5.4 million and $5.6 million, respectively. Changes to the estimate of the amount of consideration that will not be collected could have a material impact on the revenue recognized. A 50 basis points change to the estimated uncollectible percentage could result in an approximately $0.4 million decrease or increase in the revenue recognized for the six months ended June 30, 2024.</w:t>
      </w:r>
    </w:p>
    <w:p>
      <w:pPr>
        <w:spacing w:after="0" w:line="21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Changes in estimates of the Transaction Price are recorded through revenue in the period in which such change occurs. Changes in estimates related to prior periods are shown in the Revenue by Product and Customer table below and relate primarily to changes in the initial expected reimbursement or collection expectation upon completion of the billing claims process for MACI implants that occurred in a prior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Epicel</w:t>
      </w:r>
    </w:p>
    <w:p>
      <w:pPr>
        <w:spacing w:after="0" w:line="25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sells Epicel directly to hospitals and burn centers based on contracted rates stated in an approved contract or purchase order. Similar to MACI, there is no obligation to manufacture Epicel grafts upon receipt of a skin biopsy, and Vericel has no contractual right to receive payment until the product is delivered to the hospital. The Company recognizes product revenue from sales of Epicel upon delivery to the hospital, at which time the customer is in control of the Epicel grafts and the claim is billable to the hospital.</w:t>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NexoBrid</w:t>
      </w:r>
    </w:p>
    <w:p>
      <w:pPr>
        <w:spacing w:after="0" w:line="25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Company entered into exclusive license and supply agreements with MediWound in May 2019, pursuant to which MediWound will manufacture and supply NexoBrid on a unit price basis, which may be increased pursuant to the terms of the agreements. Additionally, beginning in 2020, the U.S. Biomedical Advanced Research and Development Authority (“BARDA”) procured quantities of NexoBrid from MediWound, for use as a medical countermeasure in the event of a mass casualty emergency in the U.S. involving thermal burns. The initial, quarterly, procurement of NexoBrid by BARDA under its agreement with MediWound completed during the third quarter of 2022. The Company recognized revenue based on a percentage of gross profits for sales of NexoBrid to BARDA upon delivery, at which time BARDA was in control of the product. As of June 30, 2024, the Company did not hold a direct contract or distribution agreement with BARDA, or take title to the product procured by BARDA.</w:t>
      </w:r>
    </w:p>
    <w:p>
      <w:pPr>
        <w:spacing w:after="0" w:line="216" w:lineRule="exact"/>
        <w:rPr>
          <w:sz w:val="20"/>
          <w:szCs w:val="20"/>
          <w:color w:val="auto"/>
        </w:rPr>
      </w:pPr>
    </w:p>
    <w:p>
      <w:pPr>
        <w:ind w:right="160" w:firstLine="243"/>
        <w:spacing w:after="0" w:line="266" w:lineRule="auto"/>
        <w:rPr>
          <w:sz w:val="20"/>
          <w:szCs w:val="20"/>
          <w:color w:val="auto"/>
        </w:rPr>
      </w:pPr>
      <w:r>
        <w:rPr>
          <w:rFonts w:ascii="Times New Roman" w:cs="Times New Roman" w:eastAsia="Times New Roman" w:hAnsi="Times New Roman"/>
          <w:sz w:val="18"/>
          <w:szCs w:val="18"/>
          <w:color w:val="auto"/>
        </w:rPr>
        <w:t>In December 2022, the FDA approved a BLA for NexoBrid, granting a license for its commercial use in the U.S. NexoBrid is a topically-administered biological orphan product containing proteolytic enzymes, which is indicated for the removal of eschar in adults with deep partial-thickness and/or full thickness thermal burns.</w:t>
      </w:r>
    </w:p>
    <w:p>
      <w:pPr>
        <w:spacing w:after="0" w:line="20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sells NexoBrid to specialty distributors. These customers subsequently resell NexoBrid to hospitals and burn centers. Product revenue is recorded net of reserves for specialty distributor fees, prompt payment discounts and allowances for returns, as applicable. The Company recognizes product revenue from sales of NexoBrid when the specialty distributors take control of the product, which typically occurs upon delivery to the specialty distributors.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 by Product and Customer</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and descriptions below show the products from which the Company generated its revenue for the periods indicated:</w:t>
      </w:r>
    </w:p>
    <w:p>
      <w:pPr>
        <w:spacing w:after="0" w:line="313"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200" w:type="dxa"/>
            <w:vAlign w:val="bottom"/>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 by product (in thousands)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MACI implants and kits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400" w:type="dxa"/>
            <w:vAlign w:val="bottom"/>
            <w:gridSpan w:val="2"/>
          </w:tcPr>
          <w:p>
            <w:pPr>
              <w:ind w:left="220"/>
              <w:spacing w:after="0" w:line="176" w:lineRule="exact"/>
              <w:rPr>
                <w:sz w:val="20"/>
                <w:szCs w:val="20"/>
                <w:color w:val="auto"/>
              </w:rPr>
            </w:pPr>
            <w:r>
              <w:rPr>
                <w:rFonts w:ascii="Times New Roman" w:cs="Times New Roman" w:eastAsia="Times New Roman" w:hAnsi="Times New Roman"/>
                <w:sz w:val="18"/>
                <w:szCs w:val="18"/>
                <w:color w:val="auto"/>
              </w:rPr>
              <w:t>Implants based on contracted rate sold through a specialty pharmacy</w:t>
            </w: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30,704</w:t>
            </w:r>
          </w:p>
        </w:tc>
        <w:tc>
          <w:tcPr>
            <w:tcW w:w="18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22,377</w:t>
            </w:r>
          </w:p>
        </w:tc>
        <w:tc>
          <w:tcPr>
            <w:tcW w:w="24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58,083</w:t>
            </w:r>
          </w:p>
        </w:tc>
        <w:tc>
          <w:tcPr>
            <w:tcW w:w="12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45,331</w:t>
            </w:r>
          </w:p>
        </w:tc>
        <w:tc>
          <w:tcPr>
            <w:tcW w:w="0" w:type="dxa"/>
            <w:vAlign w:val="bottom"/>
          </w:tcPr>
          <w:p>
            <w:pPr>
              <w:spacing w:after="0"/>
              <w:rPr>
                <w:sz w:val="1"/>
                <w:szCs w:val="1"/>
                <w:color w:val="auto"/>
              </w:rPr>
            </w:pPr>
          </w:p>
        </w:tc>
      </w:tr>
      <w:tr>
        <w:trPr>
          <w:trHeight w:val="176"/>
        </w:trPr>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(a)</w:t>
            </w:r>
          </w:p>
        </w:tc>
        <w:tc>
          <w:tcPr>
            <w:tcW w:w="3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400" w:type="dxa"/>
            <w:vAlign w:val="bottom"/>
            <w:gridSpan w:val="2"/>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Implants subject to third party reimbursement sold through a specialty</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400" w:type="dxa"/>
            <w:vAlign w:val="bottom"/>
            <w:gridSpan w:val="2"/>
            <w:shd w:val="clear" w:color="auto" w:fill="CCEEFF"/>
          </w:tcPr>
          <w:p>
            <w:pPr>
              <w:ind w:left="220"/>
              <w:spacing w:after="0" w:line="237" w:lineRule="exact"/>
              <w:rPr>
                <w:sz w:val="20"/>
                <w:szCs w:val="20"/>
                <w:color w:val="auto"/>
              </w:rPr>
            </w:pPr>
            <w:r>
              <w:rPr>
                <w:rFonts w:ascii="Times New Roman" w:cs="Times New Roman" w:eastAsia="Times New Roman" w:hAnsi="Times New Roman"/>
                <w:sz w:val="18"/>
                <w:szCs w:val="18"/>
                <w:color w:val="auto"/>
              </w:rPr>
              <w:t xml:space="preserve">pharmacy </w:t>
            </w:r>
            <w:r>
              <w:rPr>
                <w:rFonts w:ascii="Times New Roman" w:cs="Times New Roman" w:eastAsia="Times New Roman" w:hAnsi="Times New Roman"/>
                <w:sz w:val="23"/>
                <w:szCs w:val="23"/>
                <w:color w:val="auto"/>
                <w:vertAlign w:val="superscript"/>
              </w:rPr>
              <w:t>(b)</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8,004</w:t>
            </w:r>
          </w:p>
        </w:tc>
        <w:tc>
          <w:tcPr>
            <w:tcW w:w="0" w:type="dxa"/>
            <w:vAlign w:val="bottom"/>
          </w:tcPr>
          <w:p>
            <w:pPr>
              <w:spacing w:after="0"/>
              <w:rPr>
                <w:sz w:val="1"/>
                <w:szCs w:val="1"/>
                <w:color w:val="auto"/>
              </w:rPr>
            </w:pPr>
          </w:p>
        </w:tc>
      </w:tr>
      <w:tr>
        <w:trPr>
          <w:trHeight w:val="230"/>
        </w:trPr>
        <w:tc>
          <w:tcPr>
            <w:tcW w:w="540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Implants sold direct based on contracted rates </w:t>
            </w:r>
            <w:r>
              <w:rPr>
                <w:rFonts w:ascii="Times New Roman" w:cs="Times New Roman" w:eastAsia="Times New Roman" w:hAnsi="Times New Roman"/>
                <w:sz w:val="23"/>
                <w:szCs w:val="23"/>
                <w:color w:val="auto"/>
                <w:vertAlign w:val="superscript"/>
              </w:rPr>
              <w:t>(c)</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14,222</w:t>
            </w:r>
          </w:p>
        </w:tc>
        <w:tc>
          <w:tcPr>
            <w:tcW w:w="0" w:type="dxa"/>
            <w:vAlign w:val="bottom"/>
          </w:tcPr>
          <w:p>
            <w:pPr>
              <w:spacing w:after="0"/>
              <w:rPr>
                <w:sz w:val="1"/>
                <w:szCs w:val="1"/>
                <w:color w:val="auto"/>
              </w:rPr>
            </w:pPr>
          </w:p>
        </w:tc>
      </w:tr>
      <w:tr>
        <w:trPr>
          <w:trHeight w:val="229"/>
        </w:trPr>
        <w:tc>
          <w:tcPr>
            <w:tcW w:w="540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Implants sold direct subject to third-party reimbursement </w:t>
            </w:r>
            <w:r>
              <w:rPr>
                <w:rFonts w:ascii="Times New Roman" w:cs="Times New Roman" w:eastAsia="Times New Roman" w:hAnsi="Times New Roman"/>
                <w:sz w:val="23"/>
                <w:szCs w:val="23"/>
                <w:color w:val="auto"/>
                <w:vertAlign w:val="superscript"/>
              </w:rPr>
              <w:t>(d)</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0" w:type="dxa"/>
            <w:vAlign w:val="bottom"/>
          </w:tcPr>
          <w:p>
            <w:pPr>
              <w:spacing w:after="0"/>
              <w:rPr>
                <w:sz w:val="1"/>
                <w:szCs w:val="1"/>
                <w:color w:val="auto"/>
              </w:rPr>
            </w:pPr>
          </w:p>
        </w:tc>
      </w:tr>
      <w:tr>
        <w:trPr>
          <w:trHeight w:val="229"/>
        </w:trPr>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Biopsy kits - direct bill</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30"/>
        </w:trPr>
        <w:tc>
          <w:tcPr>
            <w:tcW w:w="540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Change in estimates related to prior periods </w:t>
            </w:r>
            <w:r>
              <w:rPr>
                <w:rFonts w:ascii="Times New Roman" w:cs="Times New Roman" w:eastAsia="Times New Roman" w:hAnsi="Times New Roman"/>
                <w:sz w:val="23"/>
                <w:szCs w:val="23"/>
                <w:color w:val="auto"/>
                <w:vertAlign w:val="superscript"/>
              </w:rPr>
              <w:t>(e)</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23"/>
        </w:trPr>
        <w:tc>
          <w:tcPr>
            <w:tcW w:w="5400" w:type="dxa"/>
            <w:vAlign w:val="bottom"/>
            <w:gridSpan w:val="2"/>
          </w:tcPr>
          <w:p>
            <w:pPr>
              <w:ind w:left="440"/>
              <w:spacing w:after="0"/>
              <w:rPr>
                <w:sz w:val="20"/>
                <w:szCs w:val="20"/>
                <w:color w:val="auto"/>
              </w:rPr>
            </w:pPr>
            <w:r>
              <w:rPr>
                <w:rFonts w:ascii="Times New Roman" w:cs="Times New Roman" w:eastAsia="Times New Roman" w:hAnsi="Times New Roman"/>
                <w:sz w:val="18"/>
                <w:szCs w:val="18"/>
                <w:i w:val="1"/>
                <w:iCs w:val="1"/>
                <w:color w:val="auto"/>
              </w:rPr>
              <w:t>Total MACI implants and kits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44,135</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70,526</w:t>
            </w:r>
          </w:p>
        </w:tc>
        <w:tc>
          <w:tcPr>
            <w:tcW w:w="0" w:type="dxa"/>
            <w:vAlign w:val="bottom"/>
          </w:tcPr>
          <w:p>
            <w:pPr>
              <w:spacing w:after="0"/>
              <w:rPr>
                <w:sz w:val="1"/>
                <w:szCs w:val="1"/>
                <w:color w:val="auto"/>
              </w:rPr>
            </w:pPr>
          </w:p>
        </w:tc>
      </w:tr>
      <w:tr>
        <w:trPr>
          <w:trHeight w:val="230"/>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Epicel</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 bill (hospital)</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16,413</w:t>
            </w:r>
          </w:p>
        </w:tc>
        <w:tc>
          <w:tcPr>
            <w:tcW w:w="0" w:type="dxa"/>
            <w:vAlign w:val="bottom"/>
          </w:tcPr>
          <w:p>
            <w:pPr>
              <w:spacing w:after="0"/>
              <w:rPr>
                <w:sz w:val="1"/>
                <w:szCs w:val="1"/>
                <w:color w:val="auto"/>
              </w:rPr>
            </w:pPr>
          </w:p>
        </w:tc>
      </w:tr>
      <w:tr>
        <w:trPr>
          <w:trHeight w:val="270"/>
        </w:trPr>
        <w:tc>
          <w:tcPr>
            <w:tcW w:w="5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4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i w:val="1"/>
                <w:iCs w:val="1"/>
                <w:color w:val="auto"/>
              </w:rPr>
              <w:t xml:space="preserve">NexoBrid </w:t>
            </w:r>
            <w:r>
              <w:rPr>
                <w:rFonts w:ascii="Times New Roman" w:cs="Times New Roman" w:eastAsia="Times New Roman" w:hAnsi="Times New Roman"/>
                <w:sz w:val="23"/>
                <w:szCs w:val="23"/>
                <w:i w:val="1"/>
                <w:iCs w:val="1"/>
                <w:color w:val="auto"/>
                <w:vertAlign w:val="superscript"/>
              </w:rPr>
              <w:t>(f)</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40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52,662</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45,922</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86,939</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154305</wp:posOffset>
            </wp:positionV>
            <wp:extent cx="69437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27" w:lineRule="exact"/>
        <w:rPr>
          <w:sz w:val="20"/>
          <w:szCs w:val="20"/>
          <w:color w:val="auto"/>
        </w:rPr>
      </w:pPr>
    </w:p>
    <w:p>
      <w:pPr>
        <w:ind w:left="520" w:right="20" w:hanging="251"/>
        <w:spacing w:after="0" w:line="261" w:lineRule="auto"/>
        <w:tabs>
          <w:tab w:leader="none" w:pos="47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through Orsini and AllCare whereby such specialty pharmacies have a direct contract with the underlying insurance provider. The amount of reimbursement is based on contracted rates at the time of sale supported by the pharmacy’s direct contracts.</w:t>
      </w:r>
    </w:p>
    <w:p>
      <w:pPr>
        <w:spacing w:after="0" w:line="81" w:lineRule="exact"/>
        <w:rPr>
          <w:rFonts w:ascii="Times New Roman" w:cs="Times New Roman" w:eastAsia="Times New Roman" w:hAnsi="Times New Roman"/>
          <w:sz w:val="14"/>
          <w:szCs w:val="14"/>
          <w:color w:val="auto"/>
        </w:rPr>
      </w:pPr>
    </w:p>
    <w:p>
      <w:pPr>
        <w:ind w:left="520" w:right="20" w:hanging="251"/>
        <w:spacing w:after="0" w:line="261" w:lineRule="auto"/>
        <w:tabs>
          <w:tab w:leader="none" w:pos="505"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through Orsini and AllCare whereby such specialty pharmacy does not have a direct contract with the underlying payer, and are subject to third-party reimbursement. The amount of reimbursement is established based on publicly available rates, fee schedules or past payer precedents.</w:t>
      </w:r>
    </w:p>
    <w:p>
      <w:pPr>
        <w:spacing w:after="0" w:line="81" w:lineRule="exact"/>
        <w:rPr>
          <w:rFonts w:ascii="Times New Roman" w:cs="Times New Roman" w:eastAsia="Times New Roman" w:hAnsi="Times New Roman"/>
          <w:sz w:val="14"/>
          <w:szCs w:val="14"/>
          <w:color w:val="auto"/>
        </w:rPr>
      </w:pPr>
    </w:p>
    <w:p>
      <w:pPr>
        <w:ind w:left="520" w:right="20" w:hanging="251"/>
        <w:spacing w:after="0" w:line="261" w:lineRule="auto"/>
        <w:tabs>
          <w:tab w:leader="none" w:pos="48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directly from the Company to the facility based on a contract and known price agreed upon prior to the surgery date. Also represents direct sales under a contract to specialty distributor DMS.</w:t>
      </w:r>
    </w:p>
    <w:p>
      <w:pPr>
        <w:spacing w:after="0" w:line="81" w:lineRule="exact"/>
        <w:rPr>
          <w:rFonts w:ascii="Times New Roman" w:cs="Times New Roman" w:eastAsia="Times New Roman" w:hAnsi="Times New Roman"/>
          <w:sz w:val="14"/>
          <w:szCs w:val="14"/>
          <w:color w:val="auto"/>
        </w:rPr>
      </w:pPr>
    </w:p>
    <w:p>
      <w:pPr>
        <w:ind w:left="520" w:right="20" w:hanging="251"/>
        <w:spacing w:after="0" w:line="261" w:lineRule="auto"/>
        <w:tabs>
          <w:tab w:leader="none" w:pos="48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directly from the Company to the facility based on a contract and known price agreed upon prior to the surgery date. The payment terms are subject to third-party reimbursement from an underlying insurance provider.</w:t>
      </w:r>
    </w:p>
    <w:p>
      <w:pPr>
        <w:spacing w:after="0" w:line="81" w:lineRule="exact"/>
        <w:rPr>
          <w:rFonts w:ascii="Times New Roman" w:cs="Times New Roman" w:eastAsia="Times New Roman" w:hAnsi="Times New Roman"/>
          <w:sz w:val="14"/>
          <w:szCs w:val="14"/>
          <w:color w:val="auto"/>
        </w:rPr>
      </w:pPr>
    </w:p>
    <w:p>
      <w:pPr>
        <w:jc w:val="both"/>
        <w:ind w:left="520" w:right="20" w:hanging="251"/>
        <w:spacing w:after="0" w:line="241" w:lineRule="auto"/>
        <w:tabs>
          <w:tab w:leader="none" w:pos="47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changes in estimates related to implants sold through Orsini or AllCare and relate to changes to the initial expected reimbursement or collection expectations upon completion of the billing claims process. The change in estimates is a result of additional information, changes in collection expectations or actual cash collections received in the current period.</w:t>
      </w:r>
    </w:p>
    <w:p>
      <w:pPr>
        <w:spacing w:after="0" w:line="95" w:lineRule="exact"/>
        <w:rPr>
          <w:rFonts w:ascii="Times New Roman" w:cs="Times New Roman" w:eastAsia="Times New Roman" w:hAnsi="Times New Roman"/>
          <w:sz w:val="14"/>
          <w:szCs w:val="14"/>
          <w:color w:val="auto"/>
        </w:rPr>
      </w:pPr>
    </w:p>
    <w:p>
      <w:pPr>
        <w:ind w:left="440" w:hanging="171"/>
        <w:spacing w:after="0"/>
        <w:tabs>
          <w:tab w:leader="none" w:pos="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U.S. commercial revenue of NexoBrid.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Selected Balance Sheet Components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Inventory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6"/>
                <w:szCs w:val="16"/>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11,348</w:t>
            </w:r>
          </w:p>
        </w:tc>
      </w:tr>
      <w:tr>
        <w:trPr>
          <w:trHeight w:val="229"/>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r>
      <w:tr>
        <w:trPr>
          <w:trHeight w:val="230"/>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23"/>
        </w:trPr>
        <w:tc>
          <w:tcPr>
            <w:tcW w:w="7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inventory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13,087</w:t>
            </w:r>
          </w:p>
        </w:tc>
      </w:tr>
      <w:tr>
        <w:trPr>
          <w:trHeight w:val="20"/>
        </w:trPr>
        <w:tc>
          <w:tcPr>
            <w:tcW w:w="7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6"/>
                <w:szCs w:val="16"/>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r>
      <w:tr>
        <w:trPr>
          <w:trHeight w:val="23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r>
      <w:tr>
        <w:trPr>
          <w:trHeight w:val="229"/>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9,116</w:t>
            </w:r>
          </w:p>
        </w:tc>
      </w:tr>
      <w:tr>
        <w:trPr>
          <w:trHeight w:val="23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14,901</w:t>
            </w:r>
          </w:p>
        </w:tc>
      </w:tr>
      <w:tr>
        <w:trPr>
          <w:trHeight w:val="229"/>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32,531</w:t>
            </w:r>
          </w:p>
        </w:tc>
      </w:tr>
      <w:tr>
        <w:trPr>
          <w:trHeight w:val="223"/>
        </w:trPr>
        <w:tc>
          <w:tcPr>
            <w:tcW w:w="7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63,841</w:t>
            </w:r>
          </w:p>
        </w:tc>
      </w:tr>
      <w:tr>
        <w:trPr>
          <w:trHeight w:val="229"/>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(22,206)</w:t>
            </w:r>
          </w:p>
        </w:tc>
      </w:tr>
      <w:tr>
        <w:trPr>
          <w:trHeight w:val="223"/>
        </w:trPr>
        <w:tc>
          <w:tcPr>
            <w:tcW w:w="7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73,086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41,635</w:t>
            </w:r>
          </w:p>
        </w:tc>
      </w:tr>
      <w:tr>
        <w:trPr>
          <w:trHeight w:val="20"/>
        </w:trPr>
        <w:tc>
          <w:tcPr>
            <w:tcW w:w="7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and six months ended June 30, 2024 was $1.2 million and $2.4 million, respectively, and $1.0 million and $2.0 million, respectively, for the same periods in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Intangible assets, net consisted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Life (in</w:t>
            </w: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gridSpan w:val="2"/>
            <w:vMerge w:val="continue"/>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1"/>
                <w:szCs w:val="11"/>
                <w:color w:val="auto"/>
              </w:rPr>
            </w:pPr>
          </w:p>
        </w:tc>
        <w:tc>
          <w:tcPr>
            <w:tcW w:w="116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1"/>
                <w:szCs w:val="11"/>
                <w:color w:val="auto"/>
              </w:rPr>
            </w:pPr>
          </w:p>
        </w:tc>
        <w:tc>
          <w:tcPr>
            <w:tcW w:w="74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74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1720" w:type="dxa"/>
            <w:vAlign w:val="bottom"/>
            <w:gridSpan w:val="2"/>
            <w:vMerge w:val="continue"/>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2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NexoBrid license</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 w:firstLine="243"/>
        <w:spacing w:after="0" w:line="282" w:lineRule="auto"/>
        <w:rPr>
          <w:sz w:val="20"/>
          <w:szCs w:val="20"/>
          <w:color w:val="auto"/>
        </w:rPr>
      </w:pPr>
      <w:r>
        <w:rPr>
          <w:rFonts w:ascii="Times New Roman" w:cs="Times New Roman" w:eastAsia="Times New Roman" w:hAnsi="Times New Roman"/>
          <w:sz w:val="18"/>
          <w:szCs w:val="18"/>
          <w:color w:val="auto"/>
        </w:rPr>
        <w:t>Amortization expense for the three and six months ended June 30, 2024 was $0.2 million and $0.3 million, respectively, and $0.2 million and $0.3 million, respectively, for the same periods in 2023.</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Future amortization expense of intangible assets as of June 30, 2024 is estimated to be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Accrued Expenses</w:t>
            </w: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8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Accrued Expenses consisted of the following:</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24"/>
                <w:szCs w:val="24"/>
                <w:color w:val="auto"/>
              </w:rPr>
            </w:pPr>
          </w:p>
        </w:tc>
        <w:tc>
          <w:tcPr>
            <w:tcW w:w="144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24"/>
                <w:szCs w:val="24"/>
                <w:color w:val="auto"/>
              </w:rPr>
            </w:pP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Bonus-related compensation</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Employee-related accruals</w:t>
            </w:r>
          </w:p>
        </w:tc>
        <w:tc>
          <w:tcPr>
            <w:tcW w:w="24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reimbursement-related liabilities</w:t>
            </w:r>
          </w:p>
        </w:tc>
        <w:tc>
          <w:tcPr>
            <w:tcW w:w="2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accrued expenses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17,215</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leases facilities in Ann Arbor, Michigan, Cambridge, Massachusetts and Burlington, Massachusetts. The Ann Arbor facility includes office space, and the Cambridge facilities include clean rooms, laboratories for MACI and Epicel manufacturing and office space. The Company also leases offsite warehouse space and other computer-related equipment.</w:t>
      </w:r>
    </w:p>
    <w:p>
      <w:pPr>
        <w:spacing w:after="0" w:line="203"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On January 28, 2022, the Company entered into a lease agreement (the “Burlington Lease”) to lease approximately 126,000 square feet of manufacturing, laboratory and office space in Burlington, Massachusetts (the “Premises”), which is currently being constructed. Once constructed, the Premises will serve as the Company’s new corporate headquarters and primary manufacturing facility.</w:t>
      </w:r>
    </w:p>
    <w:p>
      <w:pPr>
        <w:spacing w:after="0" w:line="20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April 2023, in connection with the Burlington Lease, the Company entered into a construction escrow agreement (the “Construction Escrow Agreement”) with the facility’s landlord and an escrow agent. Pursuant to the terms of the Construction Escrow Agreement, in April 2023, the Company began funding, into an escrow account maintained by the escrow agent, a portion of its share of tenant improvement construction costs at the facility, which are designated as restricted cash. At the same time, the facility’s landlord began funding a portion of its tenant improvement allowance through a separate escrow account. The Company funded the remaining 50% of its required cost amount, or approximately $28.3 million, with cash on hand, pursuant to the Construction Escrow Agreement in April 2024.</w:t>
      </w:r>
    </w:p>
    <w:p>
      <w:pPr>
        <w:spacing w:after="0" w:line="21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term of the Burlington Lease began on June 1, 2023 (the “Commencement Date”), when the Company gained control of and commenced tenant improvement work at the Premises. The Company’s obligation to pay rent for the Premises began on July 1, 2024 (the “Rent Commencement Date”). The initial term of the Lease is 144 months following the Rent Commencement Date. The Company has a one-time option to extend the term of the Lease for an additional 10 years, exercisable under certain conditions and at a market rate determined in accordance with the Burlington Lease.</w:t>
      </w:r>
    </w:p>
    <w:p>
      <w:pPr>
        <w:spacing w:after="0" w:line="207" w:lineRule="exact"/>
        <w:rPr>
          <w:sz w:val="20"/>
          <w:szCs w:val="20"/>
          <w:color w:val="auto"/>
        </w:rPr>
      </w:pPr>
    </w:p>
    <w:p>
      <w:pPr>
        <w:jc w:val="both"/>
        <w:ind w:firstLine="243"/>
        <w:spacing w:after="0" w:line="277" w:lineRule="auto"/>
        <w:rPr>
          <w:sz w:val="20"/>
          <w:szCs w:val="20"/>
          <w:color w:val="auto"/>
        </w:rPr>
      </w:pPr>
      <w:r>
        <w:rPr>
          <w:rFonts w:ascii="Times New Roman" w:cs="Times New Roman" w:eastAsia="Times New Roman" w:hAnsi="Times New Roman"/>
          <w:sz w:val="17"/>
          <w:szCs w:val="17"/>
          <w:color w:val="auto"/>
        </w:rPr>
        <w:t>The annual base rent of the Burlington Lease is initially $57 per square foot per year, subject to annual increases of 2.5%. Monthly contractual payments are expected to range from $0.6 million to $0.8 million. Additionally, the Company is responsible for reimbursing the landlord for the Company’s share of the Premises’ property taxes and certain other operating expenses. The Burlington Lease also provides for a tenant improvement allowance from the landlord in an amount equal to $200 per square foot of the Premises, or approximately $24.4 million. The tenant improvement allowance is being used towards the design and construction of the tenant improvements made to the Premises, subject to the terms set forth in the Burlington Lease.</w:t>
      </w:r>
    </w:p>
    <w:p>
      <w:pPr>
        <w:spacing w:after="0" w:line="195"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Company was not involved in the initial construction of the core and shell of the building. On June 1, 2023, the Company gained control of the Premises to begin construction of its tenant improvements. As such, the corresponding right-of-use asset and lease liability of $35.5 million was recorded on the Company’s condensed consolidated balance sheet. As there was not an implicit rate within the lease available, the Company estimated the incremental borrowing rate of 7.7%, based on the rate of interest the Company would have to pay to borrow a similar amount on a collateralized basis over a similar term. The lease term of 13.1 years does not include the lease extension option, as the Company is not reasonably certain to exercise that option. The Company has determined that certain improvements to the Premises are landlord-owned improvements and costs incurred for these improvements are accounted for as a variable lease payment. In the six months ended June 30, 2024, the Company recorded a right-of-use asset related to landlord-owned improvements incurred of approximately $3.0 million.</w:t>
      </w:r>
    </w:p>
    <w:p>
      <w:pPr>
        <w:spacing w:after="0" w:line="21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January 2022, in connection with the execution of the Burlington Lease, the Company issued a letter of credit collateralized by cash deposits of approximately $6.0 million. Subsequent to the execution of the Revolving Credit Agreement on July 29, 2022 (see Note 8, “Revolving Credit Agreement” for further details), the letter of credit is issued under the sub-facility limit of the Revolving Credit Agreement. Such letter of credit shall be reduced to approximately $4.2 million and $1.8 million at the conclusion of the third and sixth lease years, respectively, provided certain conditions set forth in the Burlington Lease are satisfied.</w:t>
      </w:r>
    </w:p>
    <w:p>
      <w:pPr>
        <w:spacing w:after="0" w:line="21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 xml:space="preserve">For the three and six months ended June 30, 2024 and 2023, lease expense of less than $0.1 million was recorded related to short-term leases. </w:t>
      </w:r>
      <w:r>
        <w:rPr>
          <w:rFonts w:ascii="Times New Roman" w:cs="Times New Roman" w:eastAsia="Times New Roman" w:hAnsi="Times New Roman"/>
          <w:sz w:val="18"/>
          <w:szCs w:val="18"/>
          <w:color w:val="222222"/>
        </w:rPr>
        <w:t>For the</w:t>
      </w:r>
      <w:r>
        <w:rPr>
          <w:rFonts w:ascii="Times New Roman" w:cs="Times New Roman" w:eastAsia="Times New Roman" w:hAnsi="Times New Roman"/>
          <w:sz w:val="18"/>
          <w:szCs w:val="18"/>
          <w:color w:val="auto"/>
        </w:rPr>
        <w:t xml:space="preserve"> three and six months ended June 30, 2024</w:t>
      </w:r>
      <w:r>
        <w:rPr>
          <w:rFonts w:ascii="Times New Roman" w:cs="Times New Roman" w:eastAsia="Times New Roman" w:hAnsi="Times New Roman"/>
          <w:sz w:val="18"/>
          <w:szCs w:val="18"/>
          <w:color w:val="222222"/>
        </w:rPr>
        <w:t>, the Company recognized $3.2 million and $6.4 million, respectively, of operating lease expense and $2.3 million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and $4.0 million, respectively, for the same period in 2023. For the </w:t>
      </w:r>
      <w:r>
        <w:rPr>
          <w:rFonts w:ascii="Times New Roman" w:cs="Times New Roman" w:eastAsia="Times New Roman" w:hAnsi="Times New Roman"/>
          <w:sz w:val="18"/>
          <w:szCs w:val="18"/>
          <w:color w:val="000000"/>
        </w:rPr>
        <w:t>three and six months ended June 30, 2023,</w:t>
      </w:r>
      <w:r>
        <w:rPr>
          <w:rFonts w:ascii="Times New Roman" w:cs="Times New Roman" w:eastAsia="Times New Roman" w:hAnsi="Times New Roman"/>
          <w:sz w:val="18"/>
          <w:szCs w:val="18"/>
          <w:color w:val="222222"/>
        </w:rPr>
        <w:t xml:space="preserve"> the Company recognized less than </w:t>
      </w:r>
      <w:r>
        <w:rPr>
          <w:rFonts w:ascii="Times New Roman" w:cs="Times New Roman" w:eastAsia="Times New Roman" w:hAnsi="Times New Roman"/>
          <w:sz w:val="18"/>
          <w:szCs w:val="18"/>
          <w:color w:val="000000"/>
        </w:rPr>
        <w:t xml:space="preserve">$0.1 million </w:t>
      </w:r>
      <w:r>
        <w:rPr>
          <w:rFonts w:ascii="Times New Roman" w:cs="Times New Roman" w:eastAsia="Times New Roman" w:hAnsi="Times New Roman"/>
          <w:sz w:val="18"/>
          <w:szCs w:val="18"/>
          <w:color w:val="222222"/>
        </w:rPr>
        <w:t>of financing lease expense</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Operating and finance lease assets and liabilities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6"/>
                <w:szCs w:val="16"/>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9"/>
                <w:szCs w:val="19"/>
                <w:color w:val="auto"/>
              </w:rPr>
            </w:pPr>
          </w:p>
        </w:tc>
        <w:tc>
          <w:tcPr>
            <w:tcW w:w="5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73,020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73,462</w:t>
            </w:r>
          </w:p>
        </w:tc>
      </w:tr>
      <w:tr>
        <w:trPr>
          <w:trHeight w:val="229"/>
        </w:trPr>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Current</w:t>
            </w:r>
          </w:p>
        </w:tc>
        <w:tc>
          <w:tcPr>
            <w:tcW w:w="5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w:t>
            </w:r>
          </w:p>
        </w:tc>
      </w:tr>
      <w:tr>
        <w:trPr>
          <w:trHeight w:val="229"/>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Non-current</w:t>
            </w:r>
          </w:p>
        </w:tc>
        <w:tc>
          <w:tcPr>
            <w:tcW w:w="5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81,856</w:t>
            </w:r>
          </w:p>
        </w:tc>
      </w:tr>
      <w:tr>
        <w:trPr>
          <w:trHeight w:val="223"/>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leased liabilities</w:t>
            </w:r>
          </w:p>
        </w:tc>
        <w:tc>
          <w:tcPr>
            <w:tcW w:w="5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95,592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88,043</w:t>
            </w:r>
          </w:p>
        </w:tc>
      </w:tr>
      <w:tr>
        <w:trPr>
          <w:trHeight w:val="21"/>
        </w:trPr>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w:t>
      </w:r>
    </w:p>
    <w:p>
      <w:pPr>
        <w:spacing w:after="0" w:line="254" w:lineRule="exact"/>
        <w:rPr>
          <w:sz w:val="20"/>
          <w:szCs w:val="20"/>
          <w:color w:val="auto"/>
        </w:rPr>
      </w:pPr>
    </w:p>
    <w:p>
      <w:pPr>
        <w:jc w:val="both"/>
        <w:ind w:right="80" w:firstLine="243"/>
        <w:spacing w:after="0" w:line="267" w:lineRule="auto"/>
        <w:rPr>
          <w:sz w:val="20"/>
          <w:szCs w:val="20"/>
          <w:color w:val="auto"/>
        </w:rPr>
      </w:pPr>
      <w:r>
        <w:rPr>
          <w:rFonts w:ascii="Times New Roman" w:cs="Times New Roman" w:eastAsia="Times New Roman" w:hAnsi="Times New Roman"/>
          <w:sz w:val="18"/>
          <w:szCs w:val="18"/>
          <w:color w:val="auto"/>
        </w:rPr>
        <w:t xml:space="preserve">Marketable debt securities held by the Company are classified as available-for-sale pursuant to ASC 320, </w:t>
      </w:r>
      <w:r>
        <w:rPr>
          <w:rFonts w:ascii="Times New Roman" w:cs="Times New Roman" w:eastAsia="Times New Roman" w:hAnsi="Times New Roman"/>
          <w:sz w:val="18"/>
          <w:szCs w:val="18"/>
          <w:i w:val="1"/>
          <w:iCs w:val="1"/>
          <w:color w:val="auto"/>
        </w:rPr>
        <w:t>Investments – Debt and Equity Securities</w:t>
      </w:r>
      <w:r>
        <w:rPr>
          <w:rFonts w:ascii="Times New Roman" w:cs="Times New Roman" w:eastAsia="Times New Roman" w:hAnsi="Times New Roman"/>
          <w:sz w:val="18"/>
          <w:szCs w:val="18"/>
          <w:color w:val="auto"/>
        </w:rPr>
        <w:t>, and carried at fair value in the accompanying condensed consolidated balance sheets on a settlement date basis. The following tables summarize the gross unrealized gains and losses of the Company’s marketable securities:</w:t>
      </w:r>
    </w:p>
    <w:p>
      <w:pPr>
        <w:spacing w:after="0" w:line="236"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4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15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60" w:type="dxa"/>
            <w:vAlign w:val="bottom"/>
          </w:tcPr>
          <w:p>
            <w:pPr>
              <w:spacing w:after="0"/>
              <w:rPr>
                <w:sz w:val="17"/>
                <w:szCs w:val="17"/>
                <w:color w:val="auto"/>
              </w:rPr>
            </w:pPr>
          </w:p>
        </w:tc>
        <w:tc>
          <w:tcPr>
            <w:tcW w:w="15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12,681</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Corporate notes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56,295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(238)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78,610</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gridSpan w:val="2"/>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(278)</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78,337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Classified as: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1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78,337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CCEEFF"/>
            </w:tcBorders>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3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4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15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60" w:type="dxa"/>
            <w:vAlign w:val="bottom"/>
          </w:tcPr>
          <w:p>
            <w:pPr>
              <w:spacing w:after="0"/>
              <w:rPr>
                <w:sz w:val="17"/>
                <w:szCs w:val="17"/>
                <w:color w:val="auto"/>
              </w:rPr>
            </w:pPr>
          </w:p>
        </w:tc>
        <w:tc>
          <w:tcPr>
            <w:tcW w:w="15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Corporate notes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65,852</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65,752</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Classified as: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1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25,283</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65,752</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June 30, 2024 and December 31, 2023, all marketable securities held by the Company had remaining contractual maturities of three years or less.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impairments of the Company’s assets measured and carried at fair value during the three and six months ended June 30, 2024 and 2023.</w:t>
      </w:r>
    </w:p>
    <w:p>
      <w:pPr>
        <w:sectPr>
          <w:pgSz w:w="11900" w:h="16838" w:orient="portrait"/>
          <w:cols w:equalWidth="0" w:num="1">
            <w:col w:w="11320"/>
          </w:cols>
          <w:pgMar w:left="320" w:top="117"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17" w:right="2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fair value measurements are classified and disclosed in one of the following three categories:</w:t>
      </w:r>
    </w:p>
    <w:p>
      <w:pPr>
        <w:spacing w:after="0" w:line="25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or liabilities;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in markets that are not active, or inputs which are observable, either directly or indirectly, for substantially the full term of the asset or liability;</w:t>
      </w:r>
    </w:p>
    <w:p>
      <w:pPr>
        <w:ind w:left="660" w:right="2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208"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commercial paper, corporate notes, U.S. government securities, and U.S. government agency bonds are classified as Level 2 as they were valued based upon quoted market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 There were no transfers into or out of Level 3 from December 31, 2023 to June 30, 2024.</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valuation of the Company’s financial instruments that are measured at fair value on a recurring basis:</w:t>
      </w:r>
    </w:p>
    <w:p>
      <w:pPr>
        <w:sectPr>
          <w:pgSz w:w="11900" w:h="16838" w:orient="portrait"/>
          <w:cols w:equalWidth="0" w:num="1">
            <w:col w:w="11240"/>
          </w:cols>
          <w:pgMar w:left="320" w:top="117" w:right="339" w:bottom="1440" w:gutter="0" w:footer="0" w:header="0"/>
        </w:sectPr>
      </w:pPr>
    </w:p>
    <w:p>
      <w:pPr>
        <w:spacing w:after="0" w:line="28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4"/>
          <w:szCs w:val="14"/>
          <w:b w:val="1"/>
          <w:bCs w:val="1"/>
          <w:color w:val="auto"/>
        </w:rPr>
        <w:t>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33655</wp:posOffset>
            </wp:positionV>
            <wp:extent cx="25203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3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-894715</wp:posOffset>
            </wp:positionH>
            <wp:positionV relativeFrom="paragraph">
              <wp:posOffset>33655</wp:posOffset>
            </wp:positionV>
            <wp:extent cx="25374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p>
      <w:pPr>
        <w:spacing w:after="0" w:line="33" w:lineRule="exact"/>
        <w:rPr>
          <w:sz w:val="20"/>
          <w:szCs w:val="20"/>
          <w:color w:val="auto"/>
        </w:rPr>
      </w:pPr>
    </w:p>
    <w:p>
      <w:pPr>
        <w:sectPr>
          <w:pgSz w:w="11900" w:h="16838" w:orient="portrait"/>
          <w:cols w:equalWidth="0" w:num="2">
            <w:col w:w="7920" w:space="720"/>
            <w:col w:w="2600"/>
          </w:cols>
          <w:pgMar w:left="320" w:top="117" w:right="339" w:bottom="1440" w:gutter="0" w:footer="0" w:header="0"/>
          <w:type w:val="continuous"/>
        </w:sectPr>
      </w:pPr>
    </w:p>
    <w:tbl>
      <w:tblPr>
        <w:tblLayout w:type="fixed"/>
        <w:tblInd w:w="40" w:type="dxa"/>
        <w:tblCellMar>
          <w:top w:w="0" w:type="dxa"/>
          <w:left w:w="0" w:type="dxa"/>
          <w:bottom w:w="0" w:type="dxa"/>
          <w:right w:w="0" w:type="dxa"/>
        </w:tblCellMar>
      </w:tblPr>
      <w:tr>
        <w:trPr>
          <w:trHeight w:val="210"/>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8"/>
                <w:szCs w:val="18"/>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29"/>
        </w:trPr>
        <w:tc>
          <w:tcPr>
            <w:tcW w:w="3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r>
      <w:tr>
        <w:trPr>
          <w:trHeight w:val="230"/>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12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Commercial paper </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Corporate notes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2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U.S. government securities </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0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20" w:firstLine="251"/>
        <w:spacing w:after="0" w:line="302" w:lineRule="auto"/>
        <w:tabs>
          <w:tab w:leader="none" w:pos="37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Approximately $15.7 million of U.S. government securities and $1.1 million of commercial paper as of June 30, 2024, and approximately $23.9 million of U.S. government securities and $1.2 million of commercial paper as of December 31, 2023, had an original maturity of 90 days or less and is recorded as a cash equivalent.</w:t>
      </w:r>
    </w:p>
    <w:p>
      <w:pPr>
        <w:spacing w:after="0" w:line="193"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fair values of the cash equivalents and marketable securities are based on observable market prices. The Company’s accounts receivables, accounts payable and accrued expenses are valued at cost, which approximates fair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Revolving Credit Agreement</w:t>
      </w:r>
    </w:p>
    <w:p>
      <w:pPr>
        <w:spacing w:after="0" w:line="25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On July 29, 2022, the Company, as borrower, entered into a $150.0 million five-year senior secured revolving credit agreement by and among the Company, the other loan parties thereto, the lenders party thereto, and JPMorgan Chase Bank, N.A., as the administrative agent (the “Revolving Credit Agreement”). The Revolving Credit Agreement includes a $15.0 million sub-facility for the issuance of letters of credit, of which the Company is utilizing approximately $6.2 million. Amounts available under the Revolving Credit Agreement are for the working capital needs and other general corporate purposes of the Company. The Company incurred and capitalized approximately $1.1 million of debt issuance costs related to the Revolving Credit Agreement.</w:t>
      </w:r>
    </w:p>
    <w:p>
      <w:pPr>
        <w:spacing w:after="0" w:line="21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Outstanding borrowings under the Revolving Credit Agreement bear interest, with pricing based from time to time at the Company’s election at (i) the Secured Overnight Financing Rate (“SOFR”) plus 0.10% plus a spread ranging from 1.25% to 2.50% as determined by the Company’s Total Net Leverage Ratio (as defined in the Revolving Credit Agreement) or (ii) the alternative base rate (as defined in the Revolving Credit Agreement) plus a spread ranging from 0.25% to 1.50% as determined by the Company’s Total Net Leverage Ratio. The Revolving Credit Agreement also includes a commitment fee, which ranges from 0.20% to 0.25% as determined by the Company’s Total Net Leverage Ratio.</w:t>
      </w:r>
    </w:p>
    <w:p>
      <w:pPr>
        <w:spacing w:after="0" w:line="210"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is permitted to voluntarily prepay borrowings under the Revolving Credit Agreement, in whole or in part, without premium or penalty. On any business day on which the total amount of outstanding Revolving Loans (as defined in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Revolving Credit Agreement) and letters of credit exceeds the total Revolving Commitments (as defined in the Revolving Credit Agreement), the Company must prepay the Revolving Loans in an amount equal to such excess. As of June 30, 2024, there are no outstanding borrowings under the Revolving Credit Agreement.</w:t>
      </w:r>
    </w:p>
    <w:p>
      <w:pPr>
        <w:spacing w:after="0" w:line="20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Revolving Credit Agreement contains a number of affirmative, negative, reporting and financial covenants, in each case subject to certain exceptions and materiality thresholds. The Revolving Credit Agreement requires the Company to be in quarterly compliance, measured on a trailing four quarter basis, with a financial covenant. The maximum Total Net Leverage Ratio (as defined in the Revolving Credit Agreement) is 3.50 to 1.00. The Company may elect to increase the maximum Total Net Leverage Ratio to 4.00 to 1.00 for a period of four consecutive quarters in connection with a Permitted Acquisition (as defined in the Revolving Credit Agreement).</w:t>
      </w:r>
    </w:p>
    <w:p>
      <w:pPr>
        <w:spacing w:after="0" w:line="21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Revolving Credit Agreement contains usual and customary restrictions on the ability of the Company and its subsidiaries to: (i) incur additional indebtedness; (ii) create liens; (iii) consolidate, merge, sell or otherwise dispose of all, or substantially all, of its assets; (iv) sell certain assets; (v) pay dividends on, repurchase or make distributions in respect of capital stock or make other restricted payments; (vi) make certain investments; (vii) repay subordinated indebtedness prior to stated maturity; and (viii) enter into certain transactions with its affiliates.</w:t>
      </w:r>
    </w:p>
    <w:p>
      <w:pPr>
        <w:spacing w:after="0" w:line="20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Obligations under the Revolving Credit Agreement are secured by first priority liens over substantially all of the assets of Vericel Corporation, excluding certain subsidiaries (subject to customary exclusions set forth in the Revolving Credit Agreement and the other transaction documents).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25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Vericel Corporation 2022 Omnibus Incentive Plan (“2022 Plan”) was approved on April 27, 2022, and provides incentives through the grant of stock options, stock appreciation rights, restricted stock awards and restricted stock units. The exercise price of stock options granted under the 2022 Plan shall not be less than the fair market value of the Company’s common stock on the date of grant. The 2022 Plan replaced the 1992 Stock Option Plan, the 2001 Stock Option Plan, the Amended and Restated 2004 Equity Incentive Plan, the 2009 Second Amended and Restated Omnibus Incentive Plan, the 2017 Omnibus Incentive Plan, and the Amended and Restated 2019 Omnibus Incentive Plan (collectively the “Prior Plans”), and no new grants have been granted under the Prior Plans after approval of the 2022 Plan. However, the expiration or forfeiture of options previously granted under the Prior Plans will increase the number of shares available for issuance under the 2022 Plan.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Compensation Expense</w:t>
      </w:r>
    </w:p>
    <w:p>
      <w:pPr>
        <w:spacing w:after="0" w:line="256"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Non-cash stock-based compensation expense (service-based stock options, restricted stock units and the employee stock purchase plan) is summarized in the following table: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00" w:type="dxa"/>
            <w:vAlign w:val="bottom"/>
            <w:gridSpan w:val="2"/>
            <w:vMerge w:val="continue"/>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0" w:type="dxa"/>
            <w:vAlign w:val="bottom"/>
          </w:tcPr>
          <w:p>
            <w:pPr>
              <w:spacing w:after="0"/>
              <w:rPr>
                <w:sz w:val="1"/>
                <w:szCs w:val="1"/>
                <w:color w:val="auto"/>
              </w:rPr>
            </w:pPr>
          </w:p>
        </w:tc>
      </w:tr>
      <w:tr>
        <w:trPr>
          <w:trHeight w:val="229"/>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0" w:type="dxa"/>
            <w:vAlign w:val="bottom"/>
          </w:tcPr>
          <w:p>
            <w:pPr>
              <w:spacing w:after="0"/>
              <w:rPr>
                <w:sz w:val="1"/>
                <w:szCs w:val="1"/>
                <w:color w:val="auto"/>
              </w:rPr>
            </w:pPr>
          </w:p>
        </w:tc>
      </w:tr>
      <w:tr>
        <w:trPr>
          <w:trHeight w:val="230"/>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7,644</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6,972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13,841</w:t>
            </w:r>
          </w:p>
        </w:tc>
        <w:tc>
          <w:tcPr>
            <w:tcW w:w="0" w:type="dxa"/>
            <w:vAlign w:val="bottom"/>
          </w:tcPr>
          <w:p>
            <w:pPr>
              <w:spacing w:after="0"/>
              <w:rPr>
                <w:sz w:val="1"/>
                <w:szCs w:val="1"/>
                <w:color w:val="auto"/>
              </w:rPr>
            </w:pPr>
          </w:p>
        </w:tc>
      </w:tr>
      <w:tr>
        <w:trPr>
          <w:trHeight w:val="223"/>
        </w:trPr>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non-cash stock-based compensation expense</w:t>
            </w: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9,520</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8,761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17,492</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Service-Based Stock Options</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granted service-based options to purchase common stock of 133,225 and 640,387, respectively, and 67,760 and 535,717, respectively, for the same periods in 2023. The weighted-average grant-date fair value of service-based options granted during the three and six months ended June 30, 2024 was $27.85 and $28.14 per option, respectively, and $19.30 and $18.41, respectively, for the same periods in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granted 48,500 and 586,925 restricted stock units, respectively, and 32,816 and 529,321, respectively, for the same periods in 2023. The weighted-average grant-date fair value of restricted stock units granted during the three and six months ended June 30, 2024 was $48.06 and $48.23 per unit, respectively, and $32.16 and $29.97, respectively, for the same periods in 2023.</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Common Share</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summary of net loss per common share is presented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58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 except per share amounts)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4"/>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(12,515)</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5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47,480</w:t>
            </w: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dilutive stock options and restricted stock units</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47,480</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loss per common share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80" w:type="dxa"/>
            <w:vAlign w:val="bottom"/>
          </w:tcPr>
          <w:p>
            <w:pPr>
              <w:ind w:left="40"/>
              <w:spacing w:after="0" w:line="203" w:lineRule="exact"/>
              <w:rPr>
                <w:sz w:val="20"/>
                <w:szCs w:val="20"/>
                <w:color w:val="auto"/>
              </w:rPr>
            </w:pPr>
            <w:r>
              <w:rPr>
                <w:rFonts w:ascii="Times New Roman" w:cs="Times New Roman" w:eastAsia="Times New Roman" w:hAnsi="Times New Roman"/>
                <w:sz w:val="18"/>
                <w:szCs w:val="18"/>
                <w:color w:val="auto"/>
              </w:rPr>
              <w:t>Diluted loss per common share</w:t>
            </w: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shares excluded from diluted net loss per common share: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w:t>
            </w:r>
          </w:p>
        </w:tc>
        <w:tc>
          <w:tcPr>
            <w:tcW w:w="0" w:type="dxa"/>
            <w:vAlign w:val="bottom"/>
          </w:tcPr>
          <w:p>
            <w:pPr>
              <w:spacing w:after="0"/>
              <w:rPr>
                <w:sz w:val="1"/>
                <w:szCs w:val="1"/>
                <w:color w:val="auto"/>
              </w:rPr>
            </w:pPr>
          </w:p>
        </w:tc>
      </w:tr>
      <w:tr>
        <w:trPr>
          <w:trHeight w:val="234"/>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units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NexoBrid License and Supply Agreements</w:t>
      </w:r>
    </w:p>
    <w:p>
      <w:pPr>
        <w:spacing w:after="0" w:line="256" w:lineRule="exact"/>
        <w:rPr>
          <w:sz w:val="20"/>
          <w:szCs w:val="20"/>
          <w:color w:val="auto"/>
        </w:rPr>
      </w:pPr>
    </w:p>
    <w:p>
      <w:pPr>
        <w:ind w:right="40" w:firstLine="243"/>
        <w:spacing w:after="0" w:line="256" w:lineRule="auto"/>
        <w:rPr>
          <w:sz w:val="20"/>
          <w:szCs w:val="20"/>
          <w:color w:val="auto"/>
        </w:rPr>
      </w:pPr>
      <w:r>
        <w:rPr>
          <w:rFonts w:ascii="Times New Roman" w:cs="Times New Roman" w:eastAsia="Times New Roman" w:hAnsi="Times New Roman"/>
          <w:sz w:val="18"/>
          <w:szCs w:val="18"/>
          <w:color w:val="auto"/>
        </w:rPr>
        <w:t>On May 6, 2019, the Company entered into exclusive license and supply agreements with MediWound to commercialize NexoBrid in North America. The FDA subsequently approved a BLA for the product in December 2022. NexoBrid is a topically-administered biological orphan product, which contains proteolytic enzymes and is indicated for the removal of eschar in adults with deep partial-thickness and/or full thickness thermal burns. During the fourth quarter of 2023, the Company submitted a supplemental BLA to the FDA seeking to revise the labeled indications for NexoBrid to include pediatric patients, which the FDA subsequently accepted for filing and consideration. The Company expects the FDA to complete its review of this BLA supplement, and the expansion of the NexoBrid label to occur during the third quarter of 2024.</w:t>
      </w:r>
    </w:p>
    <w:p>
      <w:pPr>
        <w:spacing w:after="0" w:line="21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Pursuant to the terms of the license agreement, following the FDA approval of NexoBrid, MediWound transferred the BLA to Vericel effective February 20, 2023. Both MediWound and Vericel, under the supervision of a Central Steering Committee comprised of members of both companies will continue to guide the development of NexoBrid in North America (the “Central Steering Committee”). NexoBrid is approved in the European Union (“EU”) and other international markets and has been designated as an orphan biologic in the U.S., EU and other international markets.</w:t>
      </w:r>
    </w:p>
    <w:p>
      <w:pPr>
        <w:spacing w:after="0" w:line="20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May 2019, the Company paid MediWound $17.5 million in consideration for the license, which was recorded as research and development expense during 2019. The FDA’s December 2022 approval of NexoBrid resulted in the achievement of a $7.5 million regulatory milestone payment pursuant to the terms of the license agreement. The Company recorded the $7.5 million milestone for the licensing rights to commercially sell NexoBrid in the U.S. as an intangible asset as of December 31, 2022. The $7.5 million milestone payment was paid to MediWound in February of 2023.</w:t>
      </w:r>
    </w:p>
    <w:p>
      <w:pPr>
        <w:spacing w:after="0" w:line="207"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Additionally, the Company is obligated to pay MediWound up to $125.0 million, which is contingent upon meeting certain sales milestones. The first sales milestone payment of $7.5 million would be triggered when annual net sales of NexoBrid or improvements to NexoBrid in North America exceed $75.0 million. As of June 30, 2024, the sales milestone payments are not yet probable and therefore, not recorded as a liability. The Company also pays MediWound tiered royalties on net sales ranging from mid-high single-digit to mid-teen percentages, subject to customary reductions. Pursuant to the terms of the Company’s supply agreement with MediWound, MediWound is manufacturing and will continue to manufacture NexoBrid for the Company on a unit price basis, which may be increased pursuant to the terms of the supply agreement. MediWound is obligated to supply the Company with NexoBrid for sale in North America on an exclusive basis for the first five years of the term of the supply agreement. Under the supply agreement, the Company possesses the option to extend the initial term of the agreement by an additional 24 months, which it did in May 2022. After the initial term, the Company may extend the supply agreement on an annual basis for up to 10 additional years, at its sole discretion. Under the supply agreement, the Company is permitted to establish an alternate source of supply in certain circumstances, including the event of a supply failure.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Additionally, beginning in 2020, BARDA procured quantities of NexoBrid from MediWound for use as a medical countermeasure in the event of a mass casualty emergency in the U.S. involving thermal burns. The initial, quarterly, procurement of NexoBrid by BARDA under its agreement with MediWound completed during the third quarter of 2022. As a part of BARDA’s commitment to procure NexoBrid, the Company has received a percentage of gross profit for sales directly to BARDA. As of June 30, 2024, the Company did not hold a direct contract or distribution agreement with BARDA, or take title to the product procured by BARDA.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5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From time-to-time, the Company could be a party to various legal proceedings arising in the ordinary course of business. The costs and outcome of litigation, regulatory, investigatory or other proceedings cannot be predicted with certainty, and some lawsuits, claims, actions or proceedings may be disposed of unfavorably to the Company and could have a material adverse effect on the Company’s results of operations or financial condition. In addition, intellectual property disputes often have a risk of injunctive relief which, if imposed against the Company, could materially and adversely affect its financial condition or results of operations. If a matter is both probable to result in material liability and the amount of loss can be reasonably estimated, the Company estimates and discloses the possible material loss or range of loss. If such loss is not probable or cannot be reasonably estimated, a liability is not recorded in its condensed consolidated financial statements.</w:t>
      </w:r>
    </w:p>
    <w:p>
      <w:pPr>
        <w:spacing w:after="0" w:line="21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As of June 30, 2024, the Company had no material ongoing litigation in which the Company was a party or any material ongoing regulatory or other proceedings and had no knowledge of any investigations by government or regulatory authorities in which the Company is a target that could have a material adverse effect on its current business.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243"/>
        <w:spacing w:after="0" w:line="234" w:lineRule="auto"/>
        <w:rPr>
          <w:sz w:val="20"/>
          <w:szCs w:val="20"/>
          <w:color w:val="auto"/>
        </w:rPr>
      </w:pPr>
      <w:r>
        <w:rPr>
          <w:rFonts w:ascii="Times New Roman" w:cs="Times New Roman" w:eastAsia="Times New Roman" w:hAnsi="Times New Roman"/>
          <w:sz w:val="18"/>
          <w:szCs w:val="18"/>
          <w:color w:val="auto"/>
        </w:rPr>
        <w:t>Vericel Corporation is a fully-integrated, commercial-stage biopharmaceutical company and a leading provider of advanced therapies for the sports medicine and severe burn care markets. Whether we are treating damaged cartilage or severe burns, we provide advanced therapies to repair serious injuries and restore lives. Our highly differentiated portfolio of cell therapy and specialty biologic products combines innovations in biology with medical technologies. We were among the first companies to achieve commercial success in the complex field of cell therapies with treatments that use tissue engineering to regenerate skin and healthy knee cartilage. We currently market two U.S. Food and Drug Administration (“FDA”) approved autologous cell therapy products and one FDA-approved specialty biologic product in the U.S.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an autologous cellularized scaffold product indicated for the repair of symptomatic, single or multiple full-thickness cartilage defects of the knee with or without bone involvement in adults. 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permanent skin replacement Humanitarian Use Device (“HUD”) for the treatment of adult and pediatric patients with deep-dermal or full-thickness burns comprising greater than or equal to 30 percent of total body surface area (“TBSA”). We also hold an exclusive license from MediWound Ltd. (“MediWound”) for North American rights to NexoBrid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(anacaulase-bcdb), a topically-administered biological orphan product containing proteolytic enzymes, which is indicated for the removal of eschar in adults with deep partial-thickness and/or full-thickness thermal burns.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War in Israel and Gaza</w:t>
      </w:r>
    </w:p>
    <w:p>
      <w:pPr>
        <w:spacing w:after="0" w:line="243"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In May 2019, we entered into exclusive license and supply agreements with MediWound, under which MediWound manufactures and supplies NexoBrid to the U.S. market on a unit price basis. MediWound develops and manufactures NexoBrid, in part, at its facilities in Yavne, Israel.</w:t>
      </w:r>
    </w:p>
    <w:p>
      <w:pPr>
        <w:spacing w:after="0" w:line="18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We continue to monitor the ongoing conflict in Israel and other unrest in the Middle East and are in close communication with MediWound leadership. MediWound’s NexoBrid manufacturing operations are continuing and, as of the date of this disclosure, MediWound does not anticipate a material disruption to its ongoing supply of commercial NexoBrid to the United States. To the extent the war between Israel and Hamas intensifies or expands to include additional countries or militant groups in the region and MediWound’s facilities in Israel are damaged or destroyed, travel to and from Israel is halted or inhibited, or significant key MediWound operational personnel are called to military service, MediWound’s ability to continue to supply NexoBrid to the U.S. market could be disrupted.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56"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We have a cell manufacturing facility in Cambridge, Massachusetts, which is used for U.S. manufacturing and distribution of MACI and Epicel. The manufacturing process for NexoBrid is conducted by MediWound, primarily at manufacturing locations in Israel. Certain raw materials utilized in NexoBrid’s manufacture, including the supply of the active ingredient bromelain, are sourced from Taiwan.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Portfolio</w:t>
      </w:r>
    </w:p>
    <w:p>
      <w:pPr>
        <w:spacing w:after="0" w:line="25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Our marketed products include two FDA-approved autologous cell therapies and one FDA-approved specialty biologic product. MACI is a third-generation autologous cellularized scaffold product indicated for the repair of symptomatic, single or multiple full-thickness cartilage defects of the knee with or without bone involvement in adults; and Epicel is a permanent skin replacement for the treatment of adult and pediatric patients with deep-dermal or full-thickness burns comprising greater than or equal to 30 percent TBSA. Both autologous cell therapy products are currently manufactured and marketed in the U.S. NexoBrid is a topically-administered biological orphan product containing proteolytic enzymes that is indicated for eschar removal in adults with deep partial-thickness and/or full-thickness burns. We hold exclusive license and supply agreements with MediWound to commercialize NexoBrid in North America. In December 2022, the FDA approved a BLA for NexoBrid, granting a license for commercial use in the U.S. The Company operates its business primarily in the U.S. in one reportable segment — the research, product development, manufacture and distribution of cellular therapies and specialty biologics for use in the treatment of specific conditions.</w:t>
      </w:r>
    </w:p>
    <w:p>
      <w:pPr>
        <w:spacing w:after="0" w:line="2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MACI</w:t>
      </w:r>
    </w:p>
    <w:p>
      <w:pPr>
        <w:spacing w:after="0" w:line="25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MACI is a third-generation autologous chondrocyte implantation (“ACI”) product indicated for the repair of symptomatic, single or multiple full-thickness cartilage defects of the knee with or without bone involvement in adults.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Our target audiences are orthopedic surgeons who self-identify and/or have formal specialty training in sports medicine, and a subpopulation of general orthopedic surgeons who perform a high volume of cartilage repair procedures involving the knee. Our MACI commercial team consists of individual sales representatives that regularly engage with our target audience. The team is divided into geographic regions, each managed by a Regional Manager and led by a Senior Vice President of Sales. Most private payers have a medical policy that covers treatment with MACI with the top 30 largest commercial payers having a formal medical policy for MACI or ACI in general. With respect to private commercial payers that have not yet approved a medical policy for MACI, we often obtain approval on a case-by-case basis.</w:t>
      </w:r>
    </w:p>
    <w:p>
      <w:pPr>
        <w:spacing w:after="0" w:line="214"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MACI is currently implanted into the patient’s cartilage defect through an open surgical procedure. We are currently focused on the arthroscopic delivery of MACI to the cartilage defect – a procedure in which a surgeon can evaluate, prepare and treat the cartilage defect under direct arthroscopic visualization using specialized instruments delivered through a number of smaller incisions or portals. The arthroscopic delivery of MACI could increase the ease of MACI’s use for physicians and reduce both the length of the procedure as well as procedure-induced trauma, ultimately resulting in a reduction of a patient’s post-operative pain and accelerating a patient’s recovery. We have designed and are currently developing novel and specialized instruments to be used in and help facilitate such a procedure. We discussed with the FDA a non-clinical regulatory strategy to support the potential inclusion of arthroscopic delivery in MACI’s approved labeling. Following those discussions, we conducted a MACI arthroscopic delivery human factors validation study. The FDA is currently reviewing the data generated during the human factors validation study in the form of a prior approval supplement, which seeks to add instructions for arthroscopic delivery of MACI to the product’s approved labeling. We anticipate the commercial launch of the MACI arthroscopic delivery program during the third quarter of 2024.</w:t>
      </w:r>
    </w:p>
    <w:p>
      <w:pPr>
        <w:spacing w:after="0" w:line="22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also are evaluating the feasibility and potential market opportunity involved in delivering MACI treatment to patients suffering from cartilage damage in the ankle. We believe that this potential lifecycle enhancement and indication expansion for MACI will require conducting an additional randomized clinical trial concerning the product’s use in the ankle and we are on track to initiate a MACI Ankle clinical trial beginning in 2025. If approved, we believe MACI’s expansion into the ankle will be a significant longer-term growth driver for the product, beginning in the latter half of the decade.</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Epicel</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Epicel is a permanent skin replacement for deep-dermal or full-thickness burns comprising greater than or equal to 30 percent TBSA. Epicel is regulated by the Center for Biologics Evaluation and Research (“CBER”) of the FDA under medical device authorities, and is the only FDA-approved cultured epidermal autograft product available for large total surface area burns in both adult and pediatric patients. Epicel was designated as a HUD in 1998 and a Humanitarian Device Exemption (“HDE”) application for the product was submitted in 1999. HUDs are devices that are intended for diseases or conditions that affect fewer than 8,000 individuals annually in the U.S., and certain HUDs are restricted by the amount which a manufacturer may charge for its use.</w:t>
      </w:r>
    </w:p>
    <w:p>
      <w:pPr>
        <w:spacing w:after="0" w:line="21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Epicel is not price-restricted in this manner because on February 18, 2016, the FDA approved our HDE supplement to revise the labeled indications of use for Epicel to specifically include pediatric patients, thus allowing Epicel to be sold for profit. The revised product label also now specifies that the probable benefit of Epicel, mainly related to survival, was demonstrated in two Epicel clinical experience databases and a physician-sponsored study comparing outcomes in patients with large burns treated with Epicel relative to standard care.</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NexoBrid</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Our portfolio of commercial-stage products also includes NexoBrid (anacaulase-bcdb), a topically-administered biological orphan product containing proteolytic enzymes. The FDA approved NexoBrid in December 2022, and the product is indicated for the removal of eschar in adults with deep partial-thickness and/or full-thickness thermal burns. During the fourth quarter of 2023, we submitted a supplemental BLA to the FDA seeking to revise the labeled indications for NexoBrid to include pediatric patients, which the FDA subsequently accepted for filing and consideration. We expect the FDA to complete its review of this BLA supplement, and for the expansion of the NexoBrid label to occur during the third quarter of 2024.</w:t>
      </w:r>
    </w:p>
    <w:p>
      <w:pPr>
        <w:spacing w:after="0" w:line="210" w:lineRule="exact"/>
        <w:rPr>
          <w:sz w:val="20"/>
          <w:szCs w:val="20"/>
          <w:color w:val="auto"/>
        </w:rPr>
      </w:pPr>
    </w:p>
    <w:p>
      <w:pPr>
        <w:ind w:right="20" w:firstLine="243"/>
        <w:spacing w:after="0" w:line="258" w:lineRule="auto"/>
        <w:rPr>
          <w:sz w:val="20"/>
          <w:szCs w:val="20"/>
          <w:color w:val="auto"/>
        </w:rPr>
      </w:pPr>
      <w:r>
        <w:rPr>
          <w:rFonts w:ascii="Times New Roman" w:cs="Times New Roman" w:eastAsia="Times New Roman" w:hAnsi="Times New Roman"/>
          <w:sz w:val="18"/>
          <w:szCs w:val="18"/>
          <w:color w:val="auto"/>
        </w:rPr>
        <w:t>NexoBrid is approved in the European Union (“EU”) and other international markets and has been designated as an orphan biologic in the U.S., EU and other international markets. NexoBrid has the potential to change the standard of care for eschar removal with respect to hospitalized burn patients and treat a significant addressable market in the U.S. With respect to NexoBrid, of the approximately 40,000 people that are hospitalized in the U.S. each year for burn-related injuries, the majority, over 30,000, have thermal burns and will likely require some level of eschar removal. NexoBrid’s FDA approval expands our burn care franchise’s total addressable market, which will permit us to treat a significantly larger segment of hospitalized burn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patients than with Epicel alone. The expansion of our target addressable market supports a broader commercial footprint, and we believe that this may help drive both increased NexoBrid use as well as increased Epicel awareness throughout the burn care space. Both our Epicel and NexoBrid products are serviced by our burn care field force, which consists of individual sales and clinical representatives that regularly engage with our target audience. The team is divided into geographical regions, each managed by a Regional Manager and led by a Vice President of National Burn Care Sales.</w:t>
      </w:r>
    </w:p>
    <w:p>
      <w:pPr>
        <w:spacing w:after="0" w:line="20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May 2019, we entered into exclusive license and supply agreements with MediWound to commercialize NexoBrid in North America. The manufacturing process for NexoBrid is conducted by MediWound, primarily at manufacturing locations in Israel. Certain raw materials utilized in NexoBrid’s manufacture, including the supply of the active ingredient bromelain are sourced from Taiwan.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is a summary of our condensed consolidated results of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2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0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4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9"/>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103,943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86,939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17,004</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31,988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9,535</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6,730</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83,450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70,599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12,851</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(14,138)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other income</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43.4 %</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81.8 %</w:t>
            </w:r>
          </w:p>
        </w:tc>
        <w:tc>
          <w:tcPr>
            <w:tcW w:w="0" w:type="dxa"/>
            <w:vAlign w:val="bottom"/>
          </w:tcPr>
          <w:p>
            <w:pPr>
              <w:spacing w:after="0"/>
              <w:rPr>
                <w:sz w:val="1"/>
                <w:szCs w:val="1"/>
                <w:color w:val="auto"/>
              </w:rPr>
            </w:pPr>
          </w:p>
        </w:tc>
      </w:tr>
      <w:tr>
        <w:trPr>
          <w:trHeight w:val="248"/>
        </w:trPr>
        <w:tc>
          <w:tcPr>
            <w:tcW w:w="2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(12,515)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Periods Ended June 30, 2024 and 2023</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Revenue by product is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00" w:type="dxa"/>
            <w:vAlign w:val="bottom"/>
            <w:gridSpan w:val="2"/>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4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9"/>
        </w:trPr>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MACI</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7,799</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70,526</w:t>
            </w:r>
          </w:p>
        </w:tc>
        <w:tc>
          <w:tcPr>
            <w:tcW w:w="3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13,790</w:t>
            </w:r>
          </w:p>
        </w:tc>
        <w:tc>
          <w:tcPr>
            <w:tcW w:w="1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0" w:type="dxa"/>
            <w:vAlign w:val="bottom"/>
          </w:tcPr>
          <w:p>
            <w:pPr>
              <w:spacing w:after="0"/>
              <w:rPr>
                <w:sz w:val="1"/>
                <w:szCs w:val="1"/>
                <w:color w:val="auto"/>
              </w:rPr>
            </w:pPr>
          </w:p>
        </w:tc>
      </w:tr>
      <w:tr>
        <w:trPr>
          <w:trHeight w:val="230"/>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Epicel</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16,413</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30"/>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NexoBrid</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52,662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45,922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103,943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86,939</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17,004</w:t>
            </w:r>
          </w:p>
        </w:tc>
        <w:tc>
          <w:tcPr>
            <w:tcW w:w="1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Total revenue increase for the three months ended June 30, 2024, compared to the same period in 2023, was driven primarily by MACI volume and price growth and the commercial availability of NexoBrid, which more than offset lower Epicel volume.</w:t>
      </w:r>
    </w:p>
    <w:p>
      <w:pPr>
        <w:spacing w:after="0" w:line="189"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Total revenue increase for the six months ended June 30, 2024, compared to the same period in 2023, was driven primarily by MACI volume and price growth, Epicel volume growth and the commercial availability of NexoBrid.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25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As a result of the uncertainty and other impacts caused by the COVID-19 pandemic and the resulting shifts of timing in some revenue, our historically observable seasonality of MACI revenues has been partially impacted. At this juncture, the pandemic’s effects on our business and results of operations have largely moderated, although there continues to be a level of uncertainty whether MACI seasonality will completely return to pre-pandemic patterns. In the last five years through 2023, MACI sales volumes from the first through the fourth quarter on average represented 20% (18%-22% range), 22% (16%-24%</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range), 23% (21%-26% range) and 35% (33%-38% range) respectively, of total annual volumes. Historically, MACI orders are normally stronger in the fourth quarter due to several factors including the satisfaction by patients of insurance deductible limits and the time of year patients prefer to start rehabilitation. Due to the low incidence and variable occurrence of severe burns, Epicel revenue has inherent variability from quarter-to-quarter and does not exhibit significant seasonality. We are currently unable to predict the level to which seasonality will impact NexoBrid revenue due to only beginning U.S. commercial sales in the third quarter of 2023.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5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Gross profit increase for the three months ended June 30, 2024, compared to the same period in 2023, was driven by revenue growth from MACI and NexoBrid, combined with our fixed manufacturing cost structure which consists mainly of labor and facility costs.</w:t>
      </w:r>
    </w:p>
    <w:p>
      <w:pPr>
        <w:spacing w:after="0" w:line="18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Gross profit increase for the six months ended June 30, 2024, compared to the same period in 2023, was driven by revenue growth from MACI, Epicel and NexoBrid, combined with our fixed manufacturing cost structure which consists mainly of labor and facility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54"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research and development expenses, which include materials, professional fees and an allocation of employee-related salary and fringe benefit costs for our research and development projects:</w:t>
      </w:r>
    </w:p>
    <w:p>
      <w:pPr>
        <w:spacing w:after="0" w:line="223"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20" w:type="dxa"/>
            <w:vAlign w:val="bottom"/>
            <w:gridSpan w:val="2"/>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4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4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9"/>
        </w:trPr>
        <w:tc>
          <w:tcPr>
            <w:tcW w:w="2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MACI</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67.4 %</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61.0 %</w:t>
            </w:r>
          </w:p>
        </w:tc>
        <w:tc>
          <w:tcPr>
            <w:tcW w:w="0" w:type="dxa"/>
            <w:vAlign w:val="bottom"/>
          </w:tcPr>
          <w:p>
            <w:pPr>
              <w:spacing w:after="0"/>
              <w:rPr>
                <w:sz w:val="1"/>
                <w:szCs w:val="1"/>
                <w:color w:val="auto"/>
              </w:rPr>
            </w:pPr>
          </w:p>
        </w:tc>
      </w:tr>
      <w:tr>
        <w:trPr>
          <w:trHeight w:val="229"/>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Epicel</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30"/>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NexoBrid</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8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155"/>
        </w:trPr>
        <w:tc>
          <w:tcPr>
            <w:tcW w:w="272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8"/>
                <w:szCs w:val="18"/>
                <w:color w:val="auto"/>
              </w:rPr>
              <w:t>Total research and development</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10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8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160" w:type="dxa"/>
            <w:vAlign w:val="bottom"/>
          </w:tcPr>
          <w:p>
            <w:pPr>
              <w:spacing w:after="0"/>
              <w:rPr>
                <w:sz w:val="13"/>
                <w:szCs w:val="13"/>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13,781</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10,465</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8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0" w:type="dxa"/>
            <w:vAlign w:val="bottom"/>
          </w:tcPr>
          <w:p>
            <w:pPr>
              <w:spacing w:after="0"/>
              <w:rPr>
                <w:sz w:val="1"/>
                <w:szCs w:val="1"/>
                <w:color w:val="auto"/>
              </w:rPr>
            </w:pPr>
          </w:p>
        </w:tc>
      </w:tr>
      <w:tr>
        <w:trPr>
          <w:trHeight w:val="221"/>
        </w:trPr>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for the three and six months ended June 30, 2024, compared to the same period in 2023. The increase is primarily due to higher headcount and employee expenses, as well as increased MACI arthroscopic development program costs in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5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June 30, 2024 were $35.3 million, compared to $30.6 million for the same period in 2023. The increase in selling, general and administrative expenses was primarily due to higher headcount and employee expenses, including stock compensation, an increase in marketing events, and the lease expense associated with the Burlington Lease.</w:t>
      </w:r>
    </w:p>
    <w:p>
      <w:pPr>
        <w:spacing w:after="0" w:line="203"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six months ended June 30, 2024 were $69.7 million, compared to $60.1 million for the same period in 2023. The increase in selling, general and administrative expenses was primarily due to higher headcount and employee expenses, including stock compensation, an increase in marketing events, and the lease expense associated with the Burlington Lease.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w:t>
      </w:r>
    </w:p>
    <w:p>
      <w:pPr>
        <w:spacing w:after="0" w:line="254"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increase in other income for the three and six months ended June 30, 2024, compared to the same periods in 2023 was due to an increase in interest income primarily due to fluctuations in the rates of return on our investments in various marketable debt securities and money market funds.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Non-cash stock-based compensation expense is summarized in the following table:</w:t>
      </w:r>
    </w:p>
    <w:p>
      <w:pPr>
        <w:spacing w:after="0" w:line="286"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00" w:type="dxa"/>
            <w:vAlign w:val="bottom"/>
            <w:gridSpan w:val="2"/>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2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2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9"/>
        </w:trPr>
        <w:tc>
          <w:tcPr>
            <w:tcW w:w="2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0" w:type="dxa"/>
            <w:vAlign w:val="bottom"/>
          </w:tcPr>
          <w:p>
            <w:pPr>
              <w:spacing w:after="0"/>
              <w:rPr>
                <w:sz w:val="1"/>
                <w:szCs w:val="1"/>
                <w:color w:val="auto"/>
              </w:rPr>
            </w:pPr>
          </w:p>
        </w:tc>
      </w:tr>
      <w:tr>
        <w:trPr>
          <w:trHeight w:val="229"/>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(28)</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230"/>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155"/>
        </w:trPr>
        <w:tc>
          <w:tcPr>
            <w:tcW w:w="280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8"/>
                <w:szCs w:val="18"/>
                <w:color w:val="auto"/>
              </w:rPr>
              <w:t>Total non-cash stock-based</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9,520</w:t>
            </w:r>
          </w:p>
        </w:tc>
        <w:tc>
          <w:tcPr>
            <w:tcW w:w="120" w:type="dxa"/>
            <w:vAlign w:val="bottom"/>
          </w:tcPr>
          <w:p>
            <w:pPr>
              <w:spacing w:after="0"/>
              <w:rPr>
                <w:sz w:val="13"/>
                <w:szCs w:val="13"/>
                <w:color w:val="auto"/>
              </w:rPr>
            </w:pPr>
          </w:p>
        </w:tc>
        <w:tc>
          <w:tcPr>
            <w:tcW w:w="200" w:type="dxa"/>
            <w:vAlign w:val="bottom"/>
            <w:vMerge w:val="restart"/>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8,761</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tcPr>
          <w:p>
            <w:pPr>
              <w:spacing w:after="0"/>
              <w:rPr>
                <w:sz w:val="13"/>
                <w:szCs w:val="13"/>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19,354</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17,492</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221"/>
        </w:trPr>
        <w:tc>
          <w:tcPr>
            <w:tcW w:w="2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compensation expense</w:t>
            </w:r>
          </w:p>
        </w:tc>
        <w:tc>
          <w:tcPr>
            <w:tcW w:w="20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The increase in stock-based compensation expense for the three and six months ended June 30, 2024, compared to the same periods in 2023, was due primarily to fluctuations in stock prices and the mix of service-based options and restricted stock units, which impacts the fair value of the options and restricted stock units awarded and the expense recognized in the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600" w:type="dxa"/>
            <w:vAlign w:val="bottom"/>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80" w:type="dxa"/>
            <w:vAlign w:val="bottom"/>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25,737</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18,056</w:t>
            </w:r>
          </w:p>
        </w:tc>
        <w:tc>
          <w:tcPr>
            <w:tcW w:w="0" w:type="dxa"/>
            <w:vAlign w:val="bottom"/>
          </w:tcPr>
          <w:p>
            <w:pPr>
              <w:spacing w:after="0"/>
              <w:rPr>
                <w:sz w:val="1"/>
                <w:szCs w:val="1"/>
                <w:color w:val="auto"/>
              </w:rPr>
            </w:pPr>
          </w:p>
        </w:tc>
      </w:tr>
      <w:tr>
        <w:trPr>
          <w:trHeight w:val="23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5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(43,171)</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0" w:type="dxa"/>
            <w:vAlign w:val="bottom"/>
          </w:tcPr>
          <w:p>
            <w:pPr>
              <w:spacing w:after="0"/>
              <w:rPr>
                <w:sz w:val="1"/>
                <w:szCs w:val="1"/>
                <w:color w:val="auto"/>
              </w:rPr>
            </w:pPr>
          </w:p>
        </w:tc>
      </w:tr>
      <w:tr>
        <w:trPr>
          <w:trHeight w:val="223"/>
        </w:trPr>
        <w:tc>
          <w:tcPr>
            <w:tcW w:w="6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(11,012)</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19,750</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5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Our cash, cash equivalents and restricted cash totaled $75.9 million, short-term investments totaled $52.2 million and long-term investments totaled $26.1 million as of June 30, 2024. The $25.7 million of cash provided by operations during the six months ended June 30, 2024 was primarily the result of non-cash charges of $19.4 million related to stock-based compensation expense, $3.5 million of operating lease amortization and $2.7 million in depreciation and amortization expense, offset by a net loss of $8.5 million and a net increase of $8.9 million related to movements in our working capital accounts. The overall increase in cash from our working capital accounts was primarily driven by a decrease in accounts receivable due to cash collections and receipts of tenant improvement allowances which exceeded payments on operating leases amortization, offset by a decrease in accrued expenses due to timing of payments and an increase in inventory primarily related to supporting NexoBrid commercial availability.</w:t>
      </w:r>
    </w:p>
    <w:p>
      <w:pPr>
        <w:spacing w:after="0" w:line="21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Our cash, cash equivalents and restricted cash totaled $70.8 million, short-term investments totaled $54.8 million and long-term investments totaled $21.0 million as of June 30, 2023. The $18.1 million of cash provided by operations during the six months ended June 30, 2023 was primarily the result of non-cash charges of $17.5 million related to stock-based compensation expense, $2.5 million of operating lease amortization and $2.3 million in depreciation and amortization expense, offset by a net loss of $12.5 million and a net increase of $8.7 million related to movements in our working capital accounts. The overall increase in cash from our working capital accounts was primarily driven by a decrease in accounts receivable due to cash collections and receipts of tenant improvement allowances, offset by a decrease in accrued expenses due to timing of payments.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Provided By Investing Activities</w:t>
      </w:r>
    </w:p>
    <w:p>
      <w:pPr>
        <w:spacing w:after="0" w:line="25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six months ended June 30, 2024 was the result of $35.7 million in investment purchases and $30.8 million of property and equipment purchases primarily for construction in process related to the Burlington Lease, offset by $23.3 million of investment sales and maturities.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during the six months ended June 30, 2023 was the result of $42.0 million of investment sales and maturities, offset by $28.5 million in investment purchases, a $7.5 million regulatory milestone payment to MediWound resulting from the FDA’s approval of the NexoBrid BLA, and $5.6 million of property and equipment purchases primarily for manufacturing upgrades and construction in process related to the Burlington Lease.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54" w:lineRule="exact"/>
        <w:rPr>
          <w:sz w:val="20"/>
          <w:szCs w:val="20"/>
          <w:color w:val="auto"/>
        </w:rPr>
      </w:pPr>
    </w:p>
    <w:p>
      <w:pPr>
        <w:jc w:val="both"/>
        <w:ind w:right="240" w:firstLine="243"/>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six months ended June 30, 2024 was the result of net proceeds from the exercise of stock options and the employee stock purchase plan of $11.5 million, partially offset by the payment of employee withholding taxes related to the vesting of restricted stock units of $5.0 million.</w:t>
      </w:r>
    </w:p>
    <w:p>
      <w:pPr>
        <w:spacing w:after="0" w:line="20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six months ended June 30, 2023 was the result of net proceeds from the exercise of stock options and purchases under the employee stock purchase plan of $3.5 million, partially offset by the payment of employee withholding taxes related to the vesting of restricted stock units of $2.2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Since our acquisition of MACI and Epicel in 2014, our primary focus has been to invest in our existing commercial business with the goal of growing revenue. We have raised significant funds in order to advance and complete our product development and product life-cycle management programs and to market and commercialize our products, including NexoBrid. To date, we have financed our operations primarily through cash received through MACI, Epicel and NexoBrid sales, debt, and public and private sales of our equity securities. In the future, we may finance our operations through the sales of equity securities, revolver borrowings or other debt financings, in addition to cash generated from operations.</w:t>
      </w:r>
    </w:p>
    <w:p>
      <w:pPr>
        <w:spacing w:after="0" w:line="210"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We believe that our current cash on hand, cash equivalents, investments, and available borrowing capacity will be sufficient to support our current operations through at least 12 months from the issuance of the condensed consolidated financial statements included in this report. Our actual cash requirements may differ from projections and will depend on many factors, including the level and pace of future research and development efforts, the scope and results of ongoing and potential clinical trials, the costs involved in filing, prosecuting and enforcing patents, the need for additional manufacturing capacity, competing technological and market developments, global macroeconomic conditions, costs associated with possible acquisitions or development of complementary business activities, and the cost to market our products.</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June 30, 2024, we were not party to any off-balance sheet arrangements.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Capital</w:t>
      </w:r>
    </w:p>
    <w:p>
      <w:pPr>
        <w:spacing w:after="0" w:line="25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On August 27, 2021, we entered into a Sales Agreement with Leerink Partners (f/k/a SVB Leerink LLC), as sales agent (the “Sales Agreement”), pursuant to which we may offer and sell up to $200.0 million of shares of our common stock, no par value per share (“ATM Shares”). The ATM Shares to be offered and sold under the Sales Agreement will be issued and sold pursuant to an automatically effective shelf registration statement on Form S-3ASR (File No. 333-259119) filed by us on August 27, 2021, which expires August 24, 2024. We also filed a prospectus supplement relating to the offering and sale of the ATM Shares on August 27, 2021. We are not obligated to make any sales of ATM Shares, and Leerink Partners is not required to sell any specific number or dollar amount of the ATM Shares under the Sales Agreement. As of June 30, 2024, we have sold no shares pursuant to the Sales Agreement.</w:t>
      </w:r>
    </w:p>
    <w:p>
      <w:pPr>
        <w:spacing w:after="0" w:line="21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222222"/>
        </w:rPr>
        <w:t xml:space="preserve">On July 29, 2022, we entered into a $150.0 million five-year senior secured revolving credit agreement by and among the Company, the other loan parties thereto, the lenders party thereto, and JPMorgan Chase Bank, N.A., as the administrative agent (the “Revolving Credit Agreement”). We have no immediate plans to borrow under the Revolving Credit Agreement, but we may use the facility for working capital needs and other general corporate purposes. </w:t>
      </w:r>
      <w:r>
        <w:rPr>
          <w:rFonts w:ascii="Times New Roman" w:cs="Times New Roman" w:eastAsia="Times New Roman" w:hAnsi="Times New Roman"/>
          <w:sz w:val="18"/>
          <w:szCs w:val="18"/>
          <w:color w:val="000000"/>
        </w:rPr>
        <w:t>As of June 30, 2024,</w:t>
      </w:r>
      <w:r>
        <w:rPr>
          <w:rFonts w:ascii="Times New Roman" w:cs="Times New Roman" w:eastAsia="Times New Roman" w:hAnsi="Times New Roman"/>
          <w:sz w:val="18"/>
          <w:szCs w:val="18"/>
          <w:color w:val="222222"/>
        </w:rPr>
        <w:t xml:space="preserve"> there are no outstanding borrowings under the Revolving Credit Agreement, and we are in compliance with all applicable covenant requirements. See Note 8, “Revolving Credit Agreement” in the accompanying condensed consolidated financial statements for further details.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43" w:lineRule="exact"/>
        <w:rPr>
          <w:sz w:val="20"/>
          <w:szCs w:val="20"/>
          <w:color w:val="auto"/>
        </w:rPr>
      </w:pPr>
    </w:p>
    <w:p>
      <w:pPr>
        <w:jc w:val="both"/>
        <w:ind w:firstLine="243"/>
        <w:spacing w:after="0" w:line="245" w:lineRule="auto"/>
        <w:rPr>
          <w:sz w:val="20"/>
          <w:szCs w:val="20"/>
          <w:color w:val="auto"/>
        </w:rPr>
      </w:pPr>
      <w:r>
        <w:rPr>
          <w:rFonts w:ascii="Times New Roman" w:cs="Times New Roman" w:eastAsia="Times New Roman" w:hAnsi="Times New Roman"/>
          <w:sz w:val="18"/>
          <w:szCs w:val="18"/>
          <w:color w:val="auto"/>
        </w:rPr>
        <w:t>The disclosure of our contractual obligations and commitments is set forth in the heading “Management’s Discussion and Analysis of Financial Conditions and Results of Operations - Contractual Obligations” in our Annual Report on Form 10-K for the year ended December 31, 2023. In connection with the Burlington Lease, the Company funded the remaining 50% of its required cost amount, or approximately $28.3 million, with cash on hand, pursuant to the Construction Escrow Agreement in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April 2024. There have been no other material changes, outside of the ordinary course of business, to our contractual obligations and commitments since December 31,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condensed consolidated financial statements, which have been prepared in accordance with U.S. GAAP. The preparation of these condensed consolidated financial statements requires us to make estimates and judgments that affect our reported assets, liabilities, revenues, expenses, and related disclosures. Actual results may differ materially from these estimates under different assumptions and conditions.</w:t>
      </w:r>
    </w:p>
    <w:p>
      <w:pPr>
        <w:spacing w:after="0" w:line="207"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in the six months ended June 30, 2024. For further information, refer to our summary of significant accounting policies and estimates in our Annual Report on Form 10-K filed for the year ended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jc w:val="both"/>
        <w:ind w:firstLine="243"/>
        <w:spacing w:after="0" w:line="245" w:lineRule="auto"/>
        <w:rPr>
          <w:sz w:val="20"/>
          <w:szCs w:val="20"/>
          <w:color w:val="auto"/>
        </w:rPr>
      </w:pPr>
      <w:r>
        <w:rPr>
          <w:rFonts w:ascii="Times New Roman" w:cs="Times New Roman" w:eastAsia="Times New Roman" w:hAnsi="Times New Roman"/>
          <w:sz w:val="18"/>
          <w:szCs w:val="18"/>
          <w:color w:val="auto"/>
        </w:rPr>
        <w:t>This report, including the documents incorporated by reference herein, contains certain statements that describe our management’s beliefs concerning future business conditions, plans and prospects, growth opportunities and the outlook for our business based upon information currently available. Such statements are “forward-looking” statements within the meaning of the Private Securities Litigation Reform Act of 1995, Section 27A of the Securities Act of 1933, as amended, and Section 21E of the Securities Exchange Act of 1934, as amended (“Exchange Act”). Wherever possible, we have identified these forward-looking statements by words such as “will,” “may,” “anticipates,” “believes,” “intends,” “estimates,” “expects,” “plans,” “projects,” “trends,” “opportunity,” “current,” “intention,” “position,” “assume,” “potential,” “outlook,” “remain,” “continue,” “maintain,” “sustain,” “seek,” “target,” “achieve,” “continuing,” “ongoing,” and similar words or phrases, or future or conditional verbs such as “would,” “should,” “could,” “may,” or similar expressions. Among the factors that could cause actual results to differ materially from those set forth in the forward-looking statements include, but are not limited to, uncertainties associated with our expectations regarding future revenue, growth in revenue, market penetration for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NexoBrid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growth in profit, gross margins and operating margins, the ability to continue to scale our manufacturing operations to meet the demand for our cell therapy products, including the timely completion of a new headquarters and manufacturing facility in Burlington, Massachusetts, the ability to achieve or sustain profitability, contributions to adjusted EBITDA, the expected target surgeon audience, potential fluctuations in sales and volumes and our results of operations over the course of the year, timing and conduct of clinical trial and product development activities, timing and likelihood of the FDA’s potential approval of the arthroscopic delivery of MACI to the knee or the use of MACI to treat cartilage defects in the ankle, the estimate of the commercial growth potential of our products and product candidates, competitive developments, changes in third-party coverage and reimbursement, physician and burn center adoption of NexoBrid, supply chain disruptions or other events or factors affecting MediWound’s ability to manufacture and supply sufficient quantities of NexoBrid to meet customer demand, including but not limited to the ongoing Israel-Hamas war and other military conflicts in the Middle East, negative impacts on the global economy and capital markets resulting from the conflict in Ukraine, the Israel-Hamas war and other unrest in the Middle East, adverse developments affecting financial institutions, companies in the financial services industry or the financial services industry generally, global geopolitical tensions or record inflation and potential future impacts on our business or the economy generally stemming from a resurgence of COVID-19 or another similar public health emergency. These forward-looking statements are based upon assumptions our management believes are reasonable. Such forward-looking statements are subject to risks and uncertainties, which could cause our actual results, performance and achievements to differ materially from those expressed in, or implied by, these statements, including, among others, the risks and uncertainties listed in our Annual Report on Form 10-K under “Part I, Item 1A Risk Factors.”</w:t>
      </w:r>
    </w:p>
    <w:p>
      <w:pPr>
        <w:spacing w:after="0" w:line="23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Because our forward-looking statements are based on estimates and assumptions that are subject to significant business, economic and competitive uncertainties, many of which are beyond our control or are subject to change, actual results could be materially different and any or all of our forward-looking statements may turn out to be wrong. Forward-looking statements speak only as of the date made and can be affected by assumptions we might make or by known or unknown risks and uncertainties. Many factors mentioned in our discussion in our Annual Report on Form 10-K will be important in determining future results. New factors emerge from time to time, and it is not possible for us to predict which factors will arise. Consequently, we cannot assure you that our expectations or forecasts expressed in such forward-looking statements will be achieved. Except as required by law, we undertake no obligation to publicly update any of our forward-looking or other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see Part II, Item 7A. “Quantitative and Qualitative Disclosures About Market Risk,” of our Annual Report on Form 10-K for the year ended December 31, 2023. Our exposures to market risk have not changed materially since December 31,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Management of the Company, with the participation of its Chief Executive Officer and Chief Financial Officer (its Certifying Officers), evaluated the effectiveness of the Company’s disclosure controls and procedures as defined in Rules 13a-15(e) and 15d-15(e) under the Exchange Act. Based on the evaluation as of June 30, 2024, the Company’s Certifying Officers concluded that the Company’s disclosure controls and procedures were effective.</w:t>
      </w:r>
    </w:p>
    <w:p>
      <w:pPr>
        <w:spacing w:after="0" w:line="20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has established disclosure controls and procedures designed to ensure that information required to be disclosed by the Company in the reports that it files or submits under the Exchange Act, is recorded, processed, summarized and reported within the time periods specified in the U.S. Securities and Exchange Commission’s rules and forms, and that such information is accumulated and communicated to management of the Company, with the participation of its Certifying Officers, as appropriate, to allow timely decisions regarding required disclosure.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2024, there were no material changes made in our internal control over financial reporting (as such term is defined in Rules 13a-15(f) and 15d-15(f) of the Exchange 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are currently not party to any material legal proceedings, although from time to time we may become involved in disputes in connection with the operation of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Factors that could cause the Company’s actual results to differ materially from those in this Quarterly Report are any of the risks described in our Annual Report on Form 10-K for the fiscal year ended December 31, 2023, filed with the SEC on February 29, 2024. Any of these factors could result in a significant or material adverse effect on our results of operations or financial condition. Additional risk factors not presently known to us or that we currently deem immaterial may also impair our business or results of operations. As of the date of this Quarterly Report on Form 10-Q, there have been no material changes to the risk factors disclosed in our Annual Report on Form 10-K for the fiscal year ended December 31,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56" w:lineRule="exact"/>
        <w:rPr>
          <w:sz w:val="20"/>
          <w:szCs w:val="20"/>
          <w:color w:val="auto"/>
        </w:rPr>
      </w:pPr>
    </w:p>
    <w:p>
      <w:pPr>
        <w:ind w:right="20" w:firstLine="243"/>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2024, the following Section 16 officers and directors adopted, modified or terminated a “Rule 10b5-1 trading arrangement” (as defined in Item 408 of Regulation S-K of the Exchange Act):</w:t>
      </w:r>
    </w:p>
    <w:p>
      <w:pPr>
        <w:spacing w:after="0" w:line="189" w:lineRule="exact"/>
        <w:rPr>
          <w:sz w:val="20"/>
          <w:szCs w:val="20"/>
          <w:color w:val="auto"/>
        </w:rPr>
      </w:pPr>
    </w:p>
    <w:p>
      <w:pPr>
        <w:ind w:left="660" w:hanging="85"/>
        <w:spacing w:after="0" w:line="282" w:lineRule="auto"/>
        <w:tabs>
          <w:tab w:leader="none" w:pos="7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28, 2024, Jonathan Hopper, Vericel Corporation’s Chief Medical Officer, entered into a Rule 10b5-1 trading arrangement providing for the potential sale of up to 40,000 shares of our common stock between September 3, 2024 and August 29, 2025.</w:t>
      </w:r>
    </w:p>
    <w:p>
      <w:pPr>
        <w:spacing w:after="0" w:line="188" w:lineRule="exact"/>
        <w:rPr>
          <w:rFonts w:ascii="Times New Roman" w:cs="Times New Roman" w:eastAsia="Times New Roman" w:hAnsi="Times New Roman"/>
          <w:sz w:val="18"/>
          <w:szCs w:val="18"/>
          <w:color w:val="auto"/>
        </w:rPr>
      </w:pPr>
    </w:p>
    <w:p>
      <w:pPr>
        <w:ind w:left="660" w:hanging="85"/>
        <w:spacing w:after="0" w:line="282" w:lineRule="auto"/>
        <w:tabs>
          <w:tab w:leader="none" w:pos="72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30, 2024, Steven Gilman, a member of the Vericel Corporation Board of Directors, entered into a Rule 10b5-1 trading arrangement providing for the potential sale of up to 22,500 shares of our common stock between September 4, 2024, and April 30, 2025.</w:t>
      </w:r>
    </w:p>
    <w:p>
      <w:pPr>
        <w:spacing w:after="0" w:line="18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There were no “non-Rule 10b5-1 trading arrangements” (as defined in Item 408 of Regulation S-K of the Exchange Act) adopted, modified or terminated during the three months ended June 30, 2024 by our directors and section 16 officers. Each of the Rule 10b5-1 trading arrangements are in accordance with our Statement of Company Policy on Insider Trading and Disclosure and actual sale transactions made pursuant to such trading arrangements will be disclosed publicly in Section 16 filings with the SEC in accordance with applicable securities laws, rules and regulations.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Exhibits listed in the Exhibit Index are filed as a part of this Quarterly Report on Form 10-Q.</w:t>
      </w:r>
    </w:p>
    <w:p>
      <w:pPr>
        <w:spacing w:after="0" w:line="2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9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700" w:type="dxa"/>
            <w:vAlign w:val="bottom"/>
            <w:gridSpan w:val="20"/>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120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40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700" w:type="dxa"/>
            <w:vAlign w:val="bottom"/>
            <w:gridSpan w:val="20"/>
            <w:vMerge w:val="continue"/>
          </w:tcPr>
          <w:p>
            <w:pPr>
              <w:spacing w:after="0"/>
              <w:rPr>
                <w:sz w:val="16"/>
                <w:szCs w:val="16"/>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5"/>
        </w:trPr>
        <w:tc>
          <w:tcPr>
            <w:tcW w:w="12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December 17,</w:t>
            </w:r>
          </w:p>
        </w:tc>
        <w:tc>
          <w:tcPr>
            <w:tcW w:w="0" w:type="dxa"/>
            <w:vAlign w:val="bottom"/>
          </w:tcPr>
          <w:p>
            <w:pPr>
              <w:spacing w:after="0"/>
              <w:rPr>
                <w:sz w:val="1"/>
                <w:szCs w:val="1"/>
                <w:color w:val="auto"/>
              </w:rPr>
            </w:pPr>
          </w:p>
        </w:tc>
      </w:tr>
      <w:tr>
        <w:trPr>
          <w:trHeight w:val="223"/>
        </w:trPr>
        <w:tc>
          <w:tcPr>
            <w:tcW w:w="12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Borders>
              <w:right w:val="single" w:sz="8" w:color="CCEEFF"/>
            </w:tcBorders>
            <w:shd w:val="clear" w:color="auto" w:fill="CCEEFF"/>
          </w:tcPr>
          <w:p>
            <w:pPr>
              <w:spacing w:after="0"/>
              <w:rPr>
                <w:sz w:val="19"/>
                <w:szCs w:val="19"/>
                <w:color w:val="auto"/>
              </w:rPr>
            </w:pPr>
          </w:p>
        </w:tc>
        <w:tc>
          <w:tcPr>
            <w:tcW w:w="4620" w:type="dxa"/>
            <w:vAlign w:val="bottom"/>
            <w:gridSpan w:val="22"/>
            <w:shd w:val="clear" w:color="auto" w:fill="CCEEFF"/>
          </w:tcPr>
          <w:p>
            <w:pPr>
              <w:spacing w:after="0" w:line="202"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Restated Articles of Incorporation of the Company.</w:t>
              </w:r>
            </w:hyperlink>
          </w:p>
        </w:tc>
        <w:tc>
          <w:tcPr>
            <w:tcW w:w="1200" w:type="dxa"/>
            <w:vAlign w:val="bottom"/>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000-22025</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2009</w:t>
            </w:r>
          </w:p>
        </w:tc>
        <w:tc>
          <w:tcPr>
            <w:tcW w:w="0" w:type="dxa"/>
            <w:vAlign w:val="bottom"/>
          </w:tcPr>
          <w:p>
            <w:pPr>
              <w:spacing w:after="0"/>
              <w:rPr>
                <w:sz w:val="1"/>
                <w:szCs w:val="1"/>
                <w:color w:val="auto"/>
              </w:rPr>
            </w:pPr>
          </w:p>
        </w:tc>
      </w:tr>
      <w:tr>
        <w:trPr>
          <w:trHeight w:val="189"/>
        </w:trPr>
        <w:tc>
          <w:tcPr>
            <w:tcW w:w="12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3680" w:type="dxa"/>
            <w:vAlign w:val="bottom"/>
            <w:tcBorders>
              <w:top w:val="single" w:sz="8" w:color="0000FF"/>
            </w:tcBorders>
            <w:gridSpan w:val="8"/>
          </w:tcPr>
          <w:p>
            <w:pPr>
              <w:spacing w:after="0" w:line="189"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Certificate of Amendment to Restated Articles of</w:t>
              </w:r>
            </w:hyperlink>
          </w:p>
        </w:tc>
        <w:tc>
          <w:tcPr>
            <w:tcW w:w="940" w:type="dxa"/>
            <w:vAlign w:val="bottom"/>
            <w:tcBorders>
              <w:top w:val="single" w:sz="8" w:color="CCEEFF"/>
            </w:tcBorders>
            <w:gridSpan w:val="14"/>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1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7"/>
              </w:rPr>
              <w:t>3.2</w:t>
            </w:r>
          </w:p>
        </w:tc>
        <w:tc>
          <w:tcPr>
            <w:tcW w:w="160" w:type="dxa"/>
            <w:vAlign w:val="bottom"/>
          </w:tcPr>
          <w:p>
            <w:pPr>
              <w:spacing w:after="0"/>
              <w:rPr>
                <w:sz w:val="13"/>
                <w:szCs w:val="13"/>
                <w:color w:val="auto"/>
              </w:rPr>
            </w:pPr>
          </w:p>
        </w:tc>
        <w:tc>
          <w:tcPr>
            <w:tcW w:w="3540" w:type="dxa"/>
            <w:vAlign w:val="bottom"/>
            <w:tcBorders>
              <w:top w:val="single" w:sz="8" w:color="0000FF"/>
              <w:bottom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Incorporation of the Company dated February 9,</w:t>
              </w:r>
            </w:hyperlink>
          </w:p>
        </w:tc>
        <w:tc>
          <w:tcPr>
            <w:tcW w:w="400" w:type="dxa"/>
            <w:vAlign w:val="bottom"/>
            <w:tcBorders>
              <w:bottom w:val="single" w:sz="8" w:color="0000FF"/>
            </w:tcBorders>
            <w:gridSpan w:val="6"/>
          </w:tcPr>
          <w:p>
            <w:pPr>
              <w:jc w:val="right"/>
              <w:spacing w:after="0" w:line="136" w:lineRule="exact"/>
              <w:rPr>
                <w:rFonts w:ascii="Times New Roman" w:cs="Times New Roman" w:eastAsia="Times New Roman" w:hAnsi="Times New Roman"/>
                <w:sz w:val="15"/>
                <w:szCs w:val="15"/>
                <w:color w:val="0000FF"/>
              </w:rPr>
            </w:pPr>
            <w:hyperlink r:id="rId48">
              <w:r>
                <w:rPr>
                  <w:rFonts w:ascii="Times New Roman" w:cs="Times New Roman" w:eastAsia="Times New Roman" w:hAnsi="Times New Roman"/>
                  <w:sz w:val="15"/>
                  <w:szCs w:val="15"/>
                  <w:color w:val="0000FF"/>
                </w:rPr>
                <w:t>2010.</w:t>
              </w:r>
            </w:hyperlink>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1200" w:type="dxa"/>
            <w:vAlign w:val="bottom"/>
            <w:gridSpan w:val="2"/>
          </w:tcPr>
          <w:p>
            <w:pPr>
              <w:jc w:val="center"/>
              <w:ind w:right="140"/>
              <w:spacing w:after="0" w:line="156" w:lineRule="exact"/>
              <w:rPr>
                <w:sz w:val="20"/>
                <w:szCs w:val="20"/>
                <w:color w:val="auto"/>
              </w:rPr>
            </w:pPr>
            <w:r>
              <w:rPr>
                <w:rFonts w:ascii="Times New Roman" w:cs="Times New Roman" w:eastAsia="Times New Roman" w:hAnsi="Times New Roman"/>
                <w:sz w:val="18"/>
                <w:szCs w:val="18"/>
                <w:color w:val="auto"/>
              </w:rPr>
              <w:t>S-1</w:t>
            </w:r>
          </w:p>
        </w:tc>
        <w:tc>
          <w:tcPr>
            <w:tcW w:w="118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333-160044</w:t>
            </w:r>
          </w:p>
        </w:tc>
        <w:tc>
          <w:tcPr>
            <w:tcW w:w="120" w:type="dxa"/>
            <w:vAlign w:val="bottom"/>
          </w:tcPr>
          <w:p>
            <w:pPr>
              <w:spacing w:after="0"/>
              <w:rPr>
                <w:sz w:val="13"/>
                <w:szCs w:val="13"/>
                <w:color w:val="auto"/>
              </w:rPr>
            </w:pPr>
          </w:p>
        </w:tc>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3"/>
                <w:szCs w:val="13"/>
                <w:color w:val="auto"/>
              </w:rPr>
            </w:pPr>
          </w:p>
        </w:tc>
        <w:tc>
          <w:tcPr>
            <w:tcW w:w="138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March 31, 2010</w:t>
            </w:r>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40" w:type="dxa"/>
            <w:vAlign w:val="bottom"/>
            <w:tcBorders>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60" w:type="dxa"/>
            <w:vAlign w:val="bottom"/>
            <w:tcBorders>
              <w:bottom w:val="single" w:sz="8" w:color="CCEEFF"/>
              <w:right w:val="single" w:sz="8" w:color="CCEEFF"/>
            </w:tcBorders>
            <w:shd w:val="clear" w:color="auto" w:fill="CCEEFF"/>
          </w:tcPr>
          <w:p>
            <w:pPr>
              <w:spacing w:after="0"/>
              <w:rPr>
                <w:sz w:val="16"/>
                <w:szCs w:val="16"/>
                <w:color w:val="auto"/>
              </w:rPr>
            </w:pPr>
          </w:p>
        </w:tc>
        <w:tc>
          <w:tcPr>
            <w:tcW w:w="3540" w:type="dxa"/>
            <w:vAlign w:val="bottom"/>
            <w:tcBorders>
              <w:bottom w:val="single" w:sz="8" w:color="0000FF"/>
            </w:tcBorders>
            <w:gridSpan w:val="6"/>
            <w:shd w:val="clear" w:color="auto" w:fill="CCEEFF"/>
          </w:tcPr>
          <w:p>
            <w:pPr>
              <w:spacing w:after="0" w:line="189" w:lineRule="exact"/>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Certificate of Amendment to Restated Articles of</w:t>
              </w:r>
            </w:hyperlink>
          </w:p>
        </w:tc>
        <w:tc>
          <w:tcPr>
            <w:tcW w:w="1080" w:type="dxa"/>
            <w:vAlign w:val="bottom"/>
            <w:tcBorders>
              <w:bottom w:val="single" w:sz="8" w:color="CCEEFF"/>
            </w:tcBorders>
            <w:gridSpan w:val="16"/>
            <w:shd w:val="clear" w:color="auto" w:fill="CCEEFF"/>
          </w:tcPr>
          <w:p>
            <w:pPr>
              <w:spacing w:after="0"/>
              <w:rPr>
                <w:sz w:val="16"/>
                <w:szCs w:val="16"/>
                <w:color w:val="auto"/>
              </w:rPr>
            </w:pPr>
          </w:p>
        </w:tc>
        <w:tc>
          <w:tcPr>
            <w:tcW w:w="1200" w:type="dxa"/>
            <w:vAlign w:val="bottom"/>
            <w:tcBorders>
              <w:bottom w:val="single" w:sz="8" w:color="CCEEFF"/>
            </w:tcBorders>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Borders>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000-22025</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25, 2011</w:t>
            </w:r>
          </w:p>
        </w:tc>
        <w:tc>
          <w:tcPr>
            <w:tcW w:w="0" w:type="dxa"/>
            <w:vAlign w:val="bottom"/>
          </w:tcPr>
          <w:p>
            <w:pPr>
              <w:spacing w:after="0"/>
              <w:rPr>
                <w:sz w:val="1"/>
                <w:szCs w:val="1"/>
                <w:color w:val="auto"/>
              </w:rPr>
            </w:pPr>
          </w:p>
        </w:tc>
      </w:tr>
      <w:tr>
        <w:trPr>
          <w:trHeight w:val="190"/>
        </w:trPr>
        <w:tc>
          <w:tcPr>
            <w:tcW w:w="1240" w:type="dxa"/>
            <w:vAlign w:val="bottom"/>
            <w:tcBorders>
              <w:bottom w:val="single" w:sz="8" w:color="CCEEFF"/>
            </w:tcBorders>
            <w:vMerge w:val="continue"/>
            <w:shd w:val="clear" w:color="auto" w:fill="CCEEFF"/>
          </w:tcPr>
          <w:p>
            <w:pPr>
              <w:spacing w:after="0"/>
              <w:rPr>
                <w:sz w:val="16"/>
                <w:szCs w:val="16"/>
                <w:color w:val="auto"/>
              </w:rPr>
            </w:pPr>
          </w:p>
        </w:tc>
        <w:tc>
          <w:tcPr>
            <w:tcW w:w="160" w:type="dxa"/>
            <w:vAlign w:val="bottom"/>
            <w:tcBorders>
              <w:bottom w:val="single" w:sz="8" w:color="CCEEFF"/>
              <w:right w:val="single" w:sz="8" w:color="CCEEFF"/>
            </w:tcBorders>
            <w:shd w:val="clear" w:color="auto" w:fill="CCEEFF"/>
          </w:tcPr>
          <w:p>
            <w:pPr>
              <w:spacing w:after="0"/>
              <w:rPr>
                <w:sz w:val="16"/>
                <w:szCs w:val="16"/>
                <w:color w:val="auto"/>
              </w:rPr>
            </w:pPr>
          </w:p>
        </w:tc>
        <w:tc>
          <w:tcPr>
            <w:tcW w:w="3840" w:type="dxa"/>
            <w:vAlign w:val="bottom"/>
            <w:tcBorders>
              <w:bottom w:val="single" w:sz="8" w:color="0000FF"/>
            </w:tcBorders>
            <w:gridSpan w:val="11"/>
            <w:shd w:val="clear" w:color="auto" w:fill="CCEEFF"/>
          </w:tcPr>
          <w:p>
            <w:pPr>
              <w:spacing w:after="0" w:line="142" w:lineRule="exact"/>
              <w:rPr>
                <w:rFonts w:ascii="Times New Roman" w:cs="Times New Roman" w:eastAsia="Times New Roman" w:hAnsi="Times New Roman"/>
                <w:sz w:val="16"/>
                <w:szCs w:val="16"/>
                <w:color w:val="0000FF"/>
              </w:rPr>
            </w:pPr>
            <w:hyperlink r:id="rId49">
              <w:r>
                <w:rPr>
                  <w:rFonts w:ascii="Times New Roman" w:cs="Times New Roman" w:eastAsia="Times New Roman" w:hAnsi="Times New Roman"/>
                  <w:sz w:val="16"/>
                  <w:szCs w:val="16"/>
                  <w:color w:val="0000FF"/>
                </w:rPr>
                <w:t>Incorporation of the Company dated March 22, 2011.</w:t>
              </w:r>
            </w:hyperlink>
          </w:p>
        </w:tc>
        <w:tc>
          <w:tcPr>
            <w:tcW w:w="780" w:type="dxa"/>
            <w:vAlign w:val="bottom"/>
            <w:tcBorders>
              <w:bottom w:val="single" w:sz="8" w:color="CCEEFF"/>
            </w:tcBorders>
            <w:gridSpan w:val="11"/>
            <w:shd w:val="clear" w:color="auto" w:fill="CCEEFF"/>
          </w:tcPr>
          <w:p>
            <w:pPr>
              <w:spacing w:after="0"/>
              <w:rPr>
                <w:sz w:val="16"/>
                <w:szCs w:val="16"/>
                <w:color w:val="auto"/>
              </w:rPr>
            </w:pPr>
          </w:p>
        </w:tc>
        <w:tc>
          <w:tcPr>
            <w:tcW w:w="1200" w:type="dxa"/>
            <w:vAlign w:val="bottom"/>
            <w:tcBorders>
              <w:bottom w:val="single" w:sz="8" w:color="CCEEFF"/>
            </w:tcBorders>
            <w:gridSpan w:val="2"/>
            <w:vMerge w:val="continue"/>
            <w:shd w:val="clear" w:color="auto" w:fill="CCEEFF"/>
          </w:tcPr>
          <w:p>
            <w:pPr>
              <w:spacing w:after="0"/>
              <w:rPr>
                <w:sz w:val="16"/>
                <w:szCs w:val="16"/>
                <w:color w:val="auto"/>
              </w:rPr>
            </w:pPr>
          </w:p>
        </w:tc>
        <w:tc>
          <w:tcPr>
            <w:tcW w:w="118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20" w:type="dxa"/>
            <w:vAlign w:val="bottom"/>
            <w:gridSpan w:val="22"/>
          </w:tcPr>
          <w:p>
            <w:pPr>
              <w:spacing w:after="0" w:line="189"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Certificate of Amendment to the Restated Articles of</w:t>
              </w:r>
            </w:hyperlink>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November 24,</w:t>
            </w:r>
          </w:p>
        </w:tc>
        <w:tc>
          <w:tcPr>
            <w:tcW w:w="0" w:type="dxa"/>
            <w:vAlign w:val="bottom"/>
          </w:tcPr>
          <w:p>
            <w:pPr>
              <w:spacing w:after="0"/>
              <w:rPr>
                <w:sz w:val="1"/>
                <w:szCs w:val="1"/>
                <w:color w:val="auto"/>
              </w:rPr>
            </w:pPr>
          </w:p>
        </w:tc>
      </w:tr>
      <w:tr>
        <w:trPr>
          <w:trHeight w:val="155"/>
        </w:trPr>
        <w:tc>
          <w:tcPr>
            <w:tcW w:w="12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7"/>
              </w:rPr>
              <w:t>3.4</w:t>
            </w:r>
          </w:p>
        </w:tc>
        <w:tc>
          <w:tcPr>
            <w:tcW w:w="160" w:type="dxa"/>
            <w:vAlign w:val="bottom"/>
          </w:tcPr>
          <w:p>
            <w:pPr>
              <w:spacing w:after="0"/>
              <w:rPr>
                <w:sz w:val="13"/>
                <w:szCs w:val="13"/>
                <w:color w:val="auto"/>
              </w:rPr>
            </w:pPr>
          </w:p>
        </w:tc>
        <w:tc>
          <w:tcPr>
            <w:tcW w:w="3800" w:type="dxa"/>
            <w:vAlign w:val="bottom"/>
            <w:tcBorders>
              <w:top w:val="single" w:sz="8" w:color="0000FF"/>
              <w:bottom w:val="single" w:sz="8" w:color="0000FF"/>
            </w:tcBorders>
            <w:gridSpan w:val="10"/>
          </w:tcPr>
          <w:p>
            <w:pPr>
              <w:spacing w:after="0" w:line="142" w:lineRule="exact"/>
              <w:rPr>
                <w:rFonts w:ascii="Times New Roman" w:cs="Times New Roman" w:eastAsia="Times New Roman" w:hAnsi="Times New Roman"/>
                <w:sz w:val="16"/>
                <w:szCs w:val="16"/>
                <w:color w:val="0000FF"/>
              </w:rPr>
            </w:pPr>
            <w:hyperlink r:id="rId50">
              <w:r>
                <w:rPr>
                  <w:rFonts w:ascii="Times New Roman" w:cs="Times New Roman" w:eastAsia="Times New Roman" w:hAnsi="Times New Roman"/>
                  <w:sz w:val="16"/>
                  <w:szCs w:val="16"/>
                  <w:color w:val="0000FF"/>
                </w:rPr>
                <w:t>Incorporation of the Company, dated November 21,</w:t>
              </w:r>
            </w:hyperlink>
          </w:p>
        </w:tc>
        <w:tc>
          <w:tcPr>
            <w:tcW w:w="360" w:type="dxa"/>
            <w:vAlign w:val="bottom"/>
            <w:tcBorders>
              <w:bottom w:val="single" w:sz="8" w:color="0000FF"/>
            </w:tcBorders>
            <w:gridSpan w:val="3"/>
          </w:tcPr>
          <w:p>
            <w:pPr>
              <w:jc w:val="right"/>
              <w:spacing w:after="0" w:line="136" w:lineRule="exact"/>
              <w:rPr>
                <w:rFonts w:ascii="Times New Roman" w:cs="Times New Roman" w:eastAsia="Times New Roman" w:hAnsi="Times New Roman"/>
                <w:sz w:val="15"/>
                <w:szCs w:val="15"/>
                <w:color w:val="0000FF"/>
              </w:rPr>
            </w:pPr>
            <w:hyperlink r:id="rId50">
              <w:r>
                <w:rPr>
                  <w:rFonts w:ascii="Times New Roman" w:cs="Times New Roman" w:eastAsia="Times New Roman" w:hAnsi="Times New Roman"/>
                  <w:sz w:val="15"/>
                  <w:szCs w:val="15"/>
                  <w:color w:val="0000FF"/>
                </w:rPr>
                <w:t>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1200" w:type="dxa"/>
            <w:vAlign w:val="bottom"/>
            <w:gridSpan w:val="2"/>
          </w:tcPr>
          <w:p>
            <w:pPr>
              <w:jc w:val="center"/>
              <w:ind w:right="120"/>
              <w:spacing w:after="0" w:line="156"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001-35280</w:t>
            </w:r>
          </w:p>
        </w:tc>
        <w:tc>
          <w:tcPr>
            <w:tcW w:w="120" w:type="dxa"/>
            <w:vAlign w:val="bottom"/>
          </w:tcPr>
          <w:p>
            <w:pPr>
              <w:spacing w:after="0"/>
              <w:rPr>
                <w:sz w:val="13"/>
                <w:szCs w:val="13"/>
                <w:color w:val="auto"/>
              </w:rPr>
            </w:pPr>
          </w:p>
        </w:tc>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3"/>
                <w:szCs w:val="13"/>
                <w:color w:val="auto"/>
              </w:rPr>
            </w:pPr>
          </w:p>
        </w:tc>
        <w:tc>
          <w:tcPr>
            <w:tcW w:w="138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2014</w:t>
            </w:r>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24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November 12,</w:t>
            </w:r>
          </w:p>
        </w:tc>
        <w:tc>
          <w:tcPr>
            <w:tcW w:w="0" w:type="dxa"/>
            <w:vAlign w:val="bottom"/>
          </w:tcPr>
          <w:p>
            <w:pPr>
              <w:spacing w:after="0"/>
              <w:rPr>
                <w:sz w:val="1"/>
                <w:szCs w:val="1"/>
                <w:color w:val="auto"/>
              </w:rPr>
            </w:pPr>
          </w:p>
        </w:tc>
      </w:tr>
      <w:tr>
        <w:trPr>
          <w:trHeight w:val="223"/>
        </w:trPr>
        <w:tc>
          <w:tcPr>
            <w:tcW w:w="12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3.5</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2200" w:type="dxa"/>
            <w:vAlign w:val="bottom"/>
            <w:tcBorders>
              <w:bottom w:val="single" w:sz="8" w:color="0000FF"/>
            </w:tcBorders>
            <w:gridSpan w:val="4"/>
            <w:shd w:val="clear" w:color="auto" w:fill="CCEEFF"/>
          </w:tcPr>
          <w:p>
            <w:pPr>
              <w:spacing w:after="0" w:line="202" w:lineRule="exact"/>
              <w:rPr>
                <w:rFonts w:ascii="Times New Roman" w:cs="Times New Roman" w:eastAsia="Times New Roman" w:hAnsi="Times New Roman"/>
                <w:sz w:val="18"/>
                <w:szCs w:val="18"/>
                <w:color w:val="0000FF"/>
                <w:w w:val="98"/>
              </w:rPr>
            </w:pPr>
            <w:hyperlink r:id="rId51">
              <w:r>
                <w:rPr>
                  <w:rFonts w:ascii="Times New Roman" w:cs="Times New Roman" w:eastAsia="Times New Roman" w:hAnsi="Times New Roman"/>
                  <w:sz w:val="18"/>
                  <w:szCs w:val="18"/>
                  <w:color w:val="0000FF"/>
                  <w:w w:val="98"/>
                </w:rPr>
                <w:t>Amended and restated bylaws.</w:t>
              </w:r>
            </w:hyperlink>
          </w:p>
        </w:tc>
        <w:tc>
          <w:tcPr>
            <w:tcW w:w="2420" w:type="dxa"/>
            <w:vAlign w:val="bottom"/>
            <w:tcBorders>
              <w:bottom w:val="single" w:sz="8" w:color="CCEEFF"/>
            </w:tcBorders>
            <w:gridSpan w:val="18"/>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000-22025</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2010</w:t>
            </w:r>
          </w:p>
        </w:tc>
        <w:tc>
          <w:tcPr>
            <w:tcW w:w="0" w:type="dxa"/>
            <w:vAlign w:val="bottom"/>
          </w:tcPr>
          <w:p>
            <w:pPr>
              <w:spacing w:after="0"/>
              <w:rPr>
                <w:sz w:val="1"/>
                <w:szCs w:val="1"/>
                <w:color w:val="auto"/>
              </w:rPr>
            </w:pPr>
          </w:p>
        </w:tc>
      </w:tr>
      <w:tr>
        <w:trPr>
          <w:trHeight w:val="189"/>
        </w:trPr>
        <w:tc>
          <w:tcPr>
            <w:tcW w:w="12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4.1</w:t>
            </w:r>
          </w:p>
        </w:tc>
        <w:tc>
          <w:tcPr>
            <w:tcW w:w="160" w:type="dxa"/>
            <w:vAlign w:val="bottom"/>
          </w:tcPr>
          <w:p>
            <w:pPr>
              <w:spacing w:after="0"/>
              <w:rPr>
                <w:sz w:val="16"/>
                <w:szCs w:val="16"/>
                <w:color w:val="auto"/>
              </w:rPr>
            </w:pPr>
          </w:p>
        </w:tc>
        <w:tc>
          <w:tcPr>
            <w:tcW w:w="4620" w:type="dxa"/>
            <w:vAlign w:val="bottom"/>
            <w:gridSpan w:val="22"/>
          </w:tcPr>
          <w:p>
            <w:pPr>
              <w:spacing w:after="0" w:line="189"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Description of Capital Stock.</w:t>
              </w:r>
            </w:hyperlink>
          </w:p>
        </w:tc>
        <w:tc>
          <w:tcPr>
            <w:tcW w:w="1200" w:type="dxa"/>
            <w:vAlign w:val="bottom"/>
            <w:gridSpan w:val="2"/>
          </w:tcPr>
          <w:p>
            <w:pPr>
              <w:jc w:val="center"/>
              <w:ind w:right="140"/>
              <w:spacing w:after="0" w:line="189" w:lineRule="exact"/>
              <w:rPr>
                <w:sz w:val="20"/>
                <w:szCs w:val="20"/>
                <w:color w:val="auto"/>
              </w:rPr>
            </w:pPr>
            <w:r>
              <w:rPr>
                <w:rFonts w:ascii="Times New Roman" w:cs="Times New Roman" w:eastAsia="Times New Roman" w:hAnsi="Times New Roman"/>
                <w:sz w:val="18"/>
                <w:szCs w:val="18"/>
                <w:color w:val="auto"/>
              </w:rPr>
              <w:t>10-K</w:t>
            </w:r>
          </w:p>
        </w:tc>
        <w:tc>
          <w:tcPr>
            <w:tcW w:w="1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001-35280</w:t>
            </w:r>
          </w:p>
        </w:tc>
        <w:tc>
          <w:tcPr>
            <w:tcW w:w="120" w:type="dxa"/>
            <w:vAlign w:val="bottom"/>
          </w:tcPr>
          <w:p>
            <w:pPr>
              <w:spacing w:after="0"/>
              <w:rPr>
                <w:sz w:val="16"/>
                <w:szCs w:val="16"/>
                <w:color w:val="auto"/>
              </w:rPr>
            </w:pPr>
          </w:p>
        </w:tc>
        <w:tc>
          <w:tcPr>
            <w:tcW w:w="10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6"/>
                <w:szCs w:val="16"/>
                <w:color w:val="auto"/>
              </w:rPr>
            </w:pPr>
          </w:p>
        </w:tc>
        <w:tc>
          <w:tcPr>
            <w:tcW w:w="13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February 25, 2020</w:t>
            </w: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60" w:type="dxa"/>
            <w:vAlign w:val="bottom"/>
            <w:tcBorders>
              <w:right w:val="single" w:sz="8" w:color="CCEEFF"/>
            </w:tcBorders>
            <w:shd w:val="clear" w:color="auto" w:fill="CCEEFF"/>
          </w:tcPr>
          <w:p>
            <w:pPr>
              <w:spacing w:after="0"/>
              <w:rPr>
                <w:sz w:val="16"/>
                <w:szCs w:val="16"/>
                <w:color w:val="auto"/>
              </w:rPr>
            </w:pPr>
          </w:p>
        </w:tc>
        <w:tc>
          <w:tcPr>
            <w:tcW w:w="462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w:t>
            </w: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40" w:type="dxa"/>
            <w:vAlign w:val="bottom"/>
            <w:tcBorders>
              <w:top w:val="single" w:sz="8" w:color="CCEEFF"/>
            </w:tcBorders>
            <w:vMerge w:val="continue"/>
            <w:shd w:val="clear" w:color="auto" w:fill="CCEEFF"/>
          </w:tcPr>
          <w:p>
            <w:pPr>
              <w:spacing w:after="0"/>
              <w:rPr>
                <w:sz w:val="13"/>
                <w:szCs w:val="13"/>
                <w:color w:val="auto"/>
              </w:rPr>
            </w:pPr>
          </w:p>
        </w:tc>
        <w:tc>
          <w:tcPr>
            <w:tcW w:w="160" w:type="dxa"/>
            <w:vAlign w:val="bottom"/>
            <w:tcBorders>
              <w:top w:val="single" w:sz="8" w:color="CCEEFF"/>
              <w:right w:val="single" w:sz="8" w:color="CCEEFF"/>
            </w:tcBorders>
            <w:shd w:val="clear" w:color="auto" w:fill="CCEEFF"/>
          </w:tcPr>
          <w:p>
            <w:pPr>
              <w:spacing w:after="0"/>
              <w:rPr>
                <w:sz w:val="13"/>
                <w:szCs w:val="13"/>
                <w:color w:val="auto"/>
              </w:rPr>
            </w:pPr>
          </w:p>
        </w:tc>
        <w:tc>
          <w:tcPr>
            <w:tcW w:w="3720" w:type="dxa"/>
            <w:vAlign w:val="bottom"/>
            <w:tcBorders>
              <w:top w:val="single" w:sz="8" w:color="0000FF"/>
            </w:tcBorders>
            <w:gridSpan w:val="9"/>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Section 302 of the Sarbanes-Oxley Act of 2002.</w:t>
            </w:r>
          </w:p>
        </w:tc>
        <w:tc>
          <w:tcPr>
            <w:tcW w:w="460" w:type="dxa"/>
            <w:vAlign w:val="bottom"/>
            <w:tcBorders>
              <w:top w:val="single" w:sz="8" w:color="CCEEFF"/>
            </w:tcBorders>
            <w:gridSpan w:val="5"/>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gridSpan w:val="2"/>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1200" w:type="dxa"/>
            <w:vAlign w:val="bottom"/>
            <w:tcBorders>
              <w:top w:val="single" w:sz="8" w:color="0000FF"/>
              <w:right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2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60" w:type="dxa"/>
            <w:vAlign w:val="bottom"/>
          </w:tcPr>
          <w:p>
            <w:pPr>
              <w:spacing w:after="0"/>
              <w:rPr>
                <w:sz w:val="16"/>
                <w:szCs w:val="16"/>
                <w:color w:val="auto"/>
              </w:rPr>
            </w:pPr>
          </w:p>
        </w:tc>
        <w:tc>
          <w:tcPr>
            <w:tcW w:w="462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w:t>
            </w: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440" w:type="dxa"/>
            <w:vAlign w:val="bottom"/>
            <w:tcBorders>
              <w:top w:val="single" w:sz="8" w:color="0000FF"/>
              <w:bottom w:val="single" w:sz="8" w:color="0000FF"/>
            </w:tcBorders>
            <w:gridSpan w:val="5"/>
          </w:tcPr>
          <w:p>
            <w:pPr>
              <w:spacing w:after="0" w:line="142" w:lineRule="exact"/>
              <w:rPr>
                <w:sz w:val="20"/>
                <w:szCs w:val="20"/>
                <w:color w:val="auto"/>
              </w:rPr>
            </w:pPr>
            <w:r>
              <w:rPr>
                <w:rFonts w:ascii="Times New Roman" w:cs="Times New Roman" w:eastAsia="Times New Roman" w:hAnsi="Times New Roman"/>
                <w:sz w:val="16"/>
                <w:szCs w:val="16"/>
                <w:color w:val="0000FF"/>
              </w:rPr>
              <w:t>Section 302 of the Sarbanes-Oxley Act of 2002.</w:t>
            </w:r>
          </w:p>
        </w:tc>
        <w:tc>
          <w:tcPr>
            <w:tcW w:w="220" w:type="dxa"/>
            <w:vAlign w:val="bottom"/>
            <w:tcBorders>
              <w:top w:val="single" w:sz="8" w:color="0000FF"/>
            </w:tcBorders>
            <w:gridSpan w:val="2"/>
          </w:tcPr>
          <w:p>
            <w:pPr>
              <w:spacing w:after="0"/>
              <w:rPr>
                <w:sz w:val="13"/>
                <w:szCs w:val="13"/>
                <w:color w:val="auto"/>
              </w:rPr>
            </w:pPr>
          </w:p>
        </w:tc>
        <w:tc>
          <w:tcPr>
            <w:tcW w:w="52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right w:val="single" w:sz="8" w:color="CCEEFF"/>
            </w:tcBorders>
            <w:shd w:val="clear" w:color="auto" w:fill="CCEEFF"/>
          </w:tcPr>
          <w:p>
            <w:pPr>
              <w:spacing w:after="0"/>
              <w:rPr>
                <w:sz w:val="16"/>
                <w:szCs w:val="16"/>
                <w:color w:val="auto"/>
              </w:rPr>
            </w:pPr>
          </w:p>
        </w:tc>
        <w:tc>
          <w:tcPr>
            <w:tcW w:w="4340" w:type="dxa"/>
            <w:vAlign w:val="bottom"/>
            <w:tcBorders>
              <w:bottom w:val="single" w:sz="8" w:color="0000FF"/>
            </w:tcBorders>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Certification of Chief Executive Officer and Chief Financial</w:t>
            </w:r>
          </w:p>
        </w:tc>
        <w:tc>
          <w:tcPr>
            <w:tcW w:w="280" w:type="dxa"/>
            <w:vAlign w:val="bottom"/>
            <w:tcBorders>
              <w:bottom w:val="single" w:sz="8" w:color="CCEEFF"/>
            </w:tcBorders>
            <w:gridSpan w:val="5"/>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160" w:type="dxa"/>
            <w:vAlign w:val="bottom"/>
            <w:tcBorders>
              <w:right w:val="single" w:sz="8" w:color="CCEEFF"/>
            </w:tcBorders>
            <w:shd w:val="clear" w:color="auto" w:fill="CCEEFF"/>
          </w:tcPr>
          <w:p>
            <w:pPr>
              <w:spacing w:after="0"/>
              <w:rPr>
                <w:sz w:val="13"/>
                <w:szCs w:val="13"/>
                <w:color w:val="auto"/>
              </w:rPr>
            </w:pPr>
          </w:p>
        </w:tc>
        <w:tc>
          <w:tcPr>
            <w:tcW w:w="4620" w:type="dxa"/>
            <w:vAlign w:val="bottom"/>
            <w:gridSpan w:val="2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Officer pursuant to Section 906 of the Sarbanes-Oxley Act of</w:t>
            </w: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2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400" w:type="dxa"/>
            <w:vAlign w:val="bottom"/>
            <w:tcBorders>
              <w:top w:val="single" w:sz="8" w:color="0000FF"/>
              <w:bottom w:val="single" w:sz="8" w:color="0000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w w:val="93"/>
              </w:rPr>
              <w:t>2002.</w:t>
            </w:r>
          </w:p>
        </w:tc>
        <w:tc>
          <w:tcPr>
            <w:tcW w:w="520" w:type="dxa"/>
            <w:vAlign w:val="bottom"/>
            <w:tcBorders>
              <w:top w:val="single" w:sz="8" w:color="0000FF"/>
              <w:bottom w:val="single" w:sz="8" w:color="CCEEFF"/>
            </w:tcBorders>
            <w:shd w:val="clear" w:color="auto" w:fill="CCEEFF"/>
          </w:tcPr>
          <w:p>
            <w:pPr>
              <w:spacing w:after="0"/>
              <w:rPr>
                <w:sz w:val="16"/>
                <w:szCs w:val="16"/>
                <w:color w:val="auto"/>
              </w:rPr>
            </w:pPr>
          </w:p>
        </w:tc>
        <w:tc>
          <w:tcPr>
            <w:tcW w:w="1200" w:type="dxa"/>
            <w:vAlign w:val="bottom"/>
            <w:tcBorders>
              <w:top w:val="single" w:sz="8" w:color="0000FF"/>
              <w:bottom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0000FF"/>
              <w:bottom w:val="single" w:sz="8" w:color="CCEEFF"/>
            </w:tcBorders>
            <w:shd w:val="clear" w:color="auto" w:fill="CCEEFF"/>
          </w:tcPr>
          <w:p>
            <w:pPr>
              <w:spacing w:after="0"/>
              <w:rPr>
                <w:sz w:val="16"/>
                <w:szCs w:val="16"/>
                <w:color w:val="auto"/>
              </w:rPr>
            </w:pPr>
          </w:p>
        </w:tc>
        <w:tc>
          <w:tcPr>
            <w:tcW w:w="1240" w:type="dxa"/>
            <w:vAlign w:val="bottom"/>
            <w:tcBorders>
              <w:top w:val="single" w:sz="8" w:color="0000FF"/>
              <w:bottom w:val="single" w:sz="8" w:color="CCEEFF"/>
            </w:tcBorders>
            <w:shd w:val="clear" w:color="auto" w:fill="CCEEFF"/>
          </w:tcPr>
          <w:p>
            <w:pPr>
              <w:spacing w:after="0"/>
              <w:rPr>
                <w:sz w:val="16"/>
                <w:szCs w:val="16"/>
                <w:color w:val="auto"/>
              </w:rPr>
            </w:pPr>
          </w:p>
        </w:tc>
        <w:tc>
          <w:tcPr>
            <w:tcW w:w="100" w:type="dxa"/>
            <w:vAlign w:val="bottom"/>
            <w:tcBorders>
              <w:top w:val="single" w:sz="8" w:color="0000FF"/>
              <w:bottom w:val="single" w:sz="8" w:color="CCEEFF"/>
            </w:tcBorders>
            <w:shd w:val="clear" w:color="auto" w:fill="CCEEFF"/>
          </w:tcPr>
          <w:p>
            <w:pPr>
              <w:spacing w:after="0"/>
              <w:rPr>
                <w:sz w:val="16"/>
                <w:szCs w:val="16"/>
                <w:color w:val="auto"/>
              </w:rPr>
            </w:pPr>
          </w:p>
        </w:tc>
        <w:tc>
          <w:tcPr>
            <w:tcW w:w="1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100" w:type="dxa"/>
            <w:vAlign w:val="bottom"/>
            <w:tcBorders>
              <w:top w:val="single" w:sz="8" w:color="0000FF"/>
              <w:bottom w:val="single" w:sz="8" w:color="CCEEFF"/>
            </w:tcBorders>
            <w:shd w:val="clear" w:color="auto" w:fill="CCEEFF"/>
          </w:tcPr>
          <w:p>
            <w:pPr>
              <w:spacing w:after="0"/>
              <w:rPr>
                <w:sz w:val="16"/>
                <w:szCs w:val="16"/>
                <w:color w:val="auto"/>
              </w:rPr>
            </w:pPr>
          </w:p>
        </w:tc>
        <w:tc>
          <w:tcPr>
            <w:tcW w:w="2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1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3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2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Fourth Amendment to the Dispensing Agreement between</w:t>
            </w: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4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rPr>
              <w:t>10.1†*</w:t>
            </w:r>
          </w:p>
        </w:tc>
        <w:tc>
          <w:tcPr>
            <w:tcW w:w="4200" w:type="dxa"/>
            <w:vAlign w:val="bottom"/>
            <w:tcBorders>
              <w:top w:val="single" w:sz="8" w:color="0000FF"/>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FF"/>
                <w:w w:val="98"/>
              </w:rPr>
              <w:t>AllCare Plus Pharmacy, Inc. and the Company, dated June</w:t>
            </w:r>
          </w:p>
        </w:tc>
        <w:tc>
          <w:tcPr>
            <w:tcW w:w="200" w:type="dxa"/>
            <w:vAlign w:val="bottom"/>
            <w:gridSpan w:val="4"/>
          </w:tcPr>
          <w:p>
            <w:pPr>
              <w:jc w:val="right"/>
              <w:ind w:right="40"/>
              <w:spacing w:after="0" w:line="156" w:lineRule="exact"/>
              <w:rPr>
                <w:sz w:val="20"/>
                <w:szCs w:val="20"/>
                <w:color w:val="auto"/>
              </w:rPr>
            </w:pPr>
            <w:r>
              <w:rPr>
                <w:rFonts w:ascii="Times New Roman" w:cs="Times New Roman" w:eastAsia="Times New Roman" w:hAnsi="Times New Roman"/>
                <w:sz w:val="18"/>
                <w:szCs w:val="18"/>
                <w:color w:val="0000FF"/>
              </w:rPr>
              <w:t>1,</w:t>
            </w:r>
          </w:p>
        </w:tc>
        <w:tc>
          <w:tcPr>
            <w:tcW w:w="220" w:type="dxa"/>
            <w:vAlign w:val="bottom"/>
            <w:gridSpan w:val="3"/>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00" w:type="dxa"/>
            <w:vAlign w:val="bottom"/>
            <w:gridSpan w:val="2"/>
            <w:vMerge w:val="continue"/>
          </w:tcPr>
          <w:p>
            <w:pPr>
              <w:spacing w:after="0"/>
              <w:rPr>
                <w:sz w:val="14"/>
                <w:szCs w:val="14"/>
                <w:color w:val="auto"/>
              </w:rPr>
            </w:pPr>
          </w:p>
        </w:tc>
        <w:tc>
          <w:tcPr>
            <w:tcW w:w="920" w:type="dxa"/>
            <w:vAlign w:val="bottom"/>
            <w:tcBorders>
              <w:top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2024.</w:t>
            </w:r>
          </w:p>
        </w:tc>
        <w:tc>
          <w:tcPr>
            <w:tcW w:w="12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2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462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Tenth Amendment to the Distribution Agreement between</w:t>
            </w: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2060" w:type="dxa"/>
            <w:vAlign w:val="bottom"/>
            <w:gridSpan w:val="11"/>
            <w:shd w:val="clear" w:color="auto" w:fill="0000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c>
          <w:tcPr>
            <w:tcW w:w="220" w:type="dxa"/>
            <w:vAlign w:val="bottom"/>
            <w:gridSpan w:val="3"/>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160" w:type="dxa"/>
            <w:vAlign w:val="bottom"/>
            <w:tcBorders>
              <w:right w:val="single" w:sz="8" w:color="CCEEFF"/>
            </w:tcBorders>
            <w:shd w:val="clear" w:color="auto" w:fill="CCEEFF"/>
          </w:tcPr>
          <w:p>
            <w:pPr>
              <w:spacing w:after="0"/>
              <w:rPr>
                <w:sz w:val="13"/>
                <w:szCs w:val="13"/>
                <w:color w:val="auto"/>
              </w:rPr>
            </w:pPr>
          </w:p>
        </w:tc>
        <w:tc>
          <w:tcPr>
            <w:tcW w:w="4620" w:type="dxa"/>
            <w:vAlign w:val="bottom"/>
            <w:gridSpan w:val="2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Orsini Pharmaceutical Services, Inc. and the Company, dated</w:t>
            </w: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Borders>
              <w:top w:val="single" w:sz="8" w:color="CCEEFF"/>
            </w:tcBorders>
            <w:vMerge w:val="continue"/>
            <w:shd w:val="clear" w:color="auto" w:fill="CCEEFF"/>
          </w:tcPr>
          <w:p>
            <w:pPr>
              <w:spacing w:after="0"/>
              <w:rPr>
                <w:sz w:val="14"/>
                <w:szCs w:val="14"/>
                <w:color w:val="auto"/>
              </w:rPr>
            </w:pPr>
          </w:p>
        </w:tc>
        <w:tc>
          <w:tcPr>
            <w:tcW w:w="160" w:type="dxa"/>
            <w:vAlign w:val="bottom"/>
            <w:tcBorders>
              <w:top w:val="single" w:sz="8" w:color="CCEEFF"/>
              <w:right w:val="single" w:sz="8" w:color="CCEEFF"/>
            </w:tcBorders>
            <w:shd w:val="clear" w:color="auto" w:fill="CCEEFF"/>
          </w:tcPr>
          <w:p>
            <w:pPr>
              <w:spacing w:after="0"/>
              <w:rPr>
                <w:sz w:val="14"/>
                <w:szCs w:val="14"/>
                <w:color w:val="auto"/>
              </w:rPr>
            </w:pPr>
          </w:p>
        </w:tc>
        <w:tc>
          <w:tcPr>
            <w:tcW w:w="4400" w:type="dxa"/>
            <w:vAlign w:val="bottom"/>
            <w:tcBorders>
              <w:top w:val="single" w:sz="8" w:color="0000FF"/>
            </w:tcBorders>
            <w:gridSpan w:val="19"/>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July 1, 2024.</w:t>
            </w:r>
          </w:p>
        </w:tc>
        <w:tc>
          <w:tcPr>
            <w:tcW w:w="220" w:type="dxa"/>
            <w:vAlign w:val="bottom"/>
            <w:tcBorders>
              <w:top w:val="single" w:sz="8" w:color="CCEEFF"/>
            </w:tcBorders>
            <w:gridSpan w:val="3"/>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101.INS*</w:t>
            </w:r>
          </w:p>
        </w:tc>
        <w:tc>
          <w:tcPr>
            <w:tcW w:w="46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tcBorders>
              <w:right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101.SCH*</w:t>
            </w:r>
          </w:p>
        </w:tc>
        <w:tc>
          <w:tcPr>
            <w:tcW w:w="462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101.CAL*</w:t>
            </w:r>
          </w:p>
        </w:tc>
        <w:tc>
          <w:tcPr>
            <w:tcW w:w="46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Document</w:t>
            </w: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24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46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00" w:type="dxa"/>
            <w:vAlign w:val="bottom"/>
            <w:tcBorders>
              <w:right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101.LAB*</w:t>
            </w:r>
          </w:p>
        </w:tc>
        <w:tc>
          <w:tcPr>
            <w:tcW w:w="462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c>
          <w:tcPr>
            <w:tcW w:w="10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101.PRE*</w:t>
            </w:r>
          </w:p>
        </w:tc>
        <w:tc>
          <w:tcPr>
            <w:tcW w:w="46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Document</w:t>
            </w: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24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46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00" w:type="dxa"/>
            <w:vAlign w:val="bottom"/>
            <w:tcBorders>
              <w:right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101.DEF*</w:t>
            </w:r>
          </w:p>
        </w:tc>
        <w:tc>
          <w:tcPr>
            <w:tcW w:w="462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c>
          <w:tcPr>
            <w:tcW w:w="10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160" w:type="dxa"/>
            <w:vAlign w:val="bottom"/>
          </w:tcPr>
          <w:p>
            <w:pPr>
              <w:spacing w:after="0"/>
              <w:rPr>
                <w:sz w:val="16"/>
                <w:szCs w:val="16"/>
                <w:color w:val="auto"/>
              </w:rPr>
            </w:pPr>
          </w:p>
        </w:tc>
        <w:tc>
          <w:tcPr>
            <w:tcW w:w="462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Cover Page Interactive Data File (formatted as inline XBRL</w:t>
            </w: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320" w:type="dxa"/>
            <w:vAlign w:val="bottom"/>
            <w:tcBorders>
              <w:top w:val="single" w:sz="8" w:color="0000FF"/>
            </w:tcBorders>
            <w:gridSpan w:val="16"/>
          </w:tcPr>
          <w:p>
            <w:pPr>
              <w:spacing w:after="0" w:line="142" w:lineRule="exact"/>
              <w:rPr>
                <w:sz w:val="20"/>
                <w:szCs w:val="20"/>
                <w:color w:val="auto"/>
              </w:rPr>
            </w:pPr>
            <w:r>
              <w:rPr>
                <w:rFonts w:ascii="Times New Roman" w:cs="Times New Roman" w:eastAsia="Times New Roman" w:hAnsi="Times New Roman"/>
                <w:sz w:val="16"/>
                <w:szCs w:val="16"/>
                <w:color w:val="0000FF"/>
              </w:rPr>
              <w:t>and contained in Exhibit 101)</w:t>
            </w:r>
          </w:p>
        </w:tc>
        <w:tc>
          <w:tcPr>
            <w:tcW w:w="300" w:type="dxa"/>
            <w:vAlign w:val="bottom"/>
            <w:gridSpan w:val="6"/>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Management contract or compensatory plan or arrangement covering executive officers or directors of Vericel.</w:t>
      </w:r>
    </w:p>
    <w:p>
      <w:pPr>
        <w:spacing w:after="0" w:line="23" w:lineRule="exact"/>
        <w:rPr>
          <w:sz w:val="20"/>
          <w:szCs w:val="20"/>
          <w:color w:val="auto"/>
        </w:rPr>
      </w:pPr>
    </w:p>
    <w:p>
      <w:pPr>
        <w:ind w:right="2400" w:firstLine="8"/>
        <w:spacing w:after="0" w:line="257" w:lineRule="auto"/>
        <w:tabs>
          <w:tab w:leader="none" w:pos="12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immaterial and confidential portions of this exhibit have been omitted in accordance with Item 601 (a)(5) of Regulation S-K. * Filed herewith.</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2024</w:t>
      </w:r>
    </w:p>
    <w:p>
      <w:pPr>
        <w:spacing w:after="0" w:line="36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VERICEL CORPORATION</w:t>
      </w:r>
    </w:p>
    <w:p>
      <w:pPr>
        <w:spacing w:after="0" w:line="200" w:lineRule="exact"/>
        <w:rPr>
          <w:sz w:val="20"/>
          <w:szCs w:val="20"/>
          <w:color w:val="auto"/>
        </w:rPr>
      </w:pPr>
    </w:p>
    <w:p>
      <w:pPr>
        <w:spacing w:after="0" w:line="282"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77"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/s/ JOSEPH A.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Joseph A. Mara</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520"/>
          </w:cols>
          <w:pgMar w:left="320" w:top="117" w:right="105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180"/>
        <w:spacing w:after="0" w:line="217" w:lineRule="auto"/>
        <w:rPr>
          <w:sz w:val="20"/>
          <w:szCs w:val="20"/>
          <w:color w:val="auto"/>
        </w:rPr>
      </w:pPr>
      <w:r>
        <w:rPr>
          <w:rFonts w:ascii="Arial" w:cs="Arial" w:eastAsia="Arial" w:hAnsi="Arial"/>
          <w:sz w:val="16"/>
          <w:szCs w:val="16"/>
          <w:color w:val="181A1C"/>
        </w:rPr>
        <w:t>CERTAIN INFORMATION HAS BEEN EXCLUDED FROM THIS EXHIBIT BECAUSE IT IS BOTH IMMATERIAL AND THE TYPE OF INFORMATION THAT VERICEL TREATS AS CONFIDENTIAL. ACCORDINGLY, SUCH INFORMATION HAS BEEN OMITTED AND REPLACED WITH “[***]”.</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Fourth Amendment to Dispensing Agreement</w:t>
      </w:r>
    </w:p>
    <w:p>
      <w:pPr>
        <w:spacing w:after="0" w:line="267" w:lineRule="exact"/>
        <w:rPr>
          <w:sz w:val="20"/>
          <w:szCs w:val="20"/>
          <w:color w:val="auto"/>
        </w:rPr>
      </w:pPr>
    </w:p>
    <w:p>
      <w:pPr>
        <w:ind w:right="480"/>
        <w:spacing w:after="0" w:line="246" w:lineRule="auto"/>
        <w:rPr>
          <w:sz w:val="20"/>
          <w:szCs w:val="20"/>
          <w:color w:val="auto"/>
        </w:rPr>
      </w:pPr>
      <w:r>
        <w:rPr>
          <w:rFonts w:ascii="Arial" w:cs="Arial" w:eastAsia="Arial" w:hAnsi="Arial"/>
          <w:sz w:val="16"/>
          <w:szCs w:val="16"/>
          <w:color w:val="09090A"/>
        </w:rPr>
        <w:t>This Fourth Amendment to the July 26, 2018 Dispensing Agreement ("Agreement") between Vericel Corporation ("Vericel" or "Client") and AllCare Plus Pharmacy LLC ("AllCare") shall be effective as of June 1, 2024 ("Effective Date").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highlight w:val="black"/>
        </w:rPr>
        <w:t>Recitals</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highlight w:val="black"/>
        </w:rPr>
        <w:t>WHEREAS</w:t>
      </w:r>
      <w:r>
        <w:rPr>
          <w:rFonts w:ascii="Arial" w:cs="Arial" w:eastAsia="Arial" w:hAnsi="Arial"/>
          <w:sz w:val="16"/>
          <w:szCs w:val="16"/>
          <w:color w:val="050505"/>
        </w:rPr>
        <w:t>, Vericel and AllCare are Parties to the Agreement;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highlight w:val="black"/>
        </w:rPr>
        <w:t xml:space="preserve">WHEREAS, </w:t>
      </w:r>
      <w:r>
        <w:rPr>
          <w:rFonts w:ascii="Arial" w:cs="Arial" w:eastAsia="Arial" w:hAnsi="Arial"/>
          <w:sz w:val="16"/>
          <w:szCs w:val="16"/>
          <w:color w:val="050505"/>
        </w:rPr>
        <w:t>the Parties desire to amend the Agreement;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highlight w:val="black"/>
        </w:rPr>
        <w:t xml:space="preserve">NOW, THEREFORE, </w:t>
      </w:r>
      <w:r>
        <w:rPr>
          <w:rFonts w:ascii="Arial" w:cs="Arial" w:eastAsia="Arial" w:hAnsi="Arial"/>
          <w:sz w:val="16"/>
          <w:szCs w:val="16"/>
          <w:color w:val="060608"/>
        </w:rPr>
        <w:t>in consideration of good and valuable consideration, the Parties hereby agree to modify the Agreement as follows</w:t>
      </w:r>
    </w:p>
    <w:p>
      <w:pPr>
        <w:spacing w:after="0" w:line="315" w:lineRule="exact"/>
        <w:rPr>
          <w:sz w:val="20"/>
          <w:szCs w:val="20"/>
          <w:color w:val="auto"/>
        </w:rPr>
      </w:pPr>
    </w:p>
    <w:p>
      <w:pPr>
        <w:ind w:left="660" w:right="20" w:hanging="328"/>
        <w:spacing w:after="0" w:line="258" w:lineRule="auto"/>
        <w:tabs>
          <w:tab w:leader="none" w:pos="649" w:val="left"/>
        </w:tabs>
        <w:numPr>
          <w:ilvl w:val="0"/>
          <w:numId w:val="8"/>
        </w:numPr>
        <w:rPr>
          <w:rFonts w:ascii="Arial" w:cs="Arial" w:eastAsia="Arial" w:hAnsi="Arial"/>
          <w:sz w:val="16"/>
          <w:szCs w:val="16"/>
          <w:color w:val="070708"/>
        </w:rPr>
      </w:pPr>
      <w:r>
        <w:rPr>
          <w:rFonts w:ascii="Arial" w:cs="Arial" w:eastAsia="Arial" w:hAnsi="Arial"/>
          <w:sz w:val="16"/>
          <w:szCs w:val="16"/>
          <w:color w:val="070708"/>
        </w:rPr>
        <w:t>The Parties agree to replace Section 7., Term, in its entirety with the following: "7. Term. The term of this agreement shall continue through May 31, 2026 ("Term"), unless otherwise terminated pursuant to the Dispensing Agreement." The term of this Agreement will commence on the Effective Date and continue for a period of two (2) years thereafter (the "Term"). Either party may terminate this Amendment at any time in its sole discretion, without cause, by providing one hundred and eighty (180) days' written notice of their intention to terminate to the other party.</w:t>
      </w:r>
    </w:p>
    <w:p>
      <w:pPr>
        <w:spacing w:after="0" w:line="288" w:lineRule="exact"/>
        <w:rPr>
          <w:rFonts w:ascii="Arial" w:cs="Arial" w:eastAsia="Arial" w:hAnsi="Arial"/>
          <w:sz w:val="16"/>
          <w:szCs w:val="16"/>
          <w:color w:val="070708"/>
        </w:rPr>
      </w:pPr>
    </w:p>
    <w:p>
      <w:pPr>
        <w:ind w:left="660" w:right="220" w:hanging="328"/>
        <w:spacing w:after="0" w:line="234" w:lineRule="auto"/>
        <w:tabs>
          <w:tab w:leader="none" w:pos="649" w:val="left"/>
        </w:tabs>
        <w:numPr>
          <w:ilvl w:val="0"/>
          <w:numId w:val="8"/>
        </w:numPr>
        <w:rPr>
          <w:rFonts w:ascii="Arial" w:cs="Arial" w:eastAsia="Arial" w:hAnsi="Arial"/>
          <w:sz w:val="16"/>
          <w:szCs w:val="16"/>
          <w:color w:val="070708"/>
        </w:rPr>
      </w:pPr>
      <w:r>
        <w:rPr>
          <w:rFonts w:ascii="Arial" w:cs="Arial" w:eastAsia="Arial" w:hAnsi="Arial"/>
          <w:sz w:val="16"/>
          <w:szCs w:val="16"/>
          <w:color w:val="060707"/>
        </w:rPr>
        <w:t>The Parties agree that all other conditions of the Agreement shall remain in force and that such terms shall prevail on the event of a conflict with this Fourth Amendment.</w:t>
      </w:r>
    </w:p>
    <w:p>
      <w:pPr>
        <w:spacing w:after="0" w:line="289" w:lineRule="exact"/>
        <w:rPr>
          <w:rFonts w:ascii="Arial" w:cs="Arial" w:eastAsia="Arial" w:hAnsi="Arial"/>
          <w:sz w:val="16"/>
          <w:szCs w:val="16"/>
          <w:color w:val="070708"/>
        </w:rPr>
      </w:pPr>
    </w:p>
    <w:p>
      <w:pPr>
        <w:ind w:left="660" w:right="540" w:hanging="328"/>
        <w:spacing w:after="0" w:line="246" w:lineRule="auto"/>
        <w:tabs>
          <w:tab w:leader="none" w:pos="649" w:val="left"/>
        </w:tabs>
        <w:numPr>
          <w:ilvl w:val="0"/>
          <w:numId w:val="8"/>
        </w:numPr>
        <w:rPr>
          <w:rFonts w:ascii="Arial" w:cs="Arial" w:eastAsia="Arial" w:hAnsi="Arial"/>
          <w:sz w:val="16"/>
          <w:szCs w:val="16"/>
          <w:color w:val="060707"/>
        </w:rPr>
      </w:pPr>
      <w:r>
        <w:rPr>
          <w:rFonts w:ascii="Arial" w:cs="Arial" w:eastAsia="Arial" w:hAnsi="Arial"/>
          <w:sz w:val="16"/>
          <w:szCs w:val="16"/>
          <w:color w:val="070808"/>
        </w:rPr>
        <w:t>The Parties agree to modify Section 2.8 Exhibit A- Payment Terms and Pricing from the Dispensing Agreement. The fees outlined in Exhibit A attached to this Amendment reflect fees for the period June 1, 2024 through May 31, 2026.</w:t>
      </w:r>
    </w:p>
    <w:p>
      <w:pPr>
        <w:sectPr>
          <w:pgSz w:w="11900" w:h="16838" w:orient="portrait"/>
          <w:cols w:equalWidth="0" w:num="1">
            <w:col w:w="11240"/>
          </w:cols>
          <w:pgMar w:left="320" w:top="11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highlight w:val="black"/>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3371850</wp:posOffset>
            </wp:positionH>
            <wp:positionV relativeFrom="paragraph">
              <wp:posOffset>-12065</wp:posOffset>
            </wp:positionV>
            <wp:extent cx="3981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398145" cy="8255"/>
                    </a:xfrm>
                    <a:prstGeom prst="rect">
                      <a:avLst/>
                    </a:prstGeom>
                    <a:noFill/>
                  </pic:spPr>
                </pic:pic>
              </a:graphicData>
            </a:graphic>
          </wp:anchor>
        </w:drawing>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highlight w:val="black"/>
        </w:rPr>
        <w:t>Vericel MACI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-12065</wp:posOffset>
            </wp:positionV>
            <wp:extent cx="9836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highlight w:val="black"/>
        </w:rPr>
        <w:t>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057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070808"/>
        </w:rPr>
        <w:t>AllCare's fees for the services outlined in this Amendment are as follows: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highlight w:val="black"/>
        </w:rPr>
        <w: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highlight w:val="black"/>
        </w:rPr>
        <w:t>Invoicing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8496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849630"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09090A"/>
        </w:rPr>
        <w:t>AllCare will invoice Client as follows: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09090A"/>
        </w:rPr>
        <w:t>Fixed Fees: Client will be invoiced quarterly in advance (prorates as applicable) for all fixed fees during the Term.</w:t>
      </w:r>
    </w:p>
    <w:p>
      <w:pPr>
        <w:spacing w:after="0" w:line="288" w:lineRule="exact"/>
        <w:rPr>
          <w:sz w:val="20"/>
          <w:szCs w:val="20"/>
          <w:color w:val="auto"/>
        </w:rPr>
      </w:pPr>
    </w:p>
    <w:p>
      <w:pPr>
        <w:ind w:right="200"/>
        <w:spacing w:after="0" w:line="246" w:lineRule="auto"/>
        <w:rPr>
          <w:sz w:val="20"/>
          <w:szCs w:val="20"/>
          <w:color w:val="auto"/>
        </w:rPr>
      </w:pPr>
      <w:r>
        <w:rPr>
          <w:rFonts w:ascii="Arial" w:cs="Arial" w:eastAsia="Arial" w:hAnsi="Arial"/>
          <w:sz w:val="16"/>
          <w:szCs w:val="16"/>
          <w:color w:val="09090A"/>
        </w:rPr>
        <w:t>Variable, Transactional, Pass-Through Costs and Out of Pocket Expenses: Client will be invoiced monthly, in arrears, based on Services performed (actuals) during the Term.</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09090A"/>
        </w:rPr>
        <w:t>Payment Terms: Payable within thirty (30) days from date of invoice.</w:t>
      </w:r>
    </w:p>
    <w:p>
      <w:pPr>
        <w:spacing w:after="0" w:line="288" w:lineRule="exact"/>
        <w:rPr>
          <w:sz w:val="20"/>
          <w:szCs w:val="20"/>
          <w:color w:val="auto"/>
        </w:rPr>
      </w:pPr>
    </w:p>
    <w:p>
      <w:pPr>
        <w:ind w:right="440"/>
        <w:spacing w:after="0" w:line="246" w:lineRule="auto"/>
        <w:rPr>
          <w:sz w:val="20"/>
          <w:szCs w:val="20"/>
          <w:color w:val="auto"/>
        </w:rPr>
      </w:pPr>
      <w:r>
        <w:rPr>
          <w:rFonts w:ascii="Arial" w:cs="Arial" w:eastAsia="Arial" w:hAnsi="Arial"/>
          <w:sz w:val="16"/>
          <w:szCs w:val="16"/>
          <w:color w:val="09090A"/>
        </w:rPr>
        <w:t>Client shall also reimburse AllCare for reasonable travel and other out of pocket expenses incurred in connection with the provision of services, without premium or mark up, provided, however, that such expenses are itemized and at the Client's request.</w:t>
      </w:r>
    </w:p>
    <w:p>
      <w:pPr>
        <w:sectPr>
          <w:pgSz w:w="11900" w:h="16838" w:orient="portrait"/>
          <w:cols w:equalWidth="0" w:num="1">
            <w:col w:w="11240"/>
          </w:cols>
          <w:pgMar w:left="320" w:top="11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highlight w:val="black"/>
        </w:rPr>
        <w:t>IN WITNESS WHEREOF</w:t>
      </w:r>
      <w:r>
        <w:rPr>
          <w:rFonts w:ascii="Arial" w:cs="Arial" w:eastAsia="Arial" w:hAnsi="Arial"/>
          <w:sz w:val="16"/>
          <w:szCs w:val="16"/>
          <w:color w:val="09090A"/>
          <w:highlight w:val="black"/>
        </w:rPr>
        <w:t>,</w:t>
      </w:r>
      <w:r>
        <w:rPr>
          <w:rFonts w:ascii="Arial" w:cs="Arial" w:eastAsia="Arial" w:hAnsi="Arial"/>
          <w:sz w:val="16"/>
          <w:szCs w:val="16"/>
          <w:color w:val="auto"/>
          <w:highlight w:val="black"/>
        </w:rPr>
        <w:t xml:space="preserve"> </w:t>
      </w:r>
      <w:r>
        <w:rPr>
          <w:rFonts w:ascii="Arial" w:cs="Arial" w:eastAsia="Arial" w:hAnsi="Arial"/>
          <w:sz w:val="16"/>
          <w:szCs w:val="16"/>
          <w:color w:val="09090A"/>
        </w:rPr>
        <w:t>the Parties have executed this Amendment, by their duly authorized representatives, as of the Effective Date.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6"/>
          <w:szCs w:val="16"/>
          <w:color w:val="111113"/>
        </w:rPr>
        <w:t>VERICEL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111113"/>
        </w:rPr>
        <w:t>ALLCARE PLUS PHARMACY LLC</w:t>
      </w:r>
    </w:p>
    <w:p>
      <w:pPr>
        <w:spacing w:after="0" w:line="200" w:lineRule="exact"/>
        <w:rPr>
          <w:sz w:val="20"/>
          <w:szCs w:val="20"/>
          <w:color w:val="auto"/>
        </w:rPr>
      </w:pPr>
    </w:p>
    <w:p>
      <w:pPr>
        <w:sectPr>
          <w:pgSz w:w="11900" w:h="16838" w:orient="portrait"/>
          <w:cols w:equalWidth="0" w:num="2">
            <w:col w:w="3580" w:space="720"/>
            <w:col w:w="6940"/>
          </w:cols>
          <w:pgMar w:left="320" w:top="117" w:right="339" w:bottom="1440" w:gutter="0" w:footer="0" w:header="0"/>
          <w:type w:val="continuous"/>
        </w:sectPr>
      </w:pPr>
    </w:p>
    <w:p>
      <w:pPr>
        <w:spacing w:after="0" w:line="1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Joe Mara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CFO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5/7/2024</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Name: Jenn Millard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VP &amp; GM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5/3/2024</w:t>
      </w:r>
    </w:p>
    <w:p>
      <w:pPr>
        <w:sectPr>
          <w:pgSz w:w="11900" w:h="16838" w:orient="portrait"/>
          <w:cols w:equalWidth="0" w:num="2">
            <w:col w:w="3580" w:space="720"/>
            <w:col w:w="6940"/>
          </w:cols>
          <w:pgMar w:left="320" w:top="117" w:right="339" w:bottom="1440" w:gutter="0" w:footer="0" w:header="0"/>
          <w:type w:val="continuous"/>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TENTH AMENDMENT TO DISTRIBUTION AGREEMENT</w:t>
      </w:r>
    </w:p>
    <w:p>
      <w:pPr>
        <w:spacing w:after="0" w:line="23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This Tenth Amendment to the Distribution Agreement ("Tenth Amendment") is between Vericel Corporation ("Vericel") and Orsini Pharmaceutical Services, Inc. (“Orsini"). This Tenth Amendment is effective as of July 1, 2024 ("Effective Date").</w:t>
      </w:r>
    </w:p>
    <w:p>
      <w:pPr>
        <w:spacing w:after="0" w:line="15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Vericel and Orsini are parties to a Distribution Agreement dated May 15, 2017 (as amended, the "Agreement"), under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Vericel engaged Orsini as a specialty pharmacy distributor for MACI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desire to amend the Agreement and extend its term to July 31, 2024;</w:t>
      </w:r>
    </w:p>
    <w:p>
      <w:pPr>
        <w:spacing w:after="0" w:line="22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Now therefore, </w:t>
      </w:r>
      <w:r>
        <w:rPr>
          <w:rFonts w:ascii="Times New Roman" w:cs="Times New Roman" w:eastAsia="Times New Roman" w:hAnsi="Times New Roman"/>
          <w:sz w:val="20"/>
          <w:szCs w:val="20"/>
          <w:color w:val="auto"/>
        </w:rPr>
        <w:t>for good and valuable consideration, the receipt and sufficiency of which is hereby acknowledged, the Parties agree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 the Agreement as follows:</w:t>
      </w:r>
    </w:p>
    <w:p>
      <w:pPr>
        <w:spacing w:after="0" w:line="192"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Section 7.1 Term</w:t>
      </w:r>
      <w:r>
        <w:rPr>
          <w:rFonts w:ascii="Times New Roman" w:cs="Times New Roman" w:eastAsia="Times New Roman" w:hAnsi="Times New Roman"/>
          <w:sz w:val="20"/>
          <w:szCs w:val="20"/>
          <w:color w:val="auto"/>
        </w:rPr>
        <w:t>. The first two sentences of Section 7.1 shall be deleted and replaced with the following:</w:t>
      </w:r>
    </w:p>
    <w:p>
      <w:pPr>
        <w:spacing w:after="0" w:line="12" w:lineRule="exact"/>
        <w:rPr>
          <w:rFonts w:ascii="Times New Roman" w:cs="Times New Roman" w:eastAsia="Times New Roman" w:hAnsi="Times New Roman"/>
          <w:sz w:val="20"/>
          <w:szCs w:val="20"/>
          <w:color w:val="auto"/>
        </w:rPr>
      </w:pPr>
    </w:p>
    <w:p>
      <w:pPr>
        <w:ind w:left="66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Term of this Agreement shall continue until </w:t>
      </w:r>
      <w:r>
        <w:rPr>
          <w:rFonts w:ascii="Times New Roman" w:cs="Times New Roman" w:eastAsia="Times New Roman" w:hAnsi="Times New Roman"/>
          <w:sz w:val="20"/>
          <w:szCs w:val="20"/>
          <w:b w:val="1"/>
          <w:bCs w:val="1"/>
          <w:color w:val="auto"/>
        </w:rPr>
        <w:t>July 31, 2024</w:t>
      </w:r>
      <w:r>
        <w:rPr>
          <w:rFonts w:ascii="Times New Roman" w:cs="Times New Roman" w:eastAsia="Times New Roman" w:hAnsi="Times New Roman"/>
          <w:sz w:val="20"/>
          <w:szCs w:val="20"/>
          <w:color w:val="auto"/>
        </w:rPr>
        <w:t xml:space="preserve"> (“Term”). The Parties may renew the Agreement for additional two year terms, upon mutual agreement. The remaining provisions of Section 7.1 shall remain.</w:t>
      </w:r>
    </w:p>
    <w:p>
      <w:pPr>
        <w:spacing w:after="0" w:line="191" w:lineRule="exact"/>
        <w:rPr>
          <w:rFonts w:ascii="Times New Roman" w:cs="Times New Roman" w:eastAsia="Times New Roman" w:hAnsi="Times New Roman"/>
          <w:sz w:val="20"/>
          <w:szCs w:val="20"/>
          <w:color w:val="auto"/>
        </w:rPr>
      </w:pPr>
    </w:p>
    <w:p>
      <w:pPr>
        <w:jc w:val="both"/>
        <w:ind w:left="660" w:right="60" w:hanging="652"/>
        <w:spacing w:after="0" w:line="249" w:lineRule="auto"/>
        <w:tabs>
          <w:tab w:leader="none" w:pos="6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Other Changes</w:t>
      </w:r>
      <w:r>
        <w:rPr>
          <w:rFonts w:ascii="Times New Roman" w:cs="Times New Roman" w:eastAsia="Times New Roman" w:hAnsi="Times New Roman"/>
          <w:sz w:val="20"/>
          <w:szCs w:val="20"/>
          <w:color w:val="auto"/>
        </w:rPr>
        <w:t>. To the extent terms in this Tenth Amendment conflict with the Agreement and/or any of the amendments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the terms of this Tenth Amendment shall prevail. Except as provided in this Tenth Amendment, the terms and conditions of the Agreement will continue in full force and effect.</w:t>
      </w:r>
    </w:p>
    <w:p>
      <w:pPr>
        <w:spacing w:after="0" w:line="188" w:lineRule="exact"/>
        <w:rPr>
          <w:rFonts w:ascii="Times New Roman" w:cs="Times New Roman" w:eastAsia="Times New Roman" w:hAnsi="Times New Roman"/>
          <w:sz w:val="20"/>
          <w:szCs w:val="20"/>
          <w:color w:val="auto"/>
        </w:rPr>
      </w:pPr>
    </w:p>
    <w:p>
      <w:pPr>
        <w:jc w:val="both"/>
        <w:ind w:left="660" w:right="140" w:hanging="652"/>
        <w:spacing w:after="0" w:line="246" w:lineRule="auto"/>
        <w:tabs>
          <w:tab w:leader="none" w:pos="6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Counterparts/Signatures</w:t>
      </w:r>
      <w:r>
        <w:rPr>
          <w:rFonts w:ascii="Times New Roman" w:cs="Times New Roman" w:eastAsia="Times New Roman" w:hAnsi="Times New Roman"/>
          <w:sz w:val="20"/>
          <w:szCs w:val="20"/>
          <w:color w:val="auto"/>
        </w:rPr>
        <w:t>. This Tenth Amendment may be executed in multiple counterparts, each of which constitutes an original,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all of which, collectively, constitute only one agreement. The signatures of the parties need not appear on the same counterpart, and delivery of an executed counterpart signature page by facsimile or other form of electronic transmission shall be as effective as executing and delivering this Tenth Amendment in the presence of the other parties to this Tenth Amendment.</w:t>
      </w:r>
    </w:p>
    <w:p>
      <w:pPr>
        <w:spacing w:after="0" w:line="19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executed this Tenth Amendment as of its Effective Date.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Vericel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Orsini Pharmaceutical Services, Inc.</w:t>
      </w:r>
    </w:p>
    <w:p>
      <w:pPr>
        <w:spacing w:after="0" w:line="200" w:lineRule="exact"/>
        <w:rPr>
          <w:sz w:val="20"/>
          <w:szCs w:val="20"/>
          <w:color w:val="auto"/>
        </w:rPr>
      </w:pPr>
    </w:p>
    <w:p>
      <w:pPr>
        <w:sectPr>
          <w:pgSz w:w="11900" w:h="16838" w:orient="portrait"/>
          <w:cols w:equalWidth="0" w:num="2">
            <w:col w:w="3280" w:space="720"/>
            <w:col w:w="7240"/>
          </w:cols>
          <w:pgMar w:left="320" w:top="117" w:right="339" w:bottom="1440" w:gutter="0" w:footer="0" w:header="0"/>
          <w:type w:val="continuous"/>
        </w:sectPr>
      </w:pPr>
    </w:p>
    <w:p>
      <w:pPr>
        <w:spacing w:after="0" w:line="1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By:</w:t>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Name: Roland DeAngelis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Title: Chief Commercial Officer</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Eyad Farah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Title: Chief Operating Officer</w:t>
      </w:r>
    </w:p>
    <w:p>
      <w:pPr>
        <w:spacing w:after="0" w:line="200" w:lineRule="exact"/>
        <w:rPr>
          <w:sz w:val="20"/>
          <w:szCs w:val="20"/>
          <w:color w:val="auto"/>
        </w:rPr>
      </w:pPr>
    </w:p>
    <w:p>
      <w:pPr>
        <w:sectPr>
          <w:pgSz w:w="11900" w:h="16838" w:orient="portrait"/>
          <w:cols w:equalWidth="0" w:num="2">
            <w:col w:w="3280" w:space="720"/>
            <w:col w:w="7240"/>
          </w:cols>
          <w:pgMar w:left="320" w:top="117" w:right="339" w:bottom="1440" w:gutter="0" w:footer="0" w:header="0"/>
          <w:type w:val="continuous"/>
        </w:sectPr>
      </w:pPr>
    </w:p>
    <w:p>
      <w:pPr>
        <w:spacing w:after="0" w:line="1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Date: 28-Jun-2024</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28-Jun-2024</w:t>
      </w:r>
    </w:p>
    <w:p>
      <w:pPr>
        <w:sectPr>
          <w:pgSz w:w="11900" w:h="16838" w:orient="portrait"/>
          <w:cols w:equalWidth="0" w:num="2">
            <w:col w:w="3280" w:space="720"/>
            <w:col w:w="7240"/>
          </w:cols>
          <w:pgMar w:left="320" w:top="117" w:right="339" w:bottom="1440" w:gutter="0" w:footer="0" w:header="0"/>
          <w:type w:val="continuous"/>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Dominick C. Colangelo, certify that:</w:t>
      </w:r>
    </w:p>
    <w:p>
      <w:pPr>
        <w:spacing w:after="0" w:line="225" w:lineRule="exact"/>
        <w:rPr>
          <w:sz w:val="20"/>
          <w:szCs w:val="20"/>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Vericel Corporation;</w:t>
      </w:r>
    </w:p>
    <w:p>
      <w:pPr>
        <w:spacing w:after="0" w:line="225" w:lineRule="exact"/>
        <w:rPr>
          <w:rFonts w:ascii="Times New Roman" w:cs="Times New Roman" w:eastAsia="Times New Roman" w:hAnsi="Times New Roman"/>
          <w:sz w:val="18"/>
          <w:szCs w:val="18"/>
          <w:color w:val="auto"/>
        </w:rPr>
      </w:pPr>
    </w:p>
    <w:p>
      <w:pPr>
        <w:jc w:val="both"/>
        <w:ind w:right="260" w:firstLine="8"/>
        <w:spacing w:after="0" w:line="282" w:lineRule="auto"/>
        <w:tabs>
          <w:tab w:leader="none" w:pos="49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40" w:firstLine="8"/>
        <w:spacing w:after="0" w:line="282" w:lineRule="auto"/>
        <w:tabs>
          <w:tab w:leader="none" w:pos="49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49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firstLine="1182"/>
        <w:spacing w:after="0" w:line="266" w:lineRule="auto"/>
        <w:tabs>
          <w:tab w:leader="none" w:pos="141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80" w:firstLine="1182"/>
        <w:spacing w:after="0" w:line="266" w:lineRule="auto"/>
        <w:tabs>
          <w:tab w:leader="none" w:pos="142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20" w:firstLine="1182"/>
        <w:spacing w:after="0" w:line="282" w:lineRule="auto"/>
        <w:tabs>
          <w:tab w:leader="none" w:pos="141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80" w:firstLine="1182"/>
        <w:spacing w:after="0" w:line="266" w:lineRule="auto"/>
        <w:tabs>
          <w:tab w:leader="none" w:pos="142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60" w:firstLine="8"/>
        <w:spacing w:after="0" w:line="282" w:lineRule="auto"/>
        <w:tabs>
          <w:tab w:leader="none" w:pos="49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340" w:firstLine="1182"/>
        <w:spacing w:after="0" w:line="282" w:lineRule="auto"/>
        <w:tabs>
          <w:tab w:leader="none" w:pos="140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1182"/>
        <w:spacing w:after="0" w:line="282" w:lineRule="auto"/>
        <w:tabs>
          <w:tab w:leader="none" w:pos="141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August 1, 2024</w:t>
      </w:r>
    </w:p>
    <w:p>
      <w:pPr>
        <w:spacing w:after="0" w:line="36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29743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7"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8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A. Mara, certify that:</w:t>
      </w:r>
    </w:p>
    <w:p>
      <w:pPr>
        <w:spacing w:after="0" w:line="225" w:lineRule="exact"/>
        <w:rPr>
          <w:sz w:val="20"/>
          <w:szCs w:val="20"/>
          <w:color w:val="auto"/>
        </w:rPr>
      </w:pPr>
    </w:p>
    <w:p>
      <w:pPr>
        <w:ind w:left="440" w:hanging="189"/>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Vericel Corporation;</w:t>
      </w:r>
    </w:p>
    <w:p>
      <w:pPr>
        <w:spacing w:after="0" w:line="225" w:lineRule="exact"/>
        <w:rPr>
          <w:rFonts w:ascii="Times New Roman" w:cs="Times New Roman" w:eastAsia="Times New Roman" w:hAnsi="Times New Roman"/>
          <w:sz w:val="18"/>
          <w:szCs w:val="18"/>
          <w:color w:val="auto"/>
        </w:rPr>
      </w:pPr>
    </w:p>
    <w:p>
      <w:pPr>
        <w:ind w:right="260" w:firstLine="251"/>
        <w:spacing w:after="0" w:line="282" w:lineRule="auto"/>
        <w:tabs>
          <w:tab w:leader="none" w:pos="4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300" w:firstLine="251"/>
        <w:spacing w:after="0" w:line="282" w:lineRule="auto"/>
        <w:tabs>
          <w:tab w:leader="none" w:pos="4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251"/>
        <w:spacing w:after="0" w:line="266" w:lineRule="auto"/>
        <w:tabs>
          <w:tab w:leader="none" w:pos="4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534"/>
        <w:spacing w:after="0" w:line="266" w:lineRule="auto"/>
        <w:tabs>
          <w:tab w:leader="none" w:pos="77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534"/>
        <w:spacing w:after="0" w:line="266" w:lineRule="auto"/>
        <w:tabs>
          <w:tab w:leader="none" w:pos="78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60" w:firstLine="534"/>
        <w:spacing w:after="0" w:line="282" w:lineRule="auto"/>
        <w:tabs>
          <w:tab w:leader="none" w:pos="77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534"/>
        <w:spacing w:after="0" w:line="266" w:lineRule="auto"/>
        <w:tabs>
          <w:tab w:leader="none" w:pos="78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0" w:firstLine="251"/>
        <w:spacing w:after="0" w:line="282" w:lineRule="auto"/>
        <w:tabs>
          <w:tab w:leader="none" w:pos="4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60" w:firstLine="534"/>
        <w:spacing w:after="0" w:line="282" w:lineRule="auto"/>
        <w:tabs>
          <w:tab w:leader="none" w:pos="76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34"/>
        <w:spacing w:after="0" w:line="282" w:lineRule="auto"/>
        <w:tabs>
          <w:tab w:leader="none" w:pos="77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August 1, 2024</w:t>
      </w:r>
    </w:p>
    <w:p>
      <w:pPr>
        <w:spacing w:after="0" w:line="36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 JOSEPH A.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29743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16"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Joseph A. Mara</w:t>
      </w:r>
    </w:p>
    <w:p>
      <w:pPr>
        <w:spacing w:after="0" w:line="27"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88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36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Vericel Corporation (the “Company”) on Form 10-Q for the quarter ended June 30, 2024,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76" w:lineRule="exact"/>
        <w:rPr>
          <w:sz w:val="20"/>
          <w:szCs w:val="20"/>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and 15(d) of the Securities Exchange Act of 1934; and</w:t>
      </w:r>
    </w:p>
    <w:p>
      <w:pPr>
        <w:spacing w:after="0" w:line="225" w:lineRule="exact"/>
        <w:rPr>
          <w:rFonts w:ascii="Times New Roman" w:cs="Times New Roman" w:eastAsia="Times New Roman" w:hAnsi="Times New Roman"/>
          <w:sz w:val="18"/>
          <w:szCs w:val="18"/>
          <w:color w:val="auto"/>
        </w:rPr>
      </w:pPr>
    </w:p>
    <w:p>
      <w:pPr>
        <w:ind w:right="420" w:firstLine="8"/>
        <w:spacing w:after="0" w:line="532" w:lineRule="auto"/>
        <w:tabs>
          <w:tab w:leader="none" w:pos="36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August 1, 2024</w:t>
      </w:r>
    </w:p>
    <w:p>
      <w:pPr>
        <w:spacing w:after="0" w:line="81"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20"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/s/ JOSEPH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Joseph Mara</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lowerLetter"/>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47" Type="http://schemas.openxmlformats.org/officeDocument/2006/relationships/hyperlink" Target="https://www.sec.gov/Archives/edgar/data/887359/000129993309004957/exhibit1.htm" TargetMode="External"/><Relationship Id="rId48" Type="http://schemas.openxmlformats.org/officeDocument/2006/relationships/hyperlink" Target="https://www.sec.gov/Archives/edgar/data/887359/000095012310030777/b80276exv3w2.htm" TargetMode="External"/><Relationship Id="rId49" Type="http://schemas.openxmlformats.org/officeDocument/2006/relationships/hyperlink" Target="https://www.sec.gov/Archives/edgar/data/887359/000095012311029237/a59068exv3w1.htm" TargetMode="External"/><Relationship Id="rId50" Type="http://schemas.openxmlformats.org/officeDocument/2006/relationships/hyperlink" Target="https://www.sec.gov/Archives/edgar/data/887359/000110465914083052/a14-25082_1ex3d1.htm" TargetMode="External"/><Relationship Id="rId51" Type="http://schemas.openxmlformats.org/officeDocument/2006/relationships/hyperlink" Target="https://www.sec.gov/Archives/edgar/data/887359/000129993310004053/exhibit1.htm" TargetMode="External"/><Relationship Id="rId52" Type="http://schemas.openxmlformats.org/officeDocument/2006/relationships/hyperlink" Target="https://www.sec.gov/Archives/edgar/data/887359/000162828020002229/ex45descriptionofcap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2024-08-01T08:08:35Z</dcterms:created>
  <dcterms:modified xsi:type="dcterms:W3CDTF">2024-08-01T08:08:35Z</dcterms:modified>
</cp:coreProperties>
</file>