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10-K</w:t>
      </w:r>
    </w:p>
    <w:p>
      <w:pPr>
        <w:spacing w:after="0" w:line="139"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2018</w:t>
      </w:r>
    </w:p>
    <w:p>
      <w:pPr>
        <w:jc w:val="center"/>
        <w:ind w:right="-79"/>
        <w:spacing w:after="0" w:line="215" w:lineRule="auto"/>
        <w:rPr>
          <w:sz w:val="20"/>
          <w:szCs w:val="20"/>
          <w:color w:val="auto"/>
        </w:rPr>
      </w:pPr>
      <w:r>
        <w:rPr>
          <w:rFonts w:ascii="Arial" w:cs="Arial" w:eastAsia="Arial" w:hAnsi="Arial"/>
          <w:sz w:val="18"/>
          <w:szCs w:val="18"/>
          <w:b w:val="1"/>
          <w:bCs w:val="1"/>
          <w:color w:val="auto"/>
        </w:rPr>
        <w:t>or</w:t>
      </w:r>
    </w:p>
    <w:p>
      <w:pPr>
        <w:spacing w:after="0" w:line="1" w:lineRule="exact"/>
        <w:rPr>
          <w:sz w:val="24"/>
          <w:szCs w:val="24"/>
          <w:color w:val="auto"/>
        </w:rPr>
      </w:pPr>
    </w:p>
    <w:p>
      <w:pPr>
        <w:ind w:left="80"/>
        <w:spacing w:after="0"/>
        <w:rPr>
          <w:sz w:val="20"/>
          <w:szCs w:val="20"/>
          <w:color w:val="auto"/>
        </w:rPr>
      </w:pPr>
      <w:r>
        <w:rPr>
          <w:rFonts w:ascii="Arial" w:cs="Arial" w:eastAsia="Arial" w:hAnsi="Arial"/>
          <w:sz w:val="21"/>
          <w:szCs w:val="21"/>
          <w:b w:val="1"/>
          <w:bCs w:val="1"/>
          <w:color w:val="auto"/>
        </w:rPr>
        <w:t>o  TRANSITION REPORT PURSUANT TO SECTION 13 OR 15(d) OF THE SECURITIES EXCHANGE ACT OF 1934</w:t>
      </w:r>
    </w:p>
    <w:p>
      <w:pPr>
        <w:spacing w:after="0" w:line="27"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5140" w:type="dxa"/>
            <w:vAlign w:val="bottom"/>
            <w:gridSpan w:val="3"/>
          </w:tcPr>
          <w:p>
            <w:pPr>
              <w:ind w:left="280"/>
              <w:spacing w:after="0"/>
              <w:rPr>
                <w:sz w:val="20"/>
                <w:szCs w:val="20"/>
                <w:color w:val="auto"/>
              </w:rPr>
            </w:pPr>
            <w:r>
              <w:rPr>
                <w:rFonts w:ascii="Arial" w:cs="Arial" w:eastAsia="Arial" w:hAnsi="Arial"/>
                <w:sz w:val="18"/>
                <w:szCs w:val="18"/>
                <w:b w:val="1"/>
                <w:bCs w:val="1"/>
                <w:color w:val="auto"/>
              </w:rPr>
              <w:t>Commission File Number 001-35280</w:t>
            </w:r>
          </w:p>
        </w:tc>
      </w:tr>
      <w:tr>
        <w:trPr>
          <w:trHeight w:val="427"/>
        </w:trPr>
        <w:tc>
          <w:tcPr>
            <w:tcW w:w="8580" w:type="dxa"/>
            <w:vAlign w:val="bottom"/>
            <w:gridSpan w:val="4"/>
          </w:tcPr>
          <w:p>
            <w:pPr>
              <w:jc w:val="center"/>
              <w:ind w:left="1198"/>
              <w:spacing w:after="0"/>
              <w:rPr>
                <w:sz w:val="20"/>
                <w:szCs w:val="20"/>
                <w:color w:val="auto"/>
              </w:rPr>
            </w:pPr>
            <w:r>
              <w:rPr>
                <w:rFonts w:ascii="Arial" w:cs="Arial" w:eastAsia="Arial" w:hAnsi="Arial"/>
                <w:sz w:val="32"/>
                <w:szCs w:val="32"/>
                <w:b w:val="1"/>
                <w:bCs w:val="1"/>
                <w:color w:val="auto"/>
              </w:rPr>
              <w:t>VERICEL CORPORATION</w:t>
            </w:r>
          </w:p>
        </w:tc>
      </w:tr>
      <w:tr>
        <w:trPr>
          <w:trHeight w:val="182"/>
        </w:trPr>
        <w:tc>
          <w:tcPr>
            <w:tcW w:w="3440" w:type="dxa"/>
            <w:vAlign w:val="bottom"/>
          </w:tcPr>
          <w:p>
            <w:pPr>
              <w:spacing w:after="0"/>
              <w:rPr>
                <w:sz w:val="15"/>
                <w:szCs w:val="15"/>
                <w:color w:val="auto"/>
              </w:rPr>
            </w:pPr>
          </w:p>
        </w:tc>
        <w:tc>
          <w:tcPr>
            <w:tcW w:w="5140" w:type="dxa"/>
            <w:vAlign w:val="bottom"/>
            <w:gridSpan w:val="3"/>
          </w:tcPr>
          <w:p>
            <w:pPr>
              <w:jc w:val="center"/>
              <w:ind w:right="2088"/>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49"/>
        </w:trPr>
        <w:tc>
          <w:tcPr>
            <w:tcW w:w="3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2620" w:type="dxa"/>
            <w:vAlign w:val="bottom"/>
          </w:tcPr>
          <w:p>
            <w:pPr>
              <w:spacing w:after="0"/>
              <w:rPr>
                <w:sz w:val="21"/>
                <w:szCs w:val="21"/>
                <w:color w:val="auto"/>
              </w:rPr>
            </w:pPr>
          </w:p>
        </w:tc>
      </w:tr>
      <w:tr>
        <w:trPr>
          <w:trHeight w:val="326"/>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5"/>
              </w:rPr>
              <w:t>Michigan</w:t>
            </w:r>
          </w:p>
        </w:tc>
        <w:tc>
          <w:tcPr>
            <w:tcW w:w="514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94-3096597</w:t>
            </w:r>
          </w:p>
        </w:tc>
      </w:tr>
      <w:tr>
        <w:trPr>
          <w:trHeight w:val="203"/>
        </w:trPr>
        <w:tc>
          <w:tcPr>
            <w:tcW w:w="3440" w:type="dxa"/>
            <w:vAlign w:val="bottom"/>
          </w:tcPr>
          <w:p>
            <w:pPr>
              <w:jc w:val="center"/>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20" w:type="dxa"/>
            <w:vAlign w:val="bottom"/>
          </w:tcPr>
          <w:p>
            <w:pPr>
              <w:jc w:val="center"/>
              <w:ind w:left="468"/>
              <w:spacing w:after="0"/>
              <w:rPr>
                <w:sz w:val="20"/>
                <w:szCs w:val="20"/>
                <w:color w:val="auto"/>
              </w:rPr>
            </w:pPr>
            <w:r>
              <w:rPr>
                <w:rFonts w:ascii="Arial" w:cs="Arial" w:eastAsia="Arial" w:hAnsi="Arial"/>
                <w:sz w:val="14"/>
                <w:szCs w:val="14"/>
                <w:color w:val="auto"/>
                <w:w w:val="96"/>
              </w:rPr>
              <w:t>(I.R.S. Employer Identification No.)</w:t>
            </w:r>
          </w:p>
        </w:tc>
      </w:tr>
    </w:tbl>
    <w:p>
      <w:pPr>
        <w:spacing w:after="0" w:line="7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64 Sidney Street</w:t>
      </w:r>
    </w:p>
    <w:p>
      <w:pPr>
        <w:jc w:val="center"/>
        <w:ind w:right="-79"/>
        <w:spacing w:after="0" w:line="193" w:lineRule="auto"/>
        <w:rPr>
          <w:sz w:val="20"/>
          <w:szCs w:val="20"/>
          <w:color w:val="auto"/>
        </w:rPr>
      </w:pPr>
      <w:r>
        <w:rPr>
          <w:rFonts w:ascii="Arial" w:cs="Arial" w:eastAsia="Arial" w:hAnsi="Arial"/>
          <w:sz w:val="18"/>
          <w:szCs w:val="18"/>
          <w:b w:val="1"/>
          <w:bCs w:val="1"/>
          <w:color w:val="auto"/>
        </w:rPr>
        <w:t>Cambridge, MA 02139</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(800) 556-0311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169545</wp:posOffset>
            </wp:positionV>
            <wp:extent cx="12947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17145"/>
                    </a:xfrm>
                    <a:prstGeom prst="rect">
                      <a:avLst/>
                    </a:prstGeom>
                    <a:noFill/>
                  </pic:spPr>
                </pic:pic>
              </a:graphicData>
            </a:graphic>
          </wp:anchor>
        </w:drawing>
      </w:r>
    </w:p>
    <w:p>
      <w:pPr>
        <w:spacing w:after="0" w:line="377"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45" w:lineRule="exact"/>
        <w:rPr>
          <w:sz w:val="24"/>
          <w:szCs w:val="24"/>
          <w:color w:val="auto"/>
        </w:rPr>
      </w:pPr>
    </w:p>
    <w:tbl>
      <w:tblPr>
        <w:tblLayout w:type="fixed"/>
        <w:tblInd w:w="1960" w:type="dxa"/>
        <w:tblCellMar>
          <w:top w:w="0" w:type="dxa"/>
          <w:left w:w="0" w:type="dxa"/>
          <w:bottom w:w="0" w:type="dxa"/>
          <w:right w:w="0" w:type="dxa"/>
        </w:tblCellMar>
      </w:tblPr>
      <w:tr>
        <w:trPr>
          <w:trHeight w:val="174"/>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Title of Class</w:t>
            </w:r>
          </w:p>
        </w:tc>
        <w:tc>
          <w:tcPr>
            <w:tcW w:w="120" w:type="dxa"/>
            <w:vAlign w:val="bottom"/>
          </w:tcPr>
          <w:p>
            <w:pPr>
              <w:spacing w:after="0"/>
              <w:rPr>
                <w:sz w:val="15"/>
                <w:szCs w:val="15"/>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224"/>
        </w:trPr>
        <w:tc>
          <w:tcPr>
            <w:tcW w:w="354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Common Stock (No par value)</w:t>
            </w:r>
          </w:p>
        </w:tc>
        <w:tc>
          <w:tcPr>
            <w:tcW w:w="3640" w:type="dxa"/>
            <w:vAlign w:val="bottom"/>
          </w:tcPr>
          <w:p>
            <w:pPr>
              <w:jc w:val="center"/>
              <w:spacing w:after="0"/>
              <w:rPr>
                <w:sz w:val="20"/>
                <w:szCs w:val="20"/>
                <w:color w:val="auto"/>
              </w:rPr>
            </w:pPr>
            <w:r>
              <w:rPr>
                <w:rFonts w:ascii="Arial" w:cs="Arial" w:eastAsia="Arial" w:hAnsi="Arial"/>
                <w:sz w:val="16"/>
                <w:szCs w:val="16"/>
                <w:color w:val="auto"/>
                <w:w w:val="95"/>
              </w:rPr>
              <w:t>The NASDAQ Stock Market, Inc.</w:t>
            </w:r>
          </w:p>
        </w:tc>
      </w:tr>
    </w:tbl>
    <w:p>
      <w:pPr>
        <w:spacing w:after="0" w:line="19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w:t>
      </w:r>
    </w:p>
    <w:p>
      <w:pPr>
        <w:spacing w:after="0" w:line="11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 o No x</w:t>
      </w:r>
    </w:p>
    <w:p>
      <w:pPr>
        <w:spacing w:after="0" w:line="46" w:lineRule="exact"/>
        <w:rPr>
          <w:sz w:val="24"/>
          <w:szCs w:val="24"/>
          <w:color w:val="auto"/>
        </w:rPr>
      </w:pPr>
    </w:p>
    <w:p>
      <w:pPr>
        <w:ind w:right="120" w:firstLine="365"/>
        <w:spacing w:after="0" w:line="23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9" w:lineRule="exact"/>
        <w:rPr>
          <w:sz w:val="24"/>
          <w:szCs w:val="24"/>
          <w:color w:val="auto"/>
        </w:rPr>
      </w:pPr>
    </w:p>
    <w:p>
      <w:pPr>
        <w:ind w:right="20" w:firstLine="324"/>
        <w:spacing w:after="0" w:line="27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95" w:lineRule="exact"/>
        <w:rPr>
          <w:sz w:val="24"/>
          <w:szCs w:val="24"/>
          <w:color w:val="auto"/>
        </w:rPr>
      </w:pPr>
    </w:p>
    <w:p>
      <w:pPr>
        <w:ind w:firstLine="324"/>
        <w:spacing w:after="0" w:line="272" w:lineRule="auto"/>
        <w:rPr>
          <w:sz w:val="20"/>
          <w:szCs w:val="20"/>
          <w:color w:val="auto"/>
        </w:rPr>
      </w:pPr>
      <w:r>
        <w:rPr>
          <w:rFonts w:ascii="Arial" w:cs="Arial" w:eastAsia="Arial" w:hAnsi="Arial"/>
          <w:sz w:val="15"/>
          <w:szCs w:val="15"/>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x</w:t>
      </w:r>
    </w:p>
    <w:p>
      <w:pPr>
        <w:spacing w:after="0" w:line="95" w:lineRule="exact"/>
        <w:rPr>
          <w:sz w:val="24"/>
          <w:szCs w:val="24"/>
          <w:color w:val="auto"/>
        </w:rPr>
      </w:pPr>
    </w:p>
    <w:p>
      <w:pPr>
        <w:jc w:val="both"/>
        <w:ind w:right="240" w:firstLine="243"/>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ind w:left="2140"/>
        <w:spacing w:after="0"/>
        <w:tabs>
          <w:tab w:leader="none" w:pos="7780" w:val="left"/>
        </w:tabs>
        <w:rPr>
          <w:sz w:val="20"/>
          <w:szCs w:val="20"/>
          <w:color w:val="auto"/>
        </w:rPr>
      </w:pPr>
      <w:r>
        <w:rPr>
          <w:rFonts w:ascii="Arial" w:cs="Arial" w:eastAsia="Arial" w:hAnsi="Arial"/>
          <w:sz w:val="14"/>
          <w:szCs w:val="14"/>
          <w:color w:val="auto"/>
        </w:rPr>
        <w:t>Large accelerated filer - o</w:t>
      </w:r>
      <w:r>
        <w:rPr>
          <w:sz w:val="20"/>
          <w:szCs w:val="20"/>
          <w:color w:val="auto"/>
        </w:rPr>
        <w:tab/>
      </w:r>
      <w:r>
        <w:rPr>
          <w:rFonts w:ascii="Arial" w:cs="Arial" w:eastAsia="Arial" w:hAnsi="Arial"/>
          <w:sz w:val="13"/>
          <w:szCs w:val="13"/>
          <w:color w:val="auto"/>
        </w:rPr>
        <w:t>Accelerated filer - x</w:t>
      </w:r>
    </w:p>
    <w:p>
      <w:pPr>
        <w:spacing w:after="0" w:line="42" w:lineRule="exact"/>
        <w:rPr>
          <w:sz w:val="24"/>
          <w:szCs w:val="24"/>
          <w:color w:val="auto"/>
        </w:rPr>
      </w:pPr>
    </w:p>
    <w:p>
      <w:pPr>
        <w:ind w:left="2180"/>
        <w:spacing w:after="0"/>
        <w:tabs>
          <w:tab w:leader="none" w:pos="7480" w:val="left"/>
        </w:tabs>
        <w:rPr>
          <w:sz w:val="20"/>
          <w:szCs w:val="20"/>
          <w:color w:val="auto"/>
        </w:rPr>
      </w:pPr>
      <w:r>
        <w:rPr>
          <w:rFonts w:ascii="Arial" w:cs="Arial" w:eastAsia="Arial" w:hAnsi="Arial"/>
          <w:sz w:val="14"/>
          <w:szCs w:val="14"/>
          <w:color w:val="auto"/>
        </w:rPr>
        <w:t>Non-accelerated filer - o</w:t>
      </w:r>
      <w:r>
        <w:rPr>
          <w:sz w:val="20"/>
          <w:szCs w:val="20"/>
          <w:color w:val="auto"/>
        </w:rPr>
        <w:tab/>
      </w:r>
      <w:r>
        <w:rPr>
          <w:rFonts w:ascii="Arial" w:cs="Arial" w:eastAsia="Arial" w:hAnsi="Arial"/>
          <w:sz w:val="13"/>
          <w:szCs w:val="13"/>
          <w:color w:val="auto"/>
        </w:rPr>
        <w:t>Smaller reporting company - x</w:t>
      </w:r>
    </w:p>
    <w:p>
      <w:pPr>
        <w:spacing w:after="0" w:line="109" w:lineRule="exact"/>
        <w:rPr>
          <w:sz w:val="24"/>
          <w:szCs w:val="24"/>
          <w:color w:val="auto"/>
        </w:rPr>
      </w:pPr>
    </w:p>
    <w:p>
      <w:pPr>
        <w:ind w:left="7500"/>
        <w:spacing w:after="0"/>
        <w:rPr>
          <w:sz w:val="20"/>
          <w:szCs w:val="20"/>
          <w:color w:val="auto"/>
        </w:rPr>
      </w:pPr>
      <w:r>
        <w:rPr>
          <w:rFonts w:ascii="Arial" w:cs="Arial" w:eastAsia="Arial" w:hAnsi="Arial"/>
          <w:sz w:val="14"/>
          <w:szCs w:val="14"/>
          <w:color w:val="auto"/>
        </w:rPr>
        <w:t>Emerging growth company - o</w:t>
      </w:r>
    </w:p>
    <w:p>
      <w:pPr>
        <w:spacing w:after="0" w:line="23" w:lineRule="exact"/>
        <w:rPr>
          <w:sz w:val="24"/>
          <w:szCs w:val="24"/>
          <w:color w:val="auto"/>
        </w:rPr>
      </w:pPr>
    </w:p>
    <w:p>
      <w:pPr>
        <w:ind w:right="380"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0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140" w:lineRule="exact"/>
        <w:rPr>
          <w:sz w:val="24"/>
          <w:szCs w:val="24"/>
          <w:color w:val="auto"/>
        </w:rPr>
      </w:pPr>
    </w:p>
    <w:p>
      <w:pPr>
        <w:ind w:right="240" w:firstLine="324"/>
        <w:spacing w:after="0" w:line="241" w:lineRule="auto"/>
        <w:rPr>
          <w:sz w:val="20"/>
          <w:szCs w:val="20"/>
          <w:color w:val="auto"/>
        </w:rPr>
      </w:pPr>
      <w:r>
        <w:rPr>
          <w:rFonts w:ascii="Arial" w:cs="Arial" w:eastAsia="Arial" w:hAnsi="Arial"/>
          <w:sz w:val="15"/>
          <w:szCs w:val="15"/>
          <w:color w:val="auto"/>
        </w:rPr>
        <w:t>The aggregate market value of the registrant’s Common Stock, no par value per share (“Common Stock”), held by non-affiliates of the registrant (based on the closing sales price of the Common Stock as reported on the NASDAQ Capital Market) on June 30, 2018 was approximately $412,774,169. This computation excludes shares of Common Stock held by directors, officers and each person who holds 5% or more of the outstanding shares of Common Stock, since such persons may be deemed to be affiliates of the registrant. This determination of affiliate status is not necessarily a conclusive determination for other purposes.</w:t>
      </w:r>
    </w:p>
    <w:p>
      <w:pPr>
        <w:spacing w:after="0" w:line="11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February 22, 2019, 43,753,005 shares of Common Stock, no par value per share, were outstanding.</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DOCUMENTS INCORPORATED BY REFERENCE</w:t>
      </w:r>
    </w:p>
    <w:p>
      <w:pPr>
        <w:spacing w:after="0" w:line="316" w:lineRule="exact"/>
        <w:rPr>
          <w:sz w:val="24"/>
          <w:szCs w:val="24"/>
          <w:color w:val="auto"/>
        </w:rPr>
      </w:pPr>
    </w:p>
    <w:p>
      <w:pPr>
        <w:ind w:left="3140"/>
        <w:spacing w:after="0"/>
        <w:tabs>
          <w:tab w:leader="none" w:pos="8260" w:val="left"/>
        </w:tabs>
        <w:rPr>
          <w:sz w:val="20"/>
          <w:szCs w:val="20"/>
          <w:color w:val="auto"/>
        </w:rPr>
      </w:pPr>
      <w:r>
        <w:rPr>
          <w:rFonts w:ascii="Arial" w:cs="Arial" w:eastAsia="Arial" w:hAnsi="Arial"/>
          <w:sz w:val="13"/>
          <w:szCs w:val="13"/>
          <w:b w:val="1"/>
          <w:bCs w:val="1"/>
          <w:color w:val="auto"/>
        </w:rPr>
        <w:t>Document</w:t>
      </w:r>
      <w:r>
        <w:rPr>
          <w:sz w:val="20"/>
          <w:szCs w:val="20"/>
          <w:color w:val="auto"/>
        </w:rPr>
        <w:tab/>
      </w:r>
      <w:r>
        <w:rPr>
          <w:rFonts w:ascii="Arial" w:cs="Arial" w:eastAsia="Arial" w:hAnsi="Arial"/>
          <w:sz w:val="13"/>
          <w:szCs w:val="13"/>
          <w:b w:val="1"/>
          <w:bCs w:val="1"/>
          <w:color w:val="auto"/>
        </w:rPr>
        <w:t>Form 10-K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646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ectPr>
          <w:pgSz w:w="11900" w:h="16838" w:orient="portrait"/>
          <w:cols w:equalWidth="0" w:num="1">
            <w:col w:w="11360"/>
          </w:cols>
          <w:pgMar w:left="240" w:top="1026" w:right="299" w:bottom="1440" w:gutter="0" w:footer="0" w:header="0"/>
        </w:sectPr>
      </w:pPr>
    </w:p>
    <w:p>
      <w:pPr>
        <w:spacing w:after="0" w:line="53"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14"/>
          <w:szCs w:val="14"/>
          <w:color w:val="auto"/>
        </w:rPr>
        <w:t>Proxy Statement for the Annual Meeting of Shareholders scheduled for May 1, 2019</w:t>
      </w:r>
      <w:r>
        <w:rPr>
          <w:sz w:val="20"/>
          <w:szCs w:val="20"/>
          <w:color w:val="auto"/>
        </w:rPr>
        <w:tab/>
      </w:r>
      <w:r>
        <w:rPr>
          <w:rFonts w:ascii="Arial" w:cs="Arial" w:eastAsia="Arial" w:hAnsi="Arial"/>
          <w:sz w:val="13"/>
          <w:szCs w:val="13"/>
          <w:color w:val="auto"/>
        </w:rPr>
        <w:t>Items 10, 11, 12, 13 and 14 of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026"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80" w:type="dxa"/>
            <w:vAlign w:val="bottom"/>
            <w:gridSpan w:val="9"/>
          </w:tcPr>
          <w:p>
            <w:pPr>
              <w:jc w:val="center"/>
              <w:ind w:right="3780"/>
              <w:spacing w:after="0"/>
              <w:rPr>
                <w:sz w:val="20"/>
                <w:szCs w:val="20"/>
                <w:color w:val="auto"/>
              </w:rPr>
            </w:pPr>
            <w:r>
              <w:rPr>
                <w:rFonts w:ascii="Arial" w:cs="Arial" w:eastAsia="Arial" w:hAnsi="Arial"/>
                <w:sz w:val="18"/>
                <w:szCs w:val="18"/>
                <w:b w:val="1"/>
                <w:bCs w:val="1"/>
                <w:color w:val="auto"/>
              </w:rPr>
              <w:t>VERICEL CORPORATION</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580" w:type="dxa"/>
            <w:vAlign w:val="bottom"/>
            <w:gridSpan w:val="10"/>
          </w:tcPr>
          <w:p>
            <w:pPr>
              <w:jc w:val="center"/>
              <w:ind w:right="3480"/>
              <w:spacing w:after="0"/>
              <w:rPr>
                <w:sz w:val="20"/>
                <w:szCs w:val="20"/>
                <w:color w:val="auto"/>
              </w:rPr>
            </w:pPr>
            <w:r>
              <w:rPr>
                <w:rFonts w:ascii="Arial" w:cs="Arial" w:eastAsia="Arial" w:hAnsi="Arial"/>
                <w:sz w:val="18"/>
                <w:szCs w:val="18"/>
                <w:b w:val="1"/>
                <w:bCs w:val="1"/>
                <w:color w:val="auto"/>
                <w:w w:val="99"/>
              </w:rPr>
              <w:t>ANNUAL REPORT ON FORM 10-K</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gridSpan w:val="8"/>
          </w:tcPr>
          <w:p>
            <w:pPr>
              <w:jc w:val="center"/>
              <w:ind w:right="3920"/>
              <w:spacing w:after="0"/>
              <w:rPr>
                <w:sz w:val="20"/>
                <w:szCs w:val="20"/>
                <w:color w:val="auto"/>
              </w:rPr>
            </w:pPr>
            <w:r>
              <w:rPr>
                <w:rFonts w:ascii="Arial" w:cs="Arial" w:eastAsia="Arial" w:hAnsi="Arial"/>
                <w:sz w:val="18"/>
                <w:szCs w:val="18"/>
                <w:b w:val="1"/>
                <w:bCs w:val="1"/>
                <w:color w:val="auto"/>
                <w:w w:val="98"/>
              </w:rPr>
              <w:t>TABLE OF CONTENTS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230"/>
        </w:trPr>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80" w:type="dxa"/>
            <w:vAlign w:val="bottom"/>
            <w:gridSpan w:val="6"/>
          </w:tcPr>
          <w:p>
            <w:pPr>
              <w:jc w:val="center"/>
              <w:ind w:right="4380"/>
              <w:spacing w:after="0"/>
              <w:rPr>
                <w:sz w:val="20"/>
                <w:szCs w:val="20"/>
                <w:color w:val="auto"/>
              </w:rPr>
            </w:pPr>
            <w:r>
              <w:rPr>
                <w:rFonts w:ascii="Arial" w:cs="Arial" w:eastAsia="Arial" w:hAnsi="Arial"/>
                <w:sz w:val="18"/>
                <w:szCs w:val="18"/>
                <w:b w:val="1"/>
                <w:bCs w:val="1"/>
                <w:color w:val="auto"/>
                <w:w w:val="98"/>
              </w:rPr>
              <w:t>PART I</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260" w:type="dxa"/>
            <w:vAlign w:val="bottom"/>
            <w:gridSpan w:val="3"/>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800" w:type="dxa"/>
            <w:vAlign w:val="bottom"/>
            <w:gridSpan w:val="19"/>
          </w:tcPr>
          <w:p>
            <w:pPr>
              <w:spacing w:after="0"/>
              <w:rPr>
                <w:sz w:val="19"/>
                <w:szCs w:val="19"/>
                <w:color w:val="auto"/>
              </w:rPr>
            </w:pPr>
          </w:p>
        </w:tc>
        <w:tc>
          <w:tcPr>
            <w:tcW w:w="56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19"/>
                <w:szCs w:val="19"/>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8540" w:type="dxa"/>
            <w:vAlign w:val="bottom"/>
            <w:gridSpan w:val="1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Unresolved Staff Comments</w:t>
              </w:r>
            </w:hyperlink>
          </w:p>
        </w:tc>
        <w:tc>
          <w:tcPr>
            <w:tcW w:w="740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Properties</w:t>
              </w:r>
            </w:hyperlink>
          </w:p>
        </w:tc>
        <w:tc>
          <w:tcPr>
            <w:tcW w:w="740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44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44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91"/>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gridSpan w:val="6"/>
          </w:tcPr>
          <w:p>
            <w:pPr>
              <w:jc w:val="center"/>
              <w:ind w:right="438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44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Market for Registrant’s Common Equity, Related Shareholder Matters and Issuer Purchases of Equity Securities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Selected Financial Data</w:t>
              </w:r>
            </w:hyperlink>
          </w:p>
        </w:tc>
        <w:tc>
          <w:tcPr>
            <w:tcW w:w="13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1"/>
                <w:szCs w:val="21"/>
                <w:color w:val="auto"/>
              </w:rPr>
            </w:pPr>
          </w:p>
        </w:tc>
        <w:tc>
          <w:tcPr>
            <w:tcW w:w="298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Financial Statements and Supplementary Data</w:t>
              </w:r>
            </w:hyperlink>
          </w:p>
        </w:tc>
        <w:tc>
          <w:tcPr>
            <w:tcW w:w="508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9.</w:t>
            </w:r>
          </w:p>
        </w:tc>
        <w:tc>
          <w:tcPr>
            <w:tcW w:w="9440" w:type="dxa"/>
            <w:vAlign w:val="bottom"/>
            <w:gridSpan w:val="20"/>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Changes in and Disagreements With Accountants on Accounting and Financial Disclosure</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9A.</w:t>
            </w:r>
          </w:p>
        </w:tc>
        <w:tc>
          <w:tcPr>
            <w:tcW w:w="6500" w:type="dxa"/>
            <w:vAlign w:val="bottom"/>
            <w:gridSpan w:val="1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Controls and Procedures</w:t>
              </w:r>
            </w:hyperlink>
          </w:p>
        </w:tc>
        <w:tc>
          <w:tcPr>
            <w:tcW w:w="294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768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291"/>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9440" w:type="dxa"/>
            <w:vAlign w:val="bottom"/>
            <w:gridSpan w:val="20"/>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Directors, Executive Officers and Corporate Governance</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1"/>
                <w:szCs w:val="21"/>
                <w:color w:val="auto"/>
              </w:rPr>
            </w:pPr>
          </w:p>
        </w:tc>
        <w:tc>
          <w:tcPr>
            <w:tcW w:w="536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12.</w:t>
            </w:r>
          </w:p>
        </w:tc>
        <w:tc>
          <w:tcPr>
            <w:tcW w:w="9440" w:type="dxa"/>
            <w:vAlign w:val="bottom"/>
            <w:gridSpan w:val="20"/>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Security Ownership of Certain Beneficial Owners and Management, and Related Shareholder Matters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13.</w:t>
            </w:r>
          </w:p>
        </w:tc>
        <w:tc>
          <w:tcPr>
            <w:tcW w:w="7320" w:type="dxa"/>
            <w:vAlign w:val="bottom"/>
            <w:gridSpan w:val="1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Certain Relationships and Related Transactions, and Director Independence</w:t>
              </w:r>
            </w:hyperlink>
          </w:p>
        </w:tc>
        <w:tc>
          <w:tcPr>
            <w:tcW w:w="212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5"/>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Principal Accountant Fees and Services</w:t>
              </w:r>
            </w:hyperlink>
          </w:p>
        </w:tc>
        <w:tc>
          <w:tcPr>
            <w:tcW w:w="40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291"/>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IV</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1"/>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Exhibits and Financial Statement Schedules</w:t>
              </w:r>
            </w:hyperlink>
          </w:p>
        </w:tc>
        <w:tc>
          <w:tcPr>
            <w:tcW w:w="6280" w:type="dxa"/>
            <w:vAlign w:val="bottom"/>
            <w:gridSpan w:val="9"/>
          </w:tcPr>
          <w:p>
            <w:pPr>
              <w:spacing w:after="0"/>
              <w:rPr>
                <w:sz w:val="19"/>
                <w:szCs w:val="19"/>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16.</w:t>
            </w:r>
          </w:p>
        </w:tc>
        <w:tc>
          <w:tcPr>
            <w:tcW w:w="3160" w:type="dxa"/>
            <w:vAlign w:val="bottom"/>
            <w:gridSpan w:val="1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Form 10-K Summary</w:t>
              </w:r>
            </w:hyperlink>
          </w:p>
        </w:tc>
        <w:tc>
          <w:tcPr>
            <w:tcW w:w="628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gridSpan w:val="2"/>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Exhibit Index</w:t>
              </w:r>
            </w:hyperlink>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4">
              <w:r>
                <w:rPr>
                  <w:rFonts w:ascii="Arial" w:cs="Arial" w:eastAsia="Arial" w:hAnsi="Arial"/>
                  <w:sz w:val="18"/>
                  <w:szCs w:val="18"/>
                  <w:color w:val="0000EE"/>
                </w:rPr>
                <w:t>83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89">
              <w:r>
                <w:rPr>
                  <w:rFonts w:ascii="Arial" w:cs="Arial" w:eastAsia="Arial" w:hAnsi="Arial"/>
                  <w:sz w:val="18"/>
                  <w:szCs w:val="18"/>
                  <w:color w:val="0000EE"/>
                  <w:w w:val="85"/>
                </w:rPr>
                <w:t>Signatures</w:t>
              </w:r>
            </w:hyperlink>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80" w:top="580"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This Annual Report on Form 10-K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Wherever possible, we have identified these forward-looking statements by words such as “will,” “may,” “anticipates,” “believes,” “intends,” “estimates,” “expects,” “projects” and similar phrases.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this Annual Report on Form 10-K under “Part I, Item 1A Risk Factors”.</w:t>
      </w:r>
    </w:p>
    <w:p>
      <w:pPr>
        <w:spacing w:after="0" w:line="124"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this Annual Report on Form 10-K will be important in determining future results.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61" w:right="239" w:bottom="1440" w:gutter="0" w:footer="0" w:header="0"/>
        </w:sectPr>
      </w:pPr>
    </w:p>
    <w:bookmarkStart w:id="3" w:name="page4"/>
    <w:bookmarkEnd w:id="3"/>
    <w:p>
      <w:pPr>
        <w:jc w:val="both"/>
        <w:ind w:firstLine="243"/>
        <w:spacing w:after="0" w:line="255" w:lineRule="auto"/>
        <w:rPr>
          <w:sz w:val="20"/>
          <w:szCs w:val="20"/>
          <w:color w:val="auto"/>
        </w:rPr>
      </w:pPr>
      <w:r>
        <w:rPr>
          <w:rFonts w:ascii="Arial" w:cs="Arial" w:eastAsia="Arial" w:hAnsi="Arial"/>
          <w:sz w:val="18"/>
          <w:szCs w:val="18"/>
          <w:i w:val="1"/>
          <w:iCs w:val="1"/>
          <w:color w:val="auto"/>
        </w:rPr>
        <w:t>Except for the historical information presented, the matters discussed in this Report, including our product development and commercialization goals and expectations, our plans and anticipated timing and results of clinical development activities, potential market opportunities, revenue expectations and the potential advantages and applications of our products and product candidates under development, include forward-looking statements that involve risks and uncertainties. Our actual results may differ significantly from the results discussed in the forward-looking statements. Factors that could cause or contribute to such differences include, but are not limited to, those discussed under the caption “Risk Factors.” Unless the context requires otherwise, references to “we,” “us,” “our” and “Vericel” refer to Vericel Corporation.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243"/>
        <w:spacing w:after="0" w:line="246" w:lineRule="auto"/>
        <w:rPr>
          <w:sz w:val="20"/>
          <w:szCs w:val="20"/>
          <w:color w:val="auto"/>
        </w:rPr>
      </w:pPr>
      <w:r>
        <w:rPr>
          <w:rFonts w:ascii="Arial" w:cs="Arial" w:eastAsia="Arial" w:hAnsi="Arial"/>
          <w:sz w:val="16"/>
          <w:szCs w:val="16"/>
          <w:color w:val="auto"/>
        </w:rPr>
        <w:t>Vericel Corporation is a leader in advanced cell therapies for the sports medicine and severe burn care markets. We currently have two marketed advanced cell therapy products in the United States. MACI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that was approved by the U.S. Food and Drug Administration (FDA) on December 13, 2016. The first shipment and implantation of MACI occurred on January 31, 2017. At the end of the second quarter of 2017, we removed Carticel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cultured chondrocytes), an earlier generation ACI product, from the market. We also market Epicel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(cultured epidermal autografts), a permanent skin replacement Humanitarian Use Device (HUD) for the treatment of adult and pediatric patients with deep-dermal or full-thickness burns comprising greater than or equal to 30 percent of total body surface area (TBSA).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objective is to become the leading developer in advanced cell therapies for the sports medicine and severe burn care markets.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achieve this objective, we intend to:</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MACI revenue by increasing the number of surgeons implanting MACI and the average number of implants per surgeon;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Epicel revenue by expanding the number of burn centers consistently using Epicel;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Lower the marginal manufacturing costs for MACI and Epicel through increased volume;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 positive operating income by keeping the growth in commercial expense lower than the growth in revenue.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Sanofi’s CTRM Business</w:t>
      </w:r>
    </w:p>
    <w:p>
      <w:pPr>
        <w:spacing w:after="0" w:line="364"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 xml:space="preserve">On May 30, 2014, we completed the acquisition of the Cell Therapy and Regenerative Medicine (CTRM) business of Sanofi,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(Sanofi), certain assets, including all of the outstanding equity interests of Genzyme Biosurgery ApS (now known as Vericel Denmark ApS), a wholly-owned subsidiary of Sanofi, and a portfolio of patents and patent applications of Sanofi and certain of its subsidiaries, and assumed certain liabilities for purposes of acquiring the portion of the CTRM business, which researched, developed, manufactured, marketed and sold Carticel, MACI and Epicel.</w:t>
      </w:r>
    </w:p>
    <w:p>
      <w:pPr>
        <w:spacing w:after="0" w:line="154"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We obtained MACI through its acquisition by Genzyme Corporation, a subsidiary of Sanofi, of Verigen AG (Verigen) in 2005. As part of its acquisition of Verigen, Genzyme Corporation agreed to make cash payments to Verigen upon the achievement of developmental milestones relating to regulatory approvals and the commercialization of MACI in the United States. In connection with our acquisition of the CTRM business, we paid approximately $3.2 million in October 2014 in full settlement of any and all potential obligations to Verigen related to MACI developmental milestones.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MACI is a cell therapy product for the treatment of cartilage defects in the knee and Epicel (cultured epidermal autografts) is a permanent skin replacement for the treatment of patients with severe deep-dermal or full-thickness burns (also known as severe burns) comprising greater than or equal to 30 percent of TBSA. MACI was approved by the FDA on December 13, 2016 and the first shipment and implantation of MACI occurred on January 31, 2017. We stopped manufacturing and marketing Carticel in the second quarter of 2017.</w:t>
      </w:r>
    </w:p>
    <w:p>
      <w:pPr>
        <w:spacing w:after="0" w:line="18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MACI and Carticel</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Background of Cartilage Defects</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Damage to cartilage in the knee can occur from acute or repetitive trauma from playing sports, exercising, work related physical demands, or performing everyday activities. When damaged, cartilage in the knee does not usually heal on its own. If left untreated, cartilage defects can progress and lead to degenerative joint disease, osteoarthritis and potentially require total knee replacement, a poor option for younger and more active patients.</w:t>
      </w:r>
    </w:p>
    <w:p>
      <w:pPr>
        <w:spacing w:after="0" w:line="166" w:lineRule="exact"/>
        <w:rPr>
          <w:sz w:val="20"/>
          <w:szCs w:val="20"/>
          <w:color w:val="auto"/>
        </w:rPr>
      </w:pPr>
    </w:p>
    <w:p>
      <w:pPr>
        <w:jc w:val="both"/>
        <w:ind w:firstLine="243"/>
        <w:spacing w:after="0" w:line="227" w:lineRule="auto"/>
        <w:rPr>
          <w:sz w:val="20"/>
          <w:szCs w:val="20"/>
          <w:color w:val="auto"/>
        </w:rPr>
      </w:pPr>
      <w:r>
        <w:rPr>
          <w:rFonts w:ascii="Arial" w:cs="Arial" w:eastAsia="Arial" w:hAnsi="Arial"/>
          <w:sz w:val="18"/>
          <w:szCs w:val="18"/>
          <w:color w:val="auto"/>
        </w:rPr>
        <w:t>For patients diagnosed with cartilage defects, there are several treatment options, including arthroscopic debridement/chondroplasty, marrow stimulation techniques such as microfracture (a minimally invasive procedure that can be performed arthroscopically), and osteochondral autografts for smaller cartilage injuries, osteochondral allografts, and autologous chondrocyte implantation (ACI). More recently other products, sourced from allogeneic tissue have been commercialized. These products include DeNovo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NT (Zimmer Biomet), Cartiform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(Arthrex) and Prochondrix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(Allosource), which are subject to human tissue regulation. Products subject only to FDA human tissue regulations are not required to obtain a Biologics License prior to being marketed. Products, like MACI, which must meet the requirements for a Biologics License Application before being marketed, are required to demonstrate the clinical efficacy equal or superior to a standard of care.</w:t>
      </w:r>
    </w:p>
    <w:p>
      <w:pPr>
        <w:spacing w:after="0" w:line="20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Carticel was the first FDA-approved autologous cartilage repair product for the repair of symptomatic cartilage defects and was indicated for the repair of symptomatic cartilage defects of the femoral condyle (medial, lateral or trochlea) caused by acute or repetitive trauma, in patients who have had an inadequate response to a prior arthroscopic or other surgical repair procedure such as debridement (the removal of damaged or defective cartilage), microfracture (the creation of tiny fractures in the bone to encourage new cartilage), drilling/abrasion arthroplasty, or osteochondral allograft/autograft (transferring cartilage from one joint to another). Carticel received a Biologics License Application (BLA) approval in 1997 and was marketed in the U.S. until the second quarter of 2017 at which time it was replaced by MACI. MACI was approved on December 13, 2016 by the FDA.</w:t>
      </w:r>
    </w:p>
    <w:p>
      <w:pPr>
        <w:spacing w:after="0" w:line="17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MACI is an autologous cellular scaffold product consisting of autologous cultured chondrocytes seeded onto a resorbable Type I/III porcine-derived collagen membrane. Autologous cultured chondrocytes are human-derived cells which are obtained from a sample of the patient's own cartilage for the manufacture of MACI. An orthopedic surgeon obtains the sample by taking a cartilage biopsy during an initial arthroscopic procedure. Vericel isolates the patient’s chondrocytes, the cells that produce cartilage, from the biopsy and expands them in a manufacturing process compliant with current Good Manufacturing Practices (cGMP). The expanded cells are then seeded onto a resorbable collagen membrane prior to shipment. During a second surgical procedure, MACI is implanted into the cartilage defect(s). A key driver of ACI’s therapeutic advantage relative to other approaches, such as microfracture, is that autologous chondrocytes have the potential to produce the hyaline-like cartilage that is naturally present in the knee, rather than fibrous cartilage which lacks the durability and wear characteristics of hyaline cartilage. The MACI implant ships with the cells uniformly seeded, using proprietary means, on a collagen membrane therefore eliminating the need to suture a membrane in place to confine the cell suspension to the defect area. This allows the implantation of MACI through a smaller incision or mini arthrotomy for focal defects. MACI is simply trimmed to the size of the defect and fixed to the bone with an off-the-shelf surgical fibrin sealant. MACI is expanding the ACI market since MACI shares the clinical advantages of Carticel while being less invasive, shortening procedure time, and eliminating the need for a periosteal harvest and suture fixation of the periosteal patch. In addition, MACI is indicated for a broader range of cartilage defects of the knee, ensures more uniform distribution of the cells in the cartilage defect and is supported by Phase 3 clinical data demonstrating a statistically significant improvement in pain and function scores compared to microfracture.</w:t>
      </w:r>
    </w:p>
    <w:p>
      <w:pPr>
        <w:spacing w:after="0" w:line="17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pivotal clinical trial supporting MACI registration in Europe and approval in the U.S., the Superiority of MACI Implant versus Microfracture Treatment in patients with symptomatic articular cartilage defects in the knee (SUMMIT) trial, was completed in 2012. Analysis of this 144 patient study demonstrated at Week 104 a statistically significant greater improvement in the co-primary endpoint of pain and function for those patients treated with MACI compared to microfracture.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jc w:val="both"/>
        <w:ind w:firstLine="243"/>
        <w:spacing w:after="0" w:line="293" w:lineRule="auto"/>
        <w:rPr>
          <w:sz w:val="20"/>
          <w:szCs w:val="20"/>
          <w:color w:val="auto"/>
        </w:rPr>
      </w:pPr>
      <w:r>
        <w:rPr>
          <w:rFonts w:ascii="Arial" w:cs="Arial" w:eastAsia="Arial" w:hAnsi="Arial"/>
          <w:sz w:val="16"/>
          <w:szCs w:val="16"/>
          <w:color w:val="auto"/>
        </w:rPr>
        <w:t>MACI received marketing authorization in Europe in June 2013 by meeting the requirements of the Advanced Therapy and Medicinal Product (ATMP) guidelines based on the results of the SUMMIT trial in which MACI was manufactured at, and supplied from, our Cambridge, Massachusetts site. MACI became available in the EU in 2000 and Australia in 2002. We suspended the marketing of MACI in Europe as of September 2014 primarily due to low utilization and an unfavorable pricing environment. Lifting of the suspension would have required the registration of a new manufacturing facility in Europe prior to the 5 year renewal deadline of June 2018 and was not feasible by the deadline. Therefore, the European manufacturing authorization for MACI expired by its terms at the end of June 2018. Sanofi had discontinued Australian operations and commercialization prior to our purchase of MACI.</w:t>
      </w:r>
    </w:p>
    <w:p>
      <w:pPr>
        <w:spacing w:after="0" w:line="2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Opportunity for MACI</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According to a 2018 survey, in the U.S. annually, there are approximately 750,000 cartilage repair procedures in the knee according to our recent external market research. Of these, approximately 315,000 patients are consistent with the MACI label and are within the 17 - 55 addressable age demographic. Based on defect characteristics, doctors that have implanted MACI consider approximately 125,000 of these patients clinically appropriate for MACI. Approximately 60,000 of these eligible patients have larger lesions and are likely to secure insurance authorization for MACI.</w:t>
      </w:r>
    </w:p>
    <w:p>
      <w:pPr>
        <w:spacing w:after="0" w:line="1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Typical initial cartilage surgical procedures include chondroplasty (debridement) and/or microfracture. These two procedures account for 96% of all cartilage surgical procedures. Although initial microfracture results demonstrate pain score improvement generally, only patients with Class 1 (i.e., smallest defects) do not experience deterioration after 18 months. Patients seeking retreatment account for about 2.5% of the cartilage surgical repair market and often receive either allograft, autograft or ACI. Treatment with Carticel and MACI provides an opportunity to replace the damaged cartilage with a durable cartilage tissue.</w:t>
      </w:r>
    </w:p>
    <w:p>
      <w:pPr>
        <w:spacing w:after="0" w:line="1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U.S., the physician target audience which repairs cartilage defects is very concentrated and is comprised of a group of physicians who self-identify as or have the formal specialty of sports medicine physicians. We believe this target audience is approximately 3,500 physicians. In addition to these physicians, there is a population of 5,000 to 8,000 general orthopedic surgeons who treat cartilage injuries, although at a much lower average volume relative to the sports medicine physicians. During 2018 we expanded our field force further from 24 to 40 representatives. We announced plans to expand to 48 representatives, the vast majority of whom we anticipate to be employed and in the field by the second quarter of 2019. Most private payers have a medical policy that allows treatment with MACI. During 2018, the 30 largest payers implemented a formal medical policy or provided access for MACI, representing over 85% of lives covered by commercial plans.</w:t>
      </w:r>
    </w:p>
    <w:p>
      <w:pPr>
        <w:spacing w:after="0" w:line="189" w:lineRule="exact"/>
        <w:rPr>
          <w:sz w:val="20"/>
          <w:szCs w:val="20"/>
          <w:color w:val="auto"/>
        </w:rPr>
      </w:pPr>
    </w:p>
    <w:p>
      <w:pPr>
        <w:jc w:val="both"/>
        <w:ind w:firstLine="307"/>
        <w:spacing w:after="0" w:line="257" w:lineRule="auto"/>
        <w:rPr>
          <w:sz w:val="20"/>
          <w:szCs w:val="20"/>
          <w:color w:val="auto"/>
        </w:rPr>
      </w:pPr>
      <w:r>
        <w:rPr>
          <w:rFonts w:ascii="Arial" w:cs="Arial" w:eastAsia="Arial" w:hAnsi="Arial"/>
          <w:sz w:val="18"/>
          <w:szCs w:val="18"/>
          <w:color w:val="auto"/>
        </w:rPr>
        <w:t>In the year ended December 31, 2018, MACI generated net revenues of approximately $67.7 million. Volumes vary significantly by quarter due to a number of factors including insurance copay limits and the time of year patients prefer to start rehabilitation. Over the last four years ACI ( MACI and Carticel prior to its replacement) sales volumes from the first through the fourth quarter have on average represented 20%, 24%, 22% and 35% respectively, of total annual sales volumes. MACI revenue is stronger in the fourth quarter due to a number of factors including insurance copay limits and the time of year patients prefer to start rehabilitation.</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Seasonal sales patterns and other variations related to our revenue recognition may cause significant fluctuations in our results of operations and cash flows. We expect to continue to experience this seasonality effect in subsequent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Epicel (cultured epidermal autografts) is a permanent skin replacement for full thickness burns greater than or equal to 30% of TBSA. The extent of the skin surface that the burn occupies is usually referred to as a percent of TBSA. Epicel is currently the only FDA-approved autologous epidermal product available for large total surface area burns in both adult and pediatric patients. Currently, approximately 100 patients are treated with Epicel in the U.S. each year. In the year ended December 31, 2018, net revenues were $23.1 million for Epicel.</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Epicel is produced by isolating and expanding keratinocytes, which are the predominant cell type in the epidermis or outer layer of the skin, obtained from a small biopsy of a patient’s healthy skin. Epicel is an important treatment option for patients with severe burns because these patients are generally understood to need a keratinocyte-based epithelium and there is very little skin, which is the only other source of keratinocyte-based epithelium, available for autografts for these patients.</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Epicel is a cell-based product that is regulated by the Center for Biologics Evaluation and Research (CBER) under medical device authorities. Epicel was designated as a HUD in 1998 and a Humanitarian Device Exemption (HDE) application for the product was submitted in 1999. HUDs are devices that are intended for diseases or conditions that affect not more than 8,000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individuals annually in the United States. On December 13, 2016, Section 3052 of the 21st Century Cures Act (Pub. L. No. 114-255) changed the population estimate required to qualify for the HUD designation from "fewer than 4,000" to "not more than 8,000."</w:t>
      </w:r>
    </w:p>
    <w:p>
      <w:pPr>
        <w:spacing w:after="0" w:line="17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February 18, 2016, the FDA approved our HDE supplement to revise the labeled indications of use to specifically include pediatric patients and to add pediatric labeling. Due to the change in the label to include use in pediatric patients, the FDA determined that Epicel met the eligibility criteria to be sold for profit as long as the number of devices distributed in any calendar year does not exceed the annual distribution number (ADN). The ADN is defined as the number of devices reasonably needed to treat, diagnose or cure a population of 8,000 individuals per year in the United States. The FDA has determined that the ADN for Epicel is 360,400 devices. The holder of the HDE must immediately notify FDA if the number of devices distributed during a calendar year exceeds the ADN.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the standard care.</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 Opportunity for Epicel</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Each year in the U.S., more than 40,000 people are hospitalized for burns. Approximately 1,500 of these patients are treated for burns covering more than 30% of their TBSA, the labeled indication for Epicel. Currently, the mortality rate for this group is approximately 34%, partially due to the lack of healthy tissue from which to harvest autografts. Although age can vary, the typical Epicel patient is young and has suffered full thickness burns due to occupational, household or auto accidents, trash burning with gasoline, inappropriate use of space heaters or carelessness with flammable materials. Many of the most severely burned patients are medivac transported to one of the 128 specialized burn centers across the U.S. While the average acute care hospital has less than 3 admissions for burns annually, these specialized burn centers average over 200 admissions per year.</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Relative to clinical need, we believe Epicel has been underutilized due to lack of consistent promotional effort prior to 2015. Since the acquisition of Epicel we have expanded the sales force from a single representative to five, where it currently remains. We expect Epicel’s utility to continue to grow as commercial and medical efforts are appropriately dedicated to the product and providers.</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Epicel revenue is subject to seasonal fluctuations mostly associated with the use of heating elements during the colder months, with higher use occurring in the winter months of the first and fourth quarters, and decreased use occurring in the hot summer months of the third quarter. However, in any single year, this trend can be absent due to the extreme variability inherent with Epicel’s patient volume. Seasonal sales patterns and other variations related to our revenue recognition may cause significant fluctuations in our results of operations and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Ixmyelocel-T Technology Platform</w:t>
      </w:r>
    </w:p>
    <w:p>
      <w:pPr>
        <w:spacing w:after="0" w:line="33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development stage portfolio includes ixmyelocel-T, a unique patient-specific multicellular therapy derived from an adult patient’s own bone marrow which utilizes our proprietary, highly automated and scalable manufacturing system. The multicellular therapy was under development for the treatment of advanced heart failure due to ischemic dilated cardiomyopathy (DCM).</w:t>
      </w:r>
    </w:p>
    <w:p>
      <w:pPr>
        <w:spacing w:after="0" w:line="289"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Ixmyelocel-T was granted a U.S. Orphan Drug designation by the FDA for the treatment of DCM. We completed enrolling and treating patients in our completed Phase 2b ixCELL-DCM study in February 2015. Patients were followed for 12 months for the primary efficacy endpoint of major cardiac adverse events (MACE). On March 10, 2016, we announced the trial had met its primary endpoint of reduction in clinical cardiac events and that the incidence of adverse events, including serious adverse events, in patients treated with ixmyelocel-T was comparable to patients in the placebo group. Patients were then followed for an additional 12 months for safety. Because the trial met the primary endpoint, patients who received placebo or were randomized to ixmyelocel-T in the double-blind portion of the trial but did not receive ixmyelocel-T were offered the option to receive ixmyelocel-T. We successfully treated the last patients in February 2017, and the last follow-up visit occurred in February 2018. In addition, we have conducted clinical studies for the treatment of critical limb ischemia, and an ixmyelocel-T investigator-initiated clinical study was conducted for the treatment of craniofacial reconstruction.</w:t>
      </w:r>
    </w:p>
    <w:p>
      <w:pPr>
        <w:spacing w:after="0" w:line="27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On September 29, 2017, the FDA indicated that we would be required to conduct at least one additional Phase 3 clinical study to support a BLA for ixmyelocel-T. Given the expense required to conduct further development and our focus on growing our existing commercial products and becoming profitable, at this time we have no current plans to initiate or fund a Phase 3 trial on our own.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Production</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Cell Manufacturing and Cell Production Components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cell-manufacturing facility is located in Cambridge, Massachusetts, and is used for U.S. manufacturing and distribution of MACI and Epicel. The Cambridge facility also houses our research and development function, which is responsible for process development, release assay development, and technology transfers between sites and departments.</w:t>
      </w:r>
    </w:p>
    <w:p>
      <w:pPr>
        <w:spacing w:after="0" w:line="18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Through September 2017 we operated a centralized cell manufacturing facility in Ann Arbor, Michigan. The facility supported the final stage of the open label extension of the ixCELL-DCM clinical trial conducted in the United States and Canada. At this time, there are no further manufacturing activities being conducted in the Ann Arbor facility. It will take time and resources to reinitiate manufacturing capabilities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bulk of our ongoing research and development activities are focused on exploring methods that improve our ability to efficiently manufacture high quality cell therapy products for patients. We have performed an in depth analysis of the cell culture processes used in the manufacturing of Epicel and MACI, and have identified several areas for their potential improvement. Therefore, our research and development program is focused on the many facets of process development for all of our products including, but not limited to, tissue procurement and processing, cell culture surface and media modification, and other process efficiencies.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success depends in part on our ability, and the ability of our future licensors, to obtain patent protection for our products and processes.</w:t>
      </w:r>
    </w:p>
    <w:p>
      <w:pPr>
        <w:spacing w:after="0" w:line="225" w:lineRule="exact"/>
        <w:rPr>
          <w:sz w:val="20"/>
          <w:szCs w:val="20"/>
          <w:color w:val="auto"/>
        </w:rPr>
      </w:pPr>
    </w:p>
    <w:p>
      <w:pPr>
        <w:jc w:val="both"/>
        <w:ind w:firstLine="350"/>
        <w:spacing w:after="0" w:line="269" w:lineRule="auto"/>
        <w:rPr>
          <w:sz w:val="20"/>
          <w:szCs w:val="20"/>
          <w:color w:val="auto"/>
        </w:rPr>
      </w:pPr>
      <w:r>
        <w:rPr>
          <w:rFonts w:ascii="Arial" w:cs="Arial" w:eastAsia="Arial" w:hAnsi="Arial"/>
          <w:sz w:val="17"/>
          <w:szCs w:val="17"/>
          <w:color w:val="auto"/>
        </w:rPr>
        <w:t xml:space="preserve">As part of the acquisition of the CTRM business from Sanofi, we acquired a multinational intellectual property estate. The intellectual property estate includes patents and patent applications directed to chondrocyte implants and technologies related to the determination of the presence of chondrocytes in the cell cultures used to produce the chondrocyte implants. Although we do not own any patents or patent applications relating to Epicel, many of the processes and techniques are trade secrets and would be difficult to replicate without significant investment and time. We own issued patents directed to methods of determination of the presence of chondrocytes in cell cultures used to produce both MACI and Carticel, which are scheduled to expire October 2029 in the U.S. and in April 2028 abroad. We have one issued patent in the U.S. directed to a device related to MACI that is set to expire in November 2023, and one pending U.S. application and one pending European application as well. As a biologic, MACI is entitled to twelve years of data exclusivity until December 13, 2028, calculated from its date of approval. When these patents and data exclusivity expire, our opportunity to establish or maintain product revenue could be substantially reduced. See “Government Regulation - Product Approval” and </w:t>
      </w:r>
      <w:r>
        <w:rPr>
          <w:rFonts w:ascii="Arial" w:cs="Arial" w:eastAsia="Arial" w:hAnsi="Arial"/>
          <w:sz w:val="17"/>
          <w:szCs w:val="17"/>
          <w:i w:val="1"/>
          <w:iCs w:val="1"/>
          <w:color w:val="auto"/>
        </w:rPr>
        <w:t>“</w:t>
      </w:r>
      <w:r>
        <w:rPr>
          <w:rFonts w:ascii="Arial" w:cs="Arial" w:eastAsia="Arial" w:hAnsi="Arial"/>
          <w:sz w:val="17"/>
          <w:szCs w:val="17"/>
          <w:color w:val="auto"/>
        </w:rPr>
        <w:t xml:space="preserve">Risk Factors </w:t>
      </w:r>
      <w:r>
        <w:rPr>
          <w:rFonts w:ascii="Arial" w:cs="Arial" w:eastAsia="Arial" w:hAnsi="Arial"/>
          <w:sz w:val="17"/>
          <w:szCs w:val="17"/>
          <w:i w:val="1"/>
          <w:iCs w:val="1"/>
          <w:color w:val="auto"/>
        </w:rPr>
        <w:t>-</w:t>
      </w:r>
      <w:r>
        <w:rPr>
          <w:rFonts w:ascii="Arial" w:cs="Arial" w:eastAsia="Arial" w:hAnsi="Arial"/>
          <w:sz w:val="17"/>
          <w:szCs w:val="17"/>
          <w:color w:val="auto"/>
        </w:rPr>
        <w:t xml:space="preserve"> Risks Related to Intellectual Property</w:t>
      </w:r>
      <w:r>
        <w:rPr>
          <w:rFonts w:ascii="Arial" w:cs="Arial" w:eastAsia="Arial" w:hAnsi="Arial"/>
          <w:sz w:val="17"/>
          <w:szCs w:val="17"/>
          <w:i w:val="1"/>
          <w:iCs w:val="1"/>
          <w:color w:val="auto"/>
        </w:rPr>
        <w:t>”</w:t>
      </w:r>
      <w:r>
        <w:rPr>
          <w:rFonts w:ascii="Arial" w:cs="Arial" w:eastAsia="Arial" w:hAnsi="Arial"/>
          <w:sz w:val="17"/>
          <w:szCs w:val="17"/>
          <w:color w:val="auto"/>
        </w:rPr>
        <w:t xml:space="preserve"> below for additional information. In addition, the processes and technologies related to ixmyelocel-T include certain issued United States patents. Certain patent equivalents to the United States patents have also been issued in other jurisdictions.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own a broadly filed trademark portfolio with registrations for MACI, Epicel and Carticel.</w:t>
      </w:r>
    </w:p>
    <w:p>
      <w:pPr>
        <w:spacing w:after="0" w:line="225" w:lineRule="exact"/>
        <w:rPr>
          <w:sz w:val="20"/>
          <w:szCs w:val="20"/>
          <w:color w:val="auto"/>
        </w:rPr>
      </w:pPr>
    </w:p>
    <w:p>
      <w:pPr>
        <w:jc w:val="both"/>
        <w:ind w:firstLine="285"/>
        <w:spacing w:after="0" w:line="342" w:lineRule="auto"/>
        <w:rPr>
          <w:sz w:val="20"/>
          <w:szCs w:val="20"/>
          <w:color w:val="auto"/>
        </w:rPr>
      </w:pPr>
      <w:r>
        <w:rPr>
          <w:rFonts w:ascii="Arial" w:cs="Arial" w:eastAsia="Arial" w:hAnsi="Arial"/>
          <w:sz w:val="16"/>
          <w:szCs w:val="16"/>
          <w:color w:val="auto"/>
        </w:rPr>
        <w:t>We may rely on certain licenses granted by third parties, for certain patent rights, including for future product candidates. If we breach such agreements or otherwise fail to comply with such agreements, or if such agreements expire or are otherwise terminated, we may lose our rights in such patents.</w:t>
      </w:r>
    </w:p>
    <w:p>
      <w:pPr>
        <w:spacing w:after="0" w:line="1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also rely on trade secrets and un-patentable know-how that we seek to protect, in part, by confidentiality agreements. It is our policy to require our employees, consultants, contractors, manufacturers, outside scientific collaborators and sponsored researchers and other advisors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limited circumstances. We also require signed confidentiality or material transfer agreements from any company that is to receive our confidential information. In the case of employees, consultants and contractors, the agreements generally provide that all inventions conceived by the individual while rendering services to us shall be assigned to us as the exclusive property of Vericel. There can be no assurance, however, that these agreements will not be breached, that we would have adequate remedies for any breach, or that our trade secrets or un-patentable know-how will not otherwise become known or be independently developed by competitors.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both"/>
        <w:ind w:firstLine="243"/>
        <w:spacing w:after="0" w:line="286" w:lineRule="auto"/>
        <w:rPr>
          <w:sz w:val="20"/>
          <w:szCs w:val="20"/>
          <w:color w:val="auto"/>
        </w:rPr>
      </w:pPr>
      <w:r>
        <w:rPr>
          <w:rFonts w:ascii="Arial" w:cs="Arial" w:eastAsia="Arial" w:hAnsi="Arial"/>
          <w:sz w:val="16"/>
          <w:szCs w:val="16"/>
          <w:color w:val="auto"/>
        </w:rPr>
        <w:t>Our success will also depend in part on our ability to develop additional commercially viable products without infringing the proprietary rights of others. We do not believe any of our approved products or our currently contemplated products or processes infringe any existing valid issued patent. However, the results of patent litigation are unpredictable, and no assurance can be given that patents do not exist or could not be filed which would have an adverse effect on our ability to market our products or maintain our competitive position with respect to our products. If our technology components, designs, products, processes or other subject matter are claimed under other existing United States or foreign patents, or are otherwise protected by third-party proprietary rights, we may be subject to infringement actions. In such event, we may challenge the validity of such patents or other proprietary rights or we may be required to obtain licenses from such companies in order to develop, manufacture or market our products. There can be no assurances that we would be able to obtain such licenses or that such licenses, if available, could be obtained on commercially reasonable terms. Furthermore, the failure either to develop a commercially viable alternative or obtain such licenses could result in delays in marketing our proposed products or the inability to proceed with the development, manufacture or sale of products requiring such licenses, which could have a material adverse effect on our business, financial condition and results of operations. If we are required to defend ourselves against charges of patent infringement or to protect our proprietary rights against third parties, substantial costs will be incurred regardless of whether we are successful. Such proceedings are typically protracted with no certainty of success. An adverse outcome could subject us to significant liabilities to third parties and force us to curtail or cease our development and sale of our products and processes.</w:t>
      </w:r>
    </w:p>
    <w:p>
      <w:pPr>
        <w:spacing w:after="0" w:line="17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Certain of our research has been funded or may become funded in part by a Small Business Innovation Research (SBIR) grant obtained from the Department of Health and Human Services or by other governmental grants. As a result of such funding, the United States government has certain rights in the technology developed with such funding. These rights include a non-exclusive, fully paid-up, worldwide license under such inventions for any governmental purpose. We believe that the current licensed patents that relate to this technology under the SBIR grant have expired.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Both our marketed and development stage products are specialty products with focused physician and institutional call points. The U.S. MACI sales organization is comprised of approximately 46 employees, including Cell Therapy Specialists and Regional Sales Directors, and we have announced plans to expand the organization to 55 employees, the vast majority of whom we anticipate to be employed and in the field by the end of the second quarter of 2019. The current target audience is a concentrated (approximately 3,500) set of sports medicine orthopedic surgeons.</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Most private payers have a medical policy that allows treatment with MACI, and all of the top 30 payers have a formal medical policy for MACI or ACI in general. For those private payers which have not yet approved a medical policy for MACI, for medically appropriate cases, we can often obtain approval on a case by case basis.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On July 25, 2018 and August 10, 2018, we entered into amendments to our distribution agreement with Orsini Pharmaceutical Services, Inc. (Orsini).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the revised agreement, we agreed to eliminate Orsini's right to serve as our exclusive distributor for MACI.</w:t>
      </w:r>
    </w:p>
    <w:p>
      <w:pPr>
        <w:spacing w:after="0" w:line="76"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On July 26, 2018, we entered into a Dispensing Agreement (Dispensing Agreement) with AllCare Plus Pharmacy, Inc. (AllCare). Pursuant to the Dispensing Agreement, we appointed AllCare as a non-exclusive specialty pharmacy provider of MACI.</w:t>
      </w:r>
    </w:p>
    <w:p>
      <w:pPr>
        <w:spacing w:after="0" w:line="35" w:lineRule="exact"/>
        <w:rPr>
          <w:sz w:val="20"/>
          <w:szCs w:val="20"/>
          <w:color w:val="auto"/>
        </w:rPr>
      </w:pPr>
    </w:p>
    <w:p>
      <w:pPr>
        <w:ind w:right="20" w:firstLine="243"/>
        <w:spacing w:after="0" w:line="259" w:lineRule="auto"/>
        <w:rPr>
          <w:sz w:val="20"/>
          <w:szCs w:val="20"/>
          <w:color w:val="auto"/>
        </w:rPr>
      </w:pPr>
      <w:r>
        <w:rPr>
          <w:rFonts w:ascii="Arial" w:cs="Arial" w:eastAsia="Arial" w:hAnsi="Arial"/>
          <w:sz w:val="18"/>
          <w:szCs w:val="18"/>
          <w:color w:val="auto"/>
        </w:rPr>
        <w:t>Epicel customers are supported by five Burn Therapy Specialists and a Clinical Support Specialist, as well as dedicated marketing and sales management staff. There are approximately 128 specialized burn centers in the U.S., while a smaller number regularly treat large burn patients. Therefore, reaching target centers is feasible with a relatively small number of Burn Therapy Specialists. Additionally, we have recently added a national-level Senior Clinical Specialist to our sales team to ensure adequate support for our customers.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Our research and development activities and the manufacturing and marketing of our products are subject to the laws and regulations of governmental authorities in the United States and other countries in which our products may be marketed. Specifically, in the United States, the FDA regulates drugs, biologics and medical devices and requires new product approvals or clearances to assure safety and effectiveness of these products. Governments in other countries have similar requirements for testing and marketing. In the United States, in addition to meeting FDA regulations, we are also subject to other federal laws, such as the Occupational Safety and Health Act and the Environmental Protection Act, as well as certain state laws.</w:t>
      </w:r>
    </w:p>
    <w:p>
      <w:pPr>
        <w:spacing w:after="0" w:line="15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Some human cell or tissue products that are intended for implantation, transplantation, infusion, or transfer into a human recipient are regulated as human cell, tissue, and cellular and tissue-based products (HCT/Ps) and do not require the FDA’s premarket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review. If these cell or tissue products do not meet the FDA’s requirements for regulation as an HCT/P they require a premarket review and a marketing authorization. The type of marketing authorization required depends on how the product is regulated by the FDA. With the exception of Epicel (an HDE medical device), our cell products are regulated as biological products that require an approved BLA to be marketed in the U.S. Commercial production of these products needs to occur in FDA-registered facilities in compliance with cGMP requirements for biologics. Epicel is a humanitarian use medical device that has an approved HDE application.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Regulatory Process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FDA regulates biologics under the Federal Food, Drug, and Cosmetic Act (FFDCA) and the Public Health Service Act, and their implementing regulations. Obtaining approval of a BLA for new biological products is a lengthy process leading from development of a new product through preclinical and clinical testing. This process takes a number of years and the expenditure of significant resources. There can be no assurance that our current or future product candidates will ultimately receive approval.</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FFDCA and other federal and state statutes and regulations govern the research, testing, manufacture, safety, labeling, storage, record-keeping, approval, distribution, use, adverse event reporting, advertising and promotion of our products. Noncompliance with applicable requirements can result in civil penalties, recall, injunction or seizure of products, refusal of the government to approve our product approval applications or to allow us to enter into government supply contracts, withdrawal of previously approved applications and criminal prosecution.</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w:t>
      </w:r>
    </w:p>
    <w:p>
      <w:pPr>
        <w:spacing w:after="0" w:line="225"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order to obtain FDA license, or approval of, a new biological product, sponsors must submit proof of safety, purity and potency, or effectiveness. In most cases, such proof entails extensive nonclinical, also known as preclinical studies in animal models and well-controlled clinical trials in human subjects. The testing, preparation of necessary applications and processing of those applications by the FDA is expensive, may take several years to complete and could have an uncertain outcome. The FDA regulatory review and approval process is complex and can result in requests for additional data, increased development cost, time to market delays, or preclude us from bringing to market new products. The FDA may also require post-marketing studies and risk evaluation and mitigation strategies (REMS) as condition to approval. These requirements will add to the cost of regulatory compliance and the cost to sell our products, due to complex distribution and restricted commercial operations. Product approvals may be withdrawn if compliance with applicable regulations is not maintained or if safety issues are identified during routine safety monitoring following commercialization. For patented technologies, product development and the regulatory review/approval process can materially reduce the period during which we will have the exclusive right to exploit such technologies. Regulatory exclusivity may offer some additional protection. As a biologic, MACI is entitled to twelve years of data exclusivity from its date of approval.</w:t>
      </w:r>
    </w:p>
    <w:p>
      <w:pPr>
        <w:spacing w:after="0" w:line="16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Adequate and well-controlled clinical studies are required by the FDA for approval of a BLA. To conduct a clinical trial in the U.S., the study sponsor is required to submit an Investigational New Drug (IND) application including the study protocol prior to commencing human clinical trials. The submission must be supported by data, typically including the results of nonclinical, manufacturing and laboratory testing. The conduct of the nonclinical tests must comply with Good Laboratory Practice, and applicable cGMP requirements. Long term nonclinical testing, such as animal reproductive toxicity and carcinogenicity, is conducted if warranted and is submitted to the IND to support a future BLA. Following the initial submission of the IND, the FDA has 30 days to review the application and raise safety and other clinical trial issues. If questions or objections are not raised within that period, the clinical trial may commence according to the investigational protocol submitted to the FDA and following Institutional Review Board (IRB) approvals for each of the clinical sites where the study will be conducted. Protocol amendments need to be submitted and approved by the FDA prior to implementation. We have submitted an IND for MACI and several INDs for ixmyelocel-T, and we conducted clinical investigations under these INDs. Clinical studies can also be conducted outside of the U.S. with or without a U.S. IND. However, a clinical trial application (CTA) or IND is required to be submitted to the local competent regulatory authority for the conduct of human clinical trials. The CTA has similar data requirements to those of an IND.</w:t>
      </w:r>
    </w:p>
    <w:p>
      <w:pPr>
        <w:spacing w:after="0" w:line="1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Carticel, MACI and ixmyelocel-T are regulated by the FDA as biologics. For products that are regulated as biologics, the FDA requires: (i) nonclinical animal testing to establish a safety profile and/or a starting dose for initiation of clinical trials in humans; (ii) submission to the FDA of an IND application, which must become effective prior to the initiation of human clinical trials; (iii) adequate and well-controlled clinical trials to demonstrate the safety, purity and potency, or effectiveness, of the product for its intended use; (iv) submission to the FDA of a BLA; and (v) review and approval of the BLA as well as pre-approval inspections of the manufacturing facility by the FDA.</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sometimes overlap: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left="6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Phase 1—The biological product is initially tested for safety and tolerability. In the case of biological products and those for severe or life-threatening diseases, the initial human testing is generally conducted in patients. These trials may also provide early evidence on effectiveness.</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Phase 2—These trials are conducted in a limited number of subjects in the target population to determine a safe and effective dosage to evaluate in Phase 3 and to identify possibly related adverse effects and safety risks. Multiple Phase 2 clinical trials may be conducted by the sponsor to obtain information prior to beginning larger and more expensive Phase 3 clinical trials.</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Phase 3—Phase 3 trials are undertaken to provide evidence of clinical efficacy and to further evaluate dosage, potency, and safety in an expanded patient population at multiple clinical trial sites. Phase 3 studies are performed after preliminary evidence suggesting effectiveness of the product has been obtained, and are intended to establish the overall benefit-risk relationship of the investigational product, and to provide an adequate basis for product approval and labeling.</w:t>
      </w:r>
    </w:p>
    <w:p>
      <w:pPr>
        <w:spacing w:after="0" w:line="1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trials may be required by the FDA as a condition of approval and are used to gain additional experience from the treatment of patients in the intended therapeutic indication, particularly for long-term safety follow-up. The FDA has express statutory authority to require post-market clinical trials to address safety issues. All of these trials must be conducted in accordance with good clinical practice (GCP) requirements in order protect the health and safety of human subjects and for the data to be considered reliable for regulatory purposes.</w:t>
      </w:r>
    </w:p>
    <w:p>
      <w:pPr>
        <w:spacing w:after="0" w:line="18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IND.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7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Phase 1, Phase 2, and Phase 3 clinical trials may not be completed successfully or within any specified period, or at all. Regulatory authorities, a data safety monitoring board or the sponsor may suspend a clinical trial at any time on various grounds, including a finding that the participants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5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drug being studied in clinical trials may be made available to individual patients in certain circumstances. Pursuant to the 21st Century Cures Act, or Cures Act, which was signed into law in December 2016, the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later of 60 calendar days after the date of enactment of the Cures Act or the first initiation of a Phase 2 or Phase 3 trial of the investigational drug.</w:t>
      </w:r>
    </w:p>
    <w:p>
      <w:pPr>
        <w:spacing w:after="0" w:line="18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the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After completion of the required clinical testing, a BLA is prepared and submitted to the FDA. FDA review and approval of the BLA is required before marketing of the product may begin in the United States. The BLA must include the results of all nonclinical, clinical, and other testing and a compilation of data relating to the quality and manufacture of the product, including, chemistry, manufacture, and controls, to demonstrate the safety, purity and potency, or efficacy, of the product based on these results. The cost of preparing and submitting a BLA is substantial. Under federal law, the submission of most BLAs is subject to an application user fee, as well as an annual prescription drug product program user fees, which may total several million dollars and are increased annually.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1" w:name="page12"/>
    <w:bookmarkEnd w:id="11"/>
    <w:p>
      <w:pPr>
        <w:jc w:val="both"/>
        <w:ind w:firstLine="243"/>
        <w:spacing w:after="0" w:line="288" w:lineRule="auto"/>
        <w:rPr>
          <w:sz w:val="20"/>
          <w:szCs w:val="20"/>
          <w:color w:val="auto"/>
        </w:rPr>
      </w:pPr>
      <w:r>
        <w:rPr>
          <w:rFonts w:ascii="Arial" w:cs="Arial" w:eastAsia="Arial" w:hAnsi="Arial"/>
          <w:sz w:val="16"/>
          <w:szCs w:val="16"/>
          <w:color w:val="auto"/>
        </w:rPr>
        <w:t>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including to review 90 percent of standard BLAs within 10 months from the date the application is accepted for filing. Although FDA often meets its user fee performance goals, the FDA can extend these timelines as warranted. The FDA usually refers applications for novel biologics, or biologics which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is manufactured as part of a pre-approval inspection. The FDA will not approve the product unless it verifies that compliance with requirements for cGMP is satisfactory and the BLA contains data that provide substantial evidence that the biologic is safe, pure and potent, or effective, for the intended use.</w:t>
      </w:r>
    </w:p>
    <w:p>
      <w:pPr>
        <w:spacing w:after="0" w:line="16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For certain products, the FDA also will not approve the product if the manufacturer is not in compliance with the Good Tissue Practices (GTP). These are FDA regulations that govern the methods used in, and the facilities and controls used for, the manufacture of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To assure cGMP, GTP and GCP compliance, an applicant must incur significant expenditure of time, money and effort in the areas of training, record keeping, production, and quality control.</w:t>
      </w:r>
    </w:p>
    <w:p>
      <w:pPr>
        <w:spacing w:after="0" w:line="18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After the FDA evaluates the BLA and the manufacturing facilities, it issues either an approval letter or a complete response letter. A complete response letter means that the BLA will not be approved in its present form and generally outlines the deficiencies in the submission. Complete responses may require substantial additional testing, or information, in order for the FDA to reconsider the application. If and when those deficiencies have been addressed to the FDA’s satisfaction, the FDA will issue an approval letter. The agency will review such resubmissions in two or six months depending on the type of information included. The FDA approval is never guaranteed, and the FDA may refuse to approve a BLA if the regulatory requirements are not satisfied.</w:t>
      </w:r>
    </w:p>
    <w:p>
      <w:pPr>
        <w:spacing w:after="0" w:line="15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An approval letter authorizes commercial marketing of the biologic with specific prescribing information for specific indications. The approval for a biologic may be significantly more limited than requested in the application, including limitations on the specific diseases and dosages or the indications for use, which could restrict the commercial value of the product. The FDA may also require that certain contraindications, warnings, or precautions be included in the product labeling. In addition, as a condition of BLA approval, the FDA may require a REMS to help ensure that the benefits of the biologic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or use of a companion diagnostic with a biologic can materially affect the potential market and profitability of the biologic. Moreover, product approval may require, as a condition of approval, substantial post-approval testing and surveillance to monitor the biologic’s safety or efficacy. Once granted, product approvals may be withdrawn if compliance with regulatory requirements and standards is not maintained or problems are identified following initial marketing.</w:t>
      </w:r>
    </w:p>
    <w:p>
      <w:pPr>
        <w:spacing w:after="0" w:line="17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Under current requirements, facilities manufacturing biological products for commercial distribution must be registered with the FDA. In addition to the preclinical studies and clinical trials, the BLA includes a description of the facilities, equipment and personnel involved in the manufacturing process. A biologics license, which is the product’s approval, is granted on the basis of inspections of the applicant’s facilities in which the primary focus is on compliance with cGMP and the ability to consistently manufacture the product in the facility in accordance with the BLA. If the FDA finds the results of the inspection unsatisfactory, it may decline to approve the BLA, resulting in a delay in production and commercialization of products.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Regulation of Combination Products in the United States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Certain products may be comprised of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181"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0" w:right="239" w:bottom="1440" w:gutter="0" w:footer="0" w:header="0"/>
        </w:sectPr>
      </w:pPr>
    </w:p>
    <w:bookmarkStart w:id="12" w:name="page13"/>
    <w:bookmarkEnd w:id="12"/>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drug, or device, or biological product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171" w:lineRule="exact"/>
        <w:rPr>
          <w:rFonts w:ascii="Arial" w:cs="Arial" w:eastAsia="Arial" w:hAnsi="Arial"/>
          <w:sz w:val="17"/>
          <w:szCs w:val="17"/>
          <w:color w:val="auto"/>
        </w:rPr>
      </w:pPr>
    </w:p>
    <w:p>
      <w:pPr>
        <w:ind w:left="660" w:right="2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2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Under the FFDCA, the FDA is charged with assigning a center with primary jurisdiction, or a lead center, for review of a combination product. That determination is based on the “primary mode of action” of the combination product. Thus, if the primary mode of action of a device-biologic combination product is attributable to the biologic product, the FDA center responsible for premarket review of the biologic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Accelerated Approval for Regenerative Advanced Therapies</w:t>
      </w:r>
    </w:p>
    <w:p>
      <w:pPr>
        <w:spacing w:after="0" w:line="171"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As part of the 21st Century Cures Act, Congress recently amended the FFDCA to create an accelerated approval pathway for regenerative advanced therapies, which include cell therapies, therapeutic tissue engineering products, human cell and tissue products, and combination products using any such therapies or products. Regenerative advanced therapies do not include those human cells, tissues, and cellular and tissue based products regulated solely under section 361 of the Public Health Service Act and 21 CFR Part 1271. The new program is intended to facilitate efficient development and expedite review of regenerative advanced therapies, which are intended to treat, modify, reverse, or cure a serious or life-threatening disease or condition. A sponsor may request that the FDA designate a drug as a regenerative advanced therapy concurrently with or at any time after submission of an IND. The FDA has 60 calendar days to determine whether the drug meets the criteria, including whether there is preliminary clinical evidence indicating that the drug has the potential to address unmet medical needs for a serious or life-threatening disease or condition. A new drug application or BLA for a regenerative advanced therapy may be eligible for priority </w:t>
      </w:r>
      <w:r>
        <w:rPr>
          <w:rFonts w:ascii="Arial" w:cs="Arial" w:eastAsia="Arial" w:hAnsi="Arial"/>
          <w:sz w:val="17"/>
          <w:szCs w:val="17"/>
          <w:color w:val="231F20"/>
        </w:rPr>
        <w:t>review or accelerated approval through surrogate or intermediate endpoints reasonably likely to predict long-term clinical benefit, or</w:t>
      </w:r>
      <w:r>
        <w:rPr>
          <w:rFonts w:ascii="Arial" w:cs="Arial" w:eastAsia="Arial" w:hAnsi="Arial"/>
          <w:sz w:val="17"/>
          <w:szCs w:val="17"/>
          <w:color w:val="auto"/>
        </w:rPr>
        <w:t xml:space="preserve"> </w:t>
      </w:r>
      <w:r>
        <w:rPr>
          <w:rFonts w:ascii="Arial" w:cs="Arial" w:eastAsia="Arial" w:hAnsi="Arial"/>
          <w:sz w:val="17"/>
          <w:szCs w:val="17"/>
          <w:color w:val="231F20"/>
        </w:rPr>
        <w:t>reliance upon data obtained from a meaningful number of sites. Therapies with a Regenerative Medicine Advanced Therapy (RMAT) designation will be eligible for accelerated approval through, as appropriate:</w:t>
      </w:r>
    </w:p>
    <w:p>
      <w:pPr>
        <w:spacing w:after="0" w:line="129" w:lineRule="exact"/>
        <w:rPr>
          <w:sz w:val="20"/>
          <w:szCs w:val="20"/>
          <w:color w:val="auto"/>
        </w:rPr>
      </w:pPr>
    </w:p>
    <w:p>
      <w:pPr>
        <w:ind w:left="520" w:hanging="215"/>
        <w:spacing w:after="0"/>
        <w:tabs>
          <w:tab w:leader="none" w:pos="5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Surrogate or intermediate endpoints reasonably likely to predict long-term clinical benefit; or</w:t>
      </w:r>
    </w:p>
    <w:p>
      <w:pPr>
        <w:spacing w:after="0" w:line="171" w:lineRule="exact"/>
        <w:rPr>
          <w:rFonts w:ascii="Arial" w:cs="Arial" w:eastAsia="Arial" w:hAnsi="Arial"/>
          <w:sz w:val="18"/>
          <w:szCs w:val="18"/>
          <w:color w:val="231F20"/>
        </w:rPr>
      </w:pPr>
    </w:p>
    <w:p>
      <w:pPr>
        <w:ind w:left="580" w:hanging="275"/>
        <w:spacing w:after="0"/>
        <w:tabs>
          <w:tab w:leader="none" w:pos="58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Reliance upon data obtained from a meaningful number of sites, including through expansion to additional sites, as appropriate.</w:t>
      </w:r>
    </w:p>
    <w:p>
      <w:pPr>
        <w:spacing w:after="0" w:line="171" w:lineRule="exact"/>
        <w:rPr>
          <w:sz w:val="20"/>
          <w:szCs w:val="20"/>
          <w:color w:val="auto"/>
        </w:rPr>
      </w:pPr>
    </w:p>
    <w:p>
      <w:pPr>
        <w:ind w:left="80" w:firstLine="216"/>
        <w:spacing w:after="0" w:line="277" w:lineRule="auto"/>
        <w:rPr>
          <w:sz w:val="20"/>
          <w:szCs w:val="20"/>
          <w:color w:val="auto"/>
        </w:rPr>
      </w:pPr>
      <w:r>
        <w:rPr>
          <w:rFonts w:ascii="Arial" w:cs="Arial" w:eastAsia="Arial" w:hAnsi="Arial"/>
          <w:sz w:val="18"/>
          <w:szCs w:val="18"/>
          <w:color w:val="231F20"/>
        </w:rPr>
        <w:t>Another benefit of RMAT designation is that it creates the option to meet post-approval requirements beyond the standard, controlled clinical trial. Post-approval requirements can be met through:</w:t>
      </w:r>
    </w:p>
    <w:p>
      <w:pPr>
        <w:spacing w:after="0" w:line="11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Clinical evidence, clinical studies, patient registries, or other sources of real world evidence, such as electronic health records;</w:t>
      </w:r>
    </w:p>
    <w:p>
      <w:pPr>
        <w:spacing w:after="0" w:line="171" w:lineRule="exact"/>
        <w:rPr>
          <w:rFonts w:ascii="Arial" w:cs="Arial" w:eastAsia="Arial" w:hAnsi="Arial"/>
          <w:sz w:val="18"/>
          <w:szCs w:val="18"/>
          <w:color w:val="231F20"/>
        </w:rPr>
      </w:pPr>
    </w:p>
    <w:p>
      <w:pPr>
        <w:ind w:left="660" w:hanging="328"/>
        <w:spacing w:after="0"/>
        <w:tabs>
          <w:tab w:leader="none" w:pos="66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The collection of larger confirmatory data sets; or</w:t>
      </w:r>
    </w:p>
    <w:p>
      <w:pPr>
        <w:spacing w:after="0" w:line="171" w:lineRule="exact"/>
        <w:rPr>
          <w:rFonts w:ascii="Arial" w:cs="Arial" w:eastAsia="Arial" w:hAnsi="Arial"/>
          <w:sz w:val="18"/>
          <w:szCs w:val="18"/>
          <w:color w:val="231F20"/>
        </w:rPr>
      </w:pPr>
    </w:p>
    <w:p>
      <w:pPr>
        <w:ind w:left="660" w:hanging="328"/>
        <w:spacing w:after="0"/>
        <w:tabs>
          <w:tab w:leader="none" w:pos="66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Post-approval monitoring of all patients treated with such therapy prior to approval of the therapy.</w:t>
      </w:r>
    </w:p>
    <w:p>
      <w:pPr>
        <w:spacing w:after="0" w:line="171" w:lineRule="exact"/>
        <w:rPr>
          <w:sz w:val="20"/>
          <w:szCs w:val="20"/>
          <w:color w:val="auto"/>
        </w:rPr>
      </w:pPr>
    </w:p>
    <w:p>
      <w:pPr>
        <w:ind w:right="20" w:firstLine="230"/>
        <w:spacing w:after="0" w:line="277" w:lineRule="auto"/>
        <w:rPr>
          <w:sz w:val="20"/>
          <w:szCs w:val="20"/>
          <w:color w:val="auto"/>
        </w:rPr>
      </w:pPr>
      <w:r>
        <w:rPr>
          <w:rFonts w:ascii="Arial" w:cs="Arial" w:eastAsia="Arial" w:hAnsi="Arial"/>
          <w:sz w:val="18"/>
          <w:szCs w:val="18"/>
          <w:color w:val="231F20"/>
        </w:rPr>
        <w:t>Finally, the designation also includes early interactions with the FDA to discuss any potential surrogate or intermediate endpoint to be used to support accelerated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b w:val="1"/>
          <w:bCs w:val="1"/>
          <w:i w:val="1"/>
          <w:iCs w:val="1"/>
          <w:color w:val="auto"/>
        </w:rPr>
        <w:t>Humanitarian Device Exemption</w:t>
      </w:r>
    </w:p>
    <w:p>
      <w:pPr>
        <w:spacing w:after="0" w:line="22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Unless an exemption applies, each medical device commercially distributed in the United States requires either a substantial equivalence determination under a premarket notification submission pursuant to Section 510(k) of the FFDCA, or an approval of a premarket approval application (PMA). The FDA provides an incentive for the development of certain devices intended to benefit patients by treating or diagnosing a disease or condition that affects or is manifested in not more than 8,000 individuals in the United States per year. These devices receive a HUD designation and may be eligible for marketing approval under an HDE application. An HDE application is a premarket approval application that seeks an exemption from the effectiveness requirement that would otherwise apply to the application. FDA approval of an HDE application authorizes the applicant to market the device.</w:t>
      </w:r>
    </w:p>
    <w:p>
      <w:pPr>
        <w:spacing w:after="0" w:line="16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To obtain approval for a HUD, an HDE application is submitted to the FDA. An HDE application is similar in both form and content to a PMA application in that the applicant must demonstrate a reasonable assurance of safety, but in an HDE application, the applicant seeks an exemption from the PMA requirement of demonstrating a reasonable assurance of effectiveness. An HDE application is not required to contain the results of scientifically valid clinical investigations demonstrating that the device is effective for its intended purpose. The application, however, must contain sufficient information for the FDA to determine that the device does not pose an unreasonable or significant risk of illness or injury, and that the probable benefit to health outweighs the risk of injury or illness from its use, taking into account the probable risks and benefits of currently available devices or alternative forms of treatment. Additionally, the applicant must demonstrate that no comparable devices are available to treat or diagnose the disease or condition, and that they could not otherwise bring the device to market.</w:t>
      </w:r>
    </w:p>
    <w:p>
      <w:pPr>
        <w:spacing w:after="0" w:line="19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Except in certain circumstances, HUDs approved under an HDE cannot be sold for an amount that exceeds the costs of research and development, fabrication, and distribution of the device (i.e., for profit). Under the current HDE provision, as amended by the Food and Drug Administration Safety and Innovation Act, or FDASIA, a device is eligible to be sold for profit after receiving HDE approval if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is intended for the treatment or diagnosis of a disease or condition that does not occur in pediatric patients or that occurs in pediatric patients in such numbers that the development of the device for such patients is impossible, highly impracticable, or unsafe. If the FDA makes a determination that a HUD meets the eligibility criteria, the HUD is permitted to be sold for profit after receiving HDE approval as long as the number of devices distributed in any calendar year does not exceed the ADN for the device. The holder of the HDE must immediately notify the FDA if the number of devices distributed during a calendar year exceeds the ADN. The ADN is determined by the FDA when the agency approves the original HDE application; or when the agency approves an HDE supplement for an HDE approved before the enactment of FDASIA if the HDE holder seeks a determination for the HUD in an HDE supplement based upon the profit-making eligibility criteria, and the FDA determines that the HUD meets the eligibility criteria.</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FDA Post-Approval Requirements</w:t>
      </w:r>
    </w:p>
    <w:p>
      <w:pPr>
        <w:spacing w:after="0" w:line="2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Maintaining substantial compliance with applicable federal, state, local, and foreign statutes and regulations requires the expenditure of substantial time and financial resources. Rigorous and extensive FDA regulation of biological products and devices continues after approval, particularly with respect to cGMP. We will rely, and expect to continue to rely, on third parties to manufacture or supply certain components, equipment, disposable devices, testing and other materials used in our manufacturing process for any products that we commercialize or may commercialize. Manufacturers of our products are required to comply with applicable requirements in the cGMP regulations, including quality control and quality assurance and maintenance of records and documentation. We cannot be certain that we or our present or future suppliers will be able to comply with the cGMP and other FDA regulatory requirements. Other post-approval requirements applicable to biological products include reporting of cGMP deviations that may affect the identity, potency, purity and overall safety of a distributed product, record-keeping requirements, monitoring and reporting of adverse effects, reporting updated safety and efficacy information, periodic reporting requirements and complying with electronic record and signature requirements. Similarly, there are a number of post-marketing requirements for devices, including medical device reporting regulations that require manufacturers to report to the FDA if a device may have caused or contributed to a death or serious injury or malfunctioned in a way that would likely cause or contribute to a death or serious injury if it were to recur; and corrections and removal reporting regulations that require manufacturers to report to the FDA field corrections and product recalls or removals if undertaken to reduce a risk to health posed by the device or to remedy a violation of the FFDCA that may present a risk to health. Additionally, devices must comply with the cGMP requirements that are set forth in the FDA’s Quality System Regulation (QSR), including complaint handling and corrective and preventative actions.</w:t>
      </w:r>
    </w:p>
    <w:p>
      <w:pPr>
        <w:spacing w:after="0" w:line="1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After a BLA is approved, the biological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After approval of biologics, manufacturers must address any safety issues that arise, are subject to recalls or a halt in manufacturing, and are subject to periodic inspection after approval.</w:t>
      </w:r>
    </w:p>
    <w:p>
      <w:pPr>
        <w:spacing w:after="0" w:line="18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Discovery of previously unknown problems or the failure to comply with the applicable regulatory requirements, by us or our suppliers, may result in restrictions on the marketing of a product or withdrawal of the product from the market as well as possible civil or criminal sanctions and adverse publicity. FDA sanctions could include refusal to approve pending applications, license revocation,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93"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Biological product and medical device manufacturers and other entities involved in the manufacture and distribution of approved biological products and devices are required to register their facilities with the FDA and certain state agencies, and are subject to periodic unannounced inspections by the FDA and certain state agencies for compliance with cGMP and other laws.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with certain exceptions.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Pediatric Research Equity Act</w:t>
      </w:r>
    </w:p>
    <w:p>
      <w:pPr>
        <w:spacing w:after="0" w:line="22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Under the Pediatric Research Equity Act, or PREA, a BLA or BLA supplement claiming a new indication must contain data to assess the safety and effectiveness of the biological product for the claimed indications in all relevant pediatric subpopulations and to support dosing and administration for each pediatric subpopulation for which the product is safe and effective, for a new product, new indication or dosage form. The intent of PREA is to compel sponsors whose products have pediatric applicability to study those products in pediatric populations, rather than ignoring pediatric indications for adult indications that could be more economically desirable. The FDA may grant deferrals for submission of data or full or partial waivers. By its terms, PREA does not apply to any biological product for an indication for which orphan designation has been granted, unless the FDA issues regulations saying otherwise. Because the FDA has not issued any such regulations, submission of a pediatric assessment is not required for an application to market a product for an orphan-designated indication, and waivers are not needed at this time. However, if only one indication for a product has orphan designation, a pediatric assessment may still be required for any applications to market that same product for the non-orphan indication(s).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225"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Depending upon the timing, duration, and specifics of the FDA approval of the use of our current or future product candidates, some of our U.S. patents may be eligible for limited patent term extension under the Drug Price Competition and Patent Term Restoration Act of 1984, commonly referred to as the Hatch-Waxman Amendments. Patent term restoration can compensate for time lost during product development and the regulatory review process by returning up to five years of patent life for a patent that covers a new product or its use. However, patent term restoration cannot extend the remaining term of a patent beyond a total of 14 years from the product’s approval date. The period of patent term restoration is generally one-half the time between the effective date of an IND (falling after issuance of the patent) and the submission date of a BLA, plus the time between the submission date of the BLA and the approval of that application, except that the review period is reduced by any time during which the applicant failed to exercise due diligence. Only one patent applicable to an approved biological product is eligible for the extension and the application for the extension must be submitted prior to the expiration of the patent. The application for patent term extension is subject to approval by the United States Patent and Trademark Office, or PTO, in consultation with the FDA. We cannot be certain that the PTO and the FDA will grant a patent term extension related to MACI.</w:t>
      </w:r>
    </w:p>
    <w:p>
      <w:pPr>
        <w:spacing w:after="0" w:line="16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 biological product can obtain pediatric market exclusivity in the United States. This six-month exclusivity, which runs from the end of other exclusivity protection or patent term, may be granted based on the voluntary completion of a pediatric study in accordance with an FDA-issued “Written Request” for such a study.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Biosimilars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Patient Protection and Affordable Care Act, or the Affordable Care Act, includes the Biologics Price Competition and Innovation Act of 2009. That Act created an approval pathway authorizing the FDA to approve biosimilars and interchangeable biosimilars. Biosimilars are biological products which are “highly similar” to a previously approved biologic product or “reference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product” and for which there are no clinically meaningful differences between the biosimilar product and the reference product in terms of the safety, purity, and potency as shown through analytical studies, animal studies and a clinical study or studies. For the FDA to approve a biosimilar product as interchangeable with a reference product, the agency must find that the biosimilar product can be expected to produce the same clinical results as the reference product and, for products administered multiple times, the biosimilar and the reference biologic may be switched after one has been previously administered without increasing safety risks or risks of diminished efficacy relative to exclusive use of the reference biologic. A reference biologic is granted 12 years of exclusivity from the time of first licensure of the reference product.</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FDA closely regulates the post-approval marketing and promotion of biologics and devices including regulating through standards and regulations for direct-to-consumer advertising and promotional activities involving the internet. The agency also prohibits the off-label promotion of biologics and devices, and provides guidance on industry-sponsored scientific and educational activities to ensure that these activities are not promotional. Any claims we make for our products in advertising or promotion must be appropriately balanced with important safety information and otherwise adequately substantiated. Failure to comply with these requirements can result in adverse publicity and significant penalties, including the issuance of untitled or warning letters directing a company to correct deviations from FDA standards, corrective advertising, a requirement that future advertising and promotional materials be pre-cleared by the FDA, injunctions, and federal and state civil and criminal investigations and prosecutions.</w:t>
      </w:r>
    </w:p>
    <w:p>
      <w:pPr>
        <w:spacing w:after="0" w:line="17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While doctors are free to prescribe any product approved by the FDA for use, a company can only make claims relating to safety and effectiveness of a biological product or device that are consistent with the FDA approval or clearance, and the company is allowed to actively market and promote a biological product or device only for the particular use and treatment approved or cleared by the FDA. For BLAs,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 Similarly, changes to approved or cleared devices may require FDA’s premarket review.</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w:t>
      </w:r>
    </w:p>
    <w:p>
      <w:pPr>
        <w:spacing w:after="0" w:line="2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Under the Orphan Drug Act, the FDA may grant orphan drug designation to biologics intended to treat a rare disease or condition, generally a disease or condition that affects fewer than 200,000 individuals in the United States, or affects more than 200,000 individuals in the United States and for which there is no reasonable expectation that the cost of developing and making available in the United States a drug for such disease or condition will be recovered from sales of such drug. Orphan drug designation must be requested before submitting a BLA. After the FDA grants orphan drug designation, the generic identity of the biologic and its potential orphan use are disclosed publicly by the FDA. Orphan drug designation does not necessarily convey any advantage in, or shorten the duration of, the regulatory review and approval process. The first BLA applicant to receive FDA approval for a particular product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Orphan drug exclusivity, which would most likely run concurrently with the exclusivity, if any, received from the time of first licensure of a reference product, does not prevent the FDA from approving a different biologic for the same disease or condition, or the same biologic for a different disease or condition. Among the other benefits of orphan drug designation are tax credits for certain research and a waiver of the BLA application user fee.</w:t>
      </w:r>
    </w:p>
    <w:p>
      <w:pPr>
        <w:spacing w:after="0" w:line="16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FDASIA added Section 529 to the FFDCA. Pursuant to that provision, the FDA will award priority review vouchers to sponsors of rare pediatric disease product applications that meet certain criteria after approval of the application. The priority review voucher may be used by the sponsor or sold/transferred to another.</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Anti-Kickback and False Claims Laws</w:t>
      </w:r>
    </w:p>
    <w:p>
      <w:pPr>
        <w:spacing w:after="0" w:line="22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the United States, the research, manufacturing, distribution, sale and promotion of biological products and devices are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federal, state and local government agencies. For example, sales, marketing and scientific/educational grant programs must comply with the Anti-Kickback Statute, as amended, the False Claims Act, as amended, the privacy regulations promulgated under the Health Insurance Portability and Accountability Act, or HIPAA, and similar state laws. If products are made available to authorized users of the Federal Supply Schedule of the General Services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Administration, additional laws and requirements apply. All of these activities are also potentially subject to federal and state consumer protection and unfair competition laws.</w:t>
      </w:r>
    </w:p>
    <w:p>
      <w:pPr>
        <w:spacing w:after="0" w:line="170"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As noted above, in the United States, we are subject to complex laws and regulations pertaining to healthcare “fraud and abuse,” including, but not limited to, the federal Anti-Kickback Statute, the federal False Claims Act, and other state and federal laws and regulations. The Anti-Kickback Statute makes it illegal for any person, including a biological product manufacturer (or a party acting on its behalf) to knowingly and willfully solicit, receive, offer, or pay any remuneration that is intended to induce the referral of business, including the purchase or order of an item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many states have adopted laws similar to the Anti-Kickback Statute. Some of these state prohibitions apply to the referral of patients for healthcare services reimbursed by any insurer, not just federal healthcare programs such as Medicare and Medicaid. Due to the breadth of these federal and state anti-kickback laws and the potential for additional legal or regulatory change in this area, it is possible that our sales and marketing practices and/or our relationships with physicians might be challenged under anti-kickback laws, which could harm us. Because we commercialize products that could be reimbursed under a federal healthcare program and other governmental healthcare programs, we have developed a comprehensive compliance program that establishes internal controls to facilitate adherence to the rules and program requirements to which we are subject.</w:t>
      </w:r>
    </w:p>
    <w:p>
      <w:pPr>
        <w:spacing w:after="0" w:line="18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The federal False Claims Act prohibits anyone from, among other things, knowingly presenting, or causing to be presented, for payment to federal programs (including Medicare and Medicaid) claims for items or services, including biological products, that are false or fraudulent. Although we would not submit claims directly to payers, manufacturers can be held liable under these laws if they are deemed to “cause” the submission of false or fraudulent claims by, for example, providing inaccurate billing or coding information to customers or promoting a product off-label.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off-label promotion of drugs. Penalties for a False Claims Act violation include three times the actual damages sustained by the government, plus mandatory civil penalties of between $11,181 and $22,363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8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There are also an increasing number of state laws that require manufacturers to make reports to states on pricing and marketing information. Many of these laws contain ambiguities as to what is required to comply with the laws. In addition, a provision of the Patient Protection and Affordable Care Act, referred to as the Sunshine Act, requires biological product manufacturers to track and report to the federal government certain payments or other transfers of value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federal authorities.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225"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In addition to regulations in the United States, a variety of foreign regulations govern clinical trials, commercial sales, and distribution of product candidates. The marketing authorization approval process and requirements vary from country to country, and the review timelines may be longer or shorter than that required for FDA approval.</w:t>
      </w:r>
    </w:p>
    <w:p>
      <w:pPr>
        <w:spacing w:after="0" w:line="18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European Union (EU) pharmaceutical legislation requires Marketing Authorization Holders (MAH) in the EU to comply with the Pediatric Investigational Plan (PIP) that is in place as a post-authorization commitment agreed with the Pediatric Committee or PDCO within EMA to undergo an initial license renewal procedure within five years after initial market authorization. In the case of MACI which has a suspended license due to a European manufacturing facility closure, this would require the registration, qualification and approval of an EU compliant cGMP manufacturing facility before the end of the applicable renewal period in June 2018. However, we did not take such actions prior to expiration, and therefore the EU marketing authorization for MACI expired in June 2018.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ind w:left="24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United States and other countries, sales of any products for which we receive regulatory approval for commercial sale will depend in part on the availability of reimbursement from third-party payers, including government health administrative authorities, managed care providers, private health insurers, and other organizations. Third-party payers are increasingly examining the medical necessity and cost effectiveness of medical products and services in addition to safety and efficacy and, accordingly, significant uncertainty exists as to the reimbursement status of newly approved therapeutics. Third-party reimbursement adequate to enable us to realize an appropriate return on our investment in research and product development may not be available for our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Environment for Cartilage Repair and Burn Treatment</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biotechnology and medical device industries are characterized by rapidly evolving technology and intense competition. Our competitors include major multinational medical device companies, pharmaceutical companies, biotechnology companies and stem cell companies operating in the fields of tissue engineering, regenerative medicine, orthopedics and neural medicine. Many of these companies are well-established and possess technical, research and development, financial, and sales and marketing resources significantly greater than ours. In addition, many of our smaller potential competitors have formed strategic collaborations, partnerships and other types of joint ventures with larger, well-established industry competitors that afford these companies potential research and development and commercialization advantages in the technology and therapeutic areas currently being pursued by us. Academic institutions, governmental agencies and other public and private research organizations are also conducting and financing research activities which may produce products directly competitive to those being commercialized by us. Moreover, many of these competitors may be able to obtain patent protection, obtain FDA and other regulatory approvals and begin commercial sales of their products before us.</w:t>
      </w:r>
    </w:p>
    <w:p>
      <w:pPr>
        <w:spacing w:after="0" w:line="182"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For patients diagnosed with cartilage defects, there are several treatment options, including arthroscopic debridement/chondroplasty, marrow stimulation techniques such as microfracture, osteochondral autografts for smaller cartilage injuries, allografts, and autologous chondrocyte implants for larger injuries.</w:t>
      </w:r>
    </w:p>
    <w:p>
      <w:pPr>
        <w:spacing w:after="0" w:line="124" w:lineRule="exact"/>
        <w:rPr>
          <w:sz w:val="20"/>
          <w:szCs w:val="20"/>
          <w:color w:val="auto"/>
        </w:rPr>
      </w:pPr>
    </w:p>
    <w:p>
      <w:pPr>
        <w:jc w:val="both"/>
        <w:ind w:firstLine="243"/>
        <w:spacing w:after="0" w:line="245" w:lineRule="auto"/>
        <w:rPr>
          <w:sz w:val="20"/>
          <w:szCs w:val="20"/>
          <w:color w:val="auto"/>
        </w:rPr>
      </w:pPr>
      <w:r>
        <w:rPr>
          <w:rFonts w:ascii="Arial" w:cs="Arial" w:eastAsia="Arial" w:hAnsi="Arial"/>
          <w:sz w:val="16"/>
          <w:szCs w:val="16"/>
          <w:color w:val="auto"/>
        </w:rPr>
        <w:t>The main competing treatments for MACI in the U.S. are microfracture and osteochondral allograft. Microfracture, a minimally invasive procedure that can be performed during the initial arthroscopic procedure, involves creating small fractures in the underlying bone allowing bone marrow to enter the defect. This treatment eventually forms a weaker form of cartilage which can offer shorter term relief but is at high risk of breaking down in larger defects. Short term results are generally considered good in smaller cartilage defects. This treatment is sometimes augmented with allograft derived products such as Cartiform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marketed by Arthrex and Prochondrix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marketed by Allosource. Other competitive treatments in the U.S. include a juvenile donor-derived allograft product DeNovo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NT from Zimmer Holdings Inc. (Zimmer Biomet). The osteochondral allograft procedure involves the transplant of a bone and cartilage graft from a deceased donor. The donor tissue is distributed by multiple companies. There are multiple other cartilage repair technologies currently being studied in the clinic. GelrinC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a biodegradable polyethylene glycol and fibrin injectable gel used in conjunction with microfracture being developed by Regentis Biomaterials Ltd. It is currently being studied in a Phase 3 trial that was initiated in 2017. Hyalofast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a biodegradable hyaluronic acid-based scaffold used in conjunction with autologous concentrated bone marrow aspirate being developed by Anika Therapeutics, Inc. It is currently being studied in a Phase 3 trial that was initiated in 2015. Agili-C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a non-cellular biphasic implant derived from aragonite which is implanted like an allograft and is being developed by CartiHeal, Inc. It is currently being studied in a Phase 3 trial that initiated in 2018.</w:t>
      </w:r>
    </w:p>
    <w:p>
      <w:pPr>
        <w:spacing w:after="0" w:line="203" w:lineRule="exact"/>
        <w:rPr>
          <w:sz w:val="20"/>
          <w:szCs w:val="20"/>
          <w:color w:val="auto"/>
        </w:rPr>
      </w:pPr>
    </w:p>
    <w:p>
      <w:pPr>
        <w:jc w:val="both"/>
        <w:ind w:firstLine="243"/>
        <w:spacing w:after="0" w:line="224" w:lineRule="auto"/>
        <w:rPr>
          <w:sz w:val="20"/>
          <w:szCs w:val="20"/>
          <w:color w:val="auto"/>
        </w:rPr>
      </w:pPr>
      <w:r>
        <w:rPr>
          <w:rFonts w:ascii="Arial" w:cs="Arial" w:eastAsia="Arial" w:hAnsi="Arial"/>
          <w:sz w:val="18"/>
          <w:szCs w:val="18"/>
          <w:color w:val="auto"/>
        </w:rPr>
        <w:t>MACI is the only FDA-approved ACI product on the market in the United States. We are aware of two ACI products in development. Histogenics Corporation began a Phase 3 study of its NeoCart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implant in February 2010. NeoCart is an autologous chondrocyte tissue implant under development for treatment of symptomatic articular cartilage lesions on the femur. In September 2018, Histogenics announced that the NeoCart Phase 3 trial did not achieve its primary endpoint and subsequently that the FDA would require an additional clinical trial before it would accept a submission of a BLA for NeoCart. Aesculap Biologics, LLC initiated a Phase 3 study in 2014 of NOVOCART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3D, a matrix induced autologous chondrocyte product designed to repair articular cartilage defects of the knee.</w:t>
      </w:r>
    </w:p>
    <w:p>
      <w:pPr>
        <w:spacing w:after="0" w:line="20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7"/>
          <w:szCs w:val="17"/>
          <w:color w:val="auto"/>
        </w:rPr>
        <w:t>Patients suffering catastrophic burns over a significant portion of TBSA have few options for permanent skin coverage. When undamaged skin is available, a procedure known as meshed split-thickness auto-grafting can be considered. However, this option becomes less viable as the percentage of TBSA burn increases. Epicel is a potentially lifesaving therapy and represents the only FDA-approved option for patients with TBSA burns greater than 70%. In September 2018, the FDA approved Avita Medical’s RECELL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 in for use in partial thickness burns and in full thickness burns in conjunction with meshed split-thickness auto-graft. The RECELL system is a device which enables the on-site preparation of an autologous epithelial cell suspension. One RECELL kit can treat an approximately 10% TBSA wound, and, unlike Epicel, the safety and effectiveness of RECELL has not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been established in combination with autografting in patients with wounds totaling greater than 50% TBSA or in pediatric patients younger than 18 years of age.</w:t>
      </w:r>
    </w:p>
    <w:p>
      <w:pPr>
        <w:spacing w:after="0" w:line="17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In the general area of cell-based therapies, we potentially compete with a variety of companies, most of whom are specialty medical products or biotechnology companies. Some of these, such as Arthrex and Zimmer, are well-established and have substantial technical and financial resources compared to ours. However, as cell-based products are only just emerging as viable medical therapies, many of our potential competitors are smaller biotechnology and specialty medical products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December 31, 2018, we employed approximately 216 full-time employees. A significant number of our management and professional employees have had prior experience with pharmaceutical, biotechnology or medical product companies. None of our employees are covered by collective bargaining agreements, and management considers relations with our employees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our executive officers and key employees and their respective ages and positions as of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422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Position</w:t>
            </w:r>
          </w:p>
        </w:tc>
        <w:tc>
          <w:tcPr>
            <w:tcW w:w="120" w:type="dxa"/>
            <w:vAlign w:val="bottom"/>
            <w:vMerge w:val="restart"/>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vMerge w:val="restart"/>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Officer Since</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Dominick C. Colangelo</w:t>
            </w:r>
          </w:p>
        </w:tc>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President and Chief Executive Officer</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Daniel R. Orlando</w:t>
            </w: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Chief Operating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Gerard Michel</w:t>
            </w:r>
          </w:p>
        </w:tc>
        <w:tc>
          <w:tcPr>
            <w:tcW w:w="4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Chief Financial Officer &amp; Vice President of Corporate</w:t>
            </w: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 xml:space="preserve">Dominick C. Colangelo — </w:t>
      </w:r>
      <w:r>
        <w:rPr>
          <w:rFonts w:ascii="Arial" w:cs="Arial" w:eastAsia="Arial" w:hAnsi="Arial"/>
          <w:sz w:val="17"/>
          <w:szCs w:val="17"/>
          <w:color w:val="auto"/>
        </w:rPr>
        <w:t>Mr. Colangelo joined Vericel Corporation in 2013 with more than twenty years of executive management and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experience in the biopharmaceutical industry, including nearly a decade with Eli Lilly and Company. During his career, he has held a variety of executive positions of increasing responsibility in product development, pharmaceutical operations, sales and marketing, and corporate development. He has extensive experience in the acquisition, development and commercialization of products across a variety of therapeutic areas. During his tenure at Eli Lilly and Company, Mr. Colangelo held positions as Director of Strategy and Business Development for Lilly’s Diabetes Product Group and also served as a founding Managing Director of Lilly Ventures. Mr. Colangelo received his B.S.B.A. in Accounting, Magna Cum Laude, from the State University of New York at Buffalo and a J.D. degree, with Honors, from the Duke University School of Law.</w:t>
      </w:r>
    </w:p>
    <w:p>
      <w:pPr>
        <w:spacing w:after="0" w:line="17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 xml:space="preserve">Daniel R. Orlando — </w:t>
      </w:r>
      <w:r>
        <w:rPr>
          <w:rFonts w:ascii="Arial" w:cs="Arial" w:eastAsia="Arial" w:hAnsi="Arial"/>
          <w:sz w:val="17"/>
          <w:szCs w:val="17"/>
          <w:color w:val="auto"/>
        </w:rPr>
        <w:t>Mr. Orlando joined Vericel as Chief Commercial Officer in August of 2012. Mr. Orlando served as interim Chief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of Vericel from December 2012 to March 2013. He has more than 20 years of commercial product preparation and launch experience including leadership roles in sales, marketing and most recently as a vice president of business development for North and South America at Takeda Pharmaceuticals U.S.A., Inc., a wholly owned subsidiary of Takeda Pharmaceutical Limited (Takeda North America) from January 1999 to March 2012. As an early employee at Takeda North America, he served as the original brand director for Actos, which became the #1 branded anti-diabetic agent in the United States. Mr. Orlando’s initial pharmaceutical experience came in progressively expanding roles in sales and marketing at Abbott Laboratories. He holds an MBA from Florida Atlantic University and a BA in Economics with Honors from the University of Florida.</w:t>
      </w:r>
    </w:p>
    <w:p>
      <w:pPr>
        <w:spacing w:after="0" w:line="178"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i w:val="1"/>
          <w:iCs w:val="1"/>
          <w:color w:val="auto"/>
        </w:rPr>
        <w:t xml:space="preserve">Gerard Michel — </w:t>
      </w:r>
      <w:r>
        <w:rPr>
          <w:rFonts w:ascii="Arial" w:cs="Arial" w:eastAsia="Arial" w:hAnsi="Arial"/>
          <w:sz w:val="16"/>
          <w:szCs w:val="16"/>
          <w:color w:val="auto"/>
        </w:rPr>
        <w:t>Mr. Michel joined Vericel in June of 2014 with over 25 years of experience in the pharmaceutical industry across multiple functional</w:t>
      </w:r>
      <w:r>
        <w:rPr>
          <w:rFonts w:ascii="Arial" w:cs="Arial" w:eastAsia="Arial" w:hAnsi="Arial"/>
          <w:sz w:val="16"/>
          <w:szCs w:val="16"/>
          <w:i w:val="1"/>
          <w:iCs w:val="1"/>
          <w:color w:val="auto"/>
        </w:rPr>
        <w:t xml:space="preserve"> </w:t>
      </w:r>
      <w:r>
        <w:rPr>
          <w:rFonts w:ascii="Arial" w:cs="Arial" w:eastAsia="Arial" w:hAnsi="Arial"/>
          <w:sz w:val="16"/>
          <w:szCs w:val="16"/>
          <w:color w:val="auto"/>
        </w:rPr>
        <w:t>areas. He has considerable experience in business development, raising capital and executing successful financial transactions. Mr. Michel was formerly Chief Financial Officer and Vice President, Corporate Development of Biodel Inc. from November 2007 to May 2014, where he oversaw strategic development, fundraising and capital structure management, marketing efforts, investor relations, and financial reporting and internal controls. Prior to his role at Biodel, from August 2002 to November 2007, Mr. Michel served as Chief Financial Officer and Vice President of Corporate Development of NPS Pharmaceuticals Inc., where he led the first syndicated royalty monetization. Prior to that, Mr. Michel was a Principal at Booz Allen Hamilton Inc. and also held a variety of commercial roles at both Lederle Labs and Wyeth Labs. Mr. Michel holds an M.S. in Microbiology from the University of Rochester School of Medicine, an M.B.A. from the Simon School of Business, and a B.S. in both Biology and Geology from the University of Rochester.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Additional information about Vericel is contained at our website, www.vcel.com. Information on our website is not incorporated by reference into this report. We make available on our website free of charge our Annual Reports on Form 10-K, Quarterly Reports on Form 10-Q and Current Reports on Form 8-K as soon as reasonably practicable after those reports are filed with the Securities and Exchange Commission (SEC). Our reports filed with the SEC are also made available on its website at www.sec.gov. The following Corporate Governance documents are also posted on the Investor Relations section of our website: Code of Business Conduct and Ethics, Code of Ethics for Senior Financial Officers, Board Member Attendance at Annual Meetings Policy, Director Nominations Policy, Shareholder Communications with Directors Policy and the Charters for each of the Committees of the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that could adversely affect our business, financial condition, results of operations, cash flows, and trading price of our common stock. The risks and uncertainties described below are not the only ones we face. There may be additional risks and uncertainties that are not known to us or that we do not consider to be material at this time. If the events described in these risks occur, our business, financial condition, and results of operations would likely suffer.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limited manufacturing capacity and our commercial manufacturing operations in the U.S. depend on one facility. If the facility is destroyed or we experience any manufacturing difficulties, disruptions or delays, this could limit supply of our products or adversely affect our ability to conduct clinical trials and our business would be adversely impacted.</w:t>
      </w:r>
    </w:p>
    <w:p>
      <w:pPr>
        <w:spacing w:after="0" w:line="18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presently conduct all of our commercial manufacturing operations in the U.S. at one facility located in Cambridge, Massachusetts. As a result, all of the commercial manufacturing of our marketed products, MACI and Epicel, for the U.S. market takes place at a single U.S. facility, which is more than thirty years old. If regulatory, manufacturing or other problems require us to discontinue production at the Cambridge facility, we will not be able to supply our products to our patients, which would adversely impact our business. If this facility or the equipment in it is significantly damaged or destroyed by fire, flood, power loss or similar events, we will not be able to quickly or inexpensively replace our manufacturing capacity or may not be able to replace our facility at all. In the event of a temporary or protracted loss of this facility or equipment, we might not be able to transfer manufacturing to a third party. Even if we could transfer manufacturing from one facility to a third party, the shift would likely be expensive and time-consuming, particularly since an alternative facility would need to comply with the applicable regulatory and quality standard requirements whereby validation and FDA approval would be required before any products manufactured at that facility could be made commercially available.</w:t>
      </w:r>
    </w:p>
    <w:p>
      <w:pPr>
        <w:spacing w:after="0" w:line="182"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Furthermore, there are no current manufacturing activities at the Ann Arbor facility. It will take time and resources to reinstate manufacturing capabilities in the future. We may not be able to quickly or inexpensively replace our manufacturing capacity at our facility or a new facility for ixmyelocel-T.</w:t>
      </w:r>
    </w:p>
    <w:p>
      <w:pPr>
        <w:spacing w:after="0" w:line="124" w:lineRule="exact"/>
        <w:rPr>
          <w:sz w:val="20"/>
          <w:szCs w:val="20"/>
          <w:color w:val="auto"/>
        </w:rPr>
      </w:pPr>
    </w:p>
    <w:p>
      <w:pPr>
        <w:jc w:val="both"/>
        <w:ind w:right="20" w:firstLine="300"/>
        <w:spacing w:after="0" w:line="277" w:lineRule="auto"/>
        <w:rPr>
          <w:sz w:val="20"/>
          <w:szCs w:val="20"/>
          <w:color w:val="auto"/>
        </w:rPr>
      </w:pPr>
      <w:r>
        <w:rPr>
          <w:rFonts w:ascii="Arial" w:cs="Arial" w:eastAsia="Arial" w:hAnsi="Arial"/>
          <w:sz w:val="18"/>
          <w:szCs w:val="18"/>
          <w:color w:val="auto"/>
        </w:rPr>
        <w:t>While we do maintain insurance coverage against damage to our property and equipment, if we have underestimated our insurance needs, we will not have sufficient insurance to cover losses above and beyond the limits on our policies.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Failure of third parties, including for example Matricel GmbH, to manufacture or supply certain components, equipment, disposable devices and other materials used in our MACI or Epicel cell manufacturing processes would impair our cell product development and commercialization.</w:t>
      </w:r>
    </w:p>
    <w:p>
      <w:pPr>
        <w:spacing w:after="0" w:line="124"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We rely on third parties, including Matricel GmbH (Matricel) to manufacture and/or supply certain of our devices/manufacturing equipment and to manufacture and/or supply certain components, equipment, disposable devices and other materials used in our cell manufacturing process to manufacture our marketed cell therapy products and to develop our product candidates. In many instances these third parties serve as our sole suppliers. For example, Matricel is the sole supplier of the membrane for MACI. It would be difficult to obtain alternate sources of supply on a short-term basis due to the need for FDA approval of a new supplier. If any of our manufacturers or suppliers fails to perform its respective obligations, or if our supply of certain components, equipment, disposable devices and other materials is limited or interrupted, it could impair our ability to manufacture our products, which would delay our ability to market our commercial products or future product candidates or conduct clinical trials on a timely and cost-competitive basis, if at all.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96" w:right="239" w:bottom="1440" w:gutter="0" w:footer="0" w:header="0"/>
        </w:sectPr>
      </w:pPr>
    </w:p>
    <w:bookmarkStart w:id="20" w:name="page21"/>
    <w:bookmarkEnd w:id="20"/>
    <w:p>
      <w:pPr>
        <w:jc w:val="both"/>
        <w:ind w:firstLine="243"/>
        <w:spacing w:after="0" w:line="218" w:lineRule="exact"/>
        <w:rPr>
          <w:sz w:val="20"/>
          <w:szCs w:val="20"/>
          <w:color w:val="auto"/>
        </w:rPr>
      </w:pPr>
      <w:r>
        <w:rPr>
          <w:rFonts w:ascii="Arial" w:cs="Arial" w:eastAsia="Arial" w:hAnsi="Arial"/>
          <w:sz w:val="17"/>
          <w:szCs w:val="17"/>
          <w:color w:val="auto"/>
        </w:rPr>
        <w:t>Many of our suppliers are sole or single source suppliers. We do not have long term supply agreements with many of our third</w:t>
      </w:r>
      <w:r>
        <w:rPr>
          <w:rFonts w:ascii="MS PGothic" w:cs="MS PGothic" w:eastAsia="MS PGothic" w:hAnsi="MS PGothic"/>
          <w:sz w:val="17"/>
          <w:szCs w:val="17"/>
          <w:color w:val="auto"/>
        </w:rPr>
        <w:t>‑</w:t>
      </w:r>
      <w:r>
        <w:rPr>
          <w:rFonts w:ascii="Arial" w:cs="Arial" w:eastAsia="Arial" w:hAnsi="Arial"/>
          <w:sz w:val="17"/>
          <w:szCs w:val="17"/>
          <w:color w:val="auto"/>
        </w:rPr>
        <w:t>party sole or single source suppliers of certain components and other materials used in our cell manufacturing process to manufacture our marketed cell therapy products. We purchase our required supply on a purchase order basis, and at any time the third-party suppliers could stop supplying our orders. FDA approval of a new supplier may be required if these materials become unavailable from our current suppliers. Although there may be other suppliers that have equivalent materials that would be available to us, FDA approval of any alternate suppliers, if required, could take several months or a year or more to obtain, if able to be obtained at all. Any delay, interruption or cessation of production by our third party suppliers of important materials, or any delay in qualifying new materials, if necessary, would prevent or delay our ability to manufacture products. In addition, a supplier’s variation in a raw material or testing, either unknown to us or incompatible with our manufacturing process, or any other problem with our materials, testing or components, would prevent or delay our ability to manufacture products. These delays may limit our ability to meet demand for our products, which would have a material adverse impact on our business, results of operations and financial condition.</w:t>
      </w:r>
    </w:p>
    <w:p>
      <w:pPr>
        <w:spacing w:after="0" w:line="20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may be unable to establish any agreements with third party suppliers or to do so on acceptable terms. Even if we are able to establish agreements with third party suppliers, reliance on third party suppliers entails additional risks, including the possible breach of the supply agreement by the third party, and the possible termination or nonrenewal of the agreement by the third party at a time that is costly or inconvenient for us.</w:t>
      </w:r>
    </w:p>
    <w:p>
      <w:pPr>
        <w:spacing w:after="0" w:line="16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we may not be able to continue our present arrangements with our suppliers, supplement existing relationships, establish and maintain new relationships or be able to identify and obtain the ancillary materials that are necessary to develop our product candidates in the future. Our dependence upon third parties for the supply and manufacture of these items could adversely affect our ability to develop and deliver commercial and commercially feasible products on a timely and competitive basis.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by our third party manufacturers, including Matricel, to comply with the regulatory requirements set forth by the FDA with respect to our products could limit our ability to manufacture commercial products.</w:t>
      </w:r>
    </w:p>
    <w:p>
      <w:pPr>
        <w:spacing w:after="0" w:line="170"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Third-party manufacturers, such as Matricel, are subject to inspection by the FDA for current Good Manufacturing Practice, or cGMP, compliance, as well as for their ability to manufacture the components, products or product candidates in compliance with the established process and procedure for the product or product candidate during an inspection. We may compete with other companies for access to these manufacturers’ facilities and may be subject to delays in manufacture if the manufacturers give other clients higher priority than they give to us. If we are unable to secure and maintain third-party manufacturing capacity, the development and sales of our products and product candidates, if approved, and our financial performance may be materially affected.</w:t>
      </w:r>
    </w:p>
    <w:p>
      <w:pPr>
        <w:spacing w:after="0" w:line="15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Manufacturers of FDA-regulated products are obligated to operate in accordance with FDA-mandated requirements. A failure of any of our third-party manufacturers to establish and follow cGMP requirements and to document their adherence to such practices may lead to significant delays in the availability of material for clinical trials, may delay or prevent filing or approval of marketing applications for our future product candidates, and may cause delays or interruptions in the availability of our products for commercial distribution. This could result in higher costs to us or deprive us of potential product revenues.</w:t>
      </w:r>
    </w:p>
    <w:p>
      <w:pPr>
        <w:spacing w:after="0" w:line="15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Complying with cGMP, ICH and other non-U.S. regulatory requirements will require that we expend time, money, and effort in production, recordkeeping, and quality control to assure that the product or product candidate meets applicable specifications and other requirements. We, or our contracted manufacturing facility, must also pass a pre-approval inspection by the FDA for future product candidates, and are subject to routine FDA cGMP inspections. Failure to address any FDA observations in a timely manner, pass pre-approval inspections or comply with cGMP requirements can result in delays to approvals for future product candidates and/or regulatory action that can limit the ability to manufacture commercial products. As a result, our business, financial condition, and results of operations may be materially harmed.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manufacture of cell therapy products is characterized by inherent risks and challenges and has proven to be a costly endeavor relative to manufacturing other therapeutic products.</w:t>
      </w:r>
    </w:p>
    <w:p>
      <w:pPr>
        <w:spacing w:after="0" w:line="17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manufacture of cell therapy products, such as our products and product candidates, is highly complex and is characterized by inherent risks and challenges such as biological raw material inconsistencies, logistical challenges, significant quality control and assurance requirements, manufacturing complexity, and significant manual processing. Unlike products that rely on chemicals for efficacy, such as most pharmaceuticals, cell therapy products are difficult to characterize due to the inherent variability of biological input materials. When manufacturing autologous cell therapies, the number and the composition of the cell population varies from patient to patient, in part due to the age of the patient, since the therapy is dependent on patient-specific physiology. Such variability in the number and composition of these cells could adversely affect our ability to manufacture autologous cell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therapies in a cost-effective manner and meet acceptable product release specifications for use in a clinical trial or, if approved, for commercial sale.</w:t>
      </w:r>
    </w:p>
    <w:p>
      <w:pPr>
        <w:spacing w:after="0" w:line="23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Difficulty in characterizing biological materials or their interactions creates greater risk in the manufacturing process. We attempt to mitigate risk associated with the manufacture of biologics by continuing to improve the characterization of all of our input materials, utilizing multiple vendors for supply of qualified biological materials, and manufacturing some of these materials ourselves. However, there can be no assurance that we will be able to maintain adequate sources of biological materials or that biological materials that we maintain in inventory will yield finished products that satisfy applicable product release criteria. Our inability to obtain necessary biological materials or to successfully manufacture cell therapy products that incorporate such materials could have a material adverse effect on our results of operations.</w:t>
      </w:r>
    </w:p>
    <w:p>
      <w:pPr>
        <w:spacing w:after="0" w:line="19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There can be no assurance that we or any third party contractors with whom we enter into strategic relationships will be successful in streamlining manufacturing operations and implementing efficient, low-cost manufacturing capabilities and processes that will enable us to meet the quality, price and production standards or production volumes to achieve profitability. Our failure to develop these manufacturing processes in a timely manner could prevent us from achieving our growth and profitability objectives as projected or at all.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enter into written agreements with payers for reimbursement of our products and to obtain adequate reimbursement and reimbursement rates could have a material adverse effect on our financial condition and operating results.</w:t>
      </w:r>
    </w:p>
    <w:p>
      <w:pPr>
        <w:spacing w:after="0" w:line="17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have a limited network of specialty pharmacy distributors for MACI, and we rely on our specialty pharmacy distributors’ contracts with third party payers for reimbursement. Under our distribution agreement with Orsini Pharmaceutical Services, Inc. (Orsini) and AllCare Plus Pharmacy, Inc. (AllCare), we assumed the credit and collection risk of third party payers not paying for implants after June 15, 2018 under the Orsini agreement and after July 26, 2018 under the AllCare agreement. Orsini and AllCare dispense MACI and perform the collection activities. Our largest customer accounts for 16% of our total MACI revenues and 2% of our total accounts receivable balances for the year ended December 31, 2018, see note 4 for further information. This customer concentration increases credit risk and the loss, disruption or a significant reduction in business from Orsini could materially decrease our revenues and have a material adverse impact on our results of operations.</w:t>
      </w:r>
    </w:p>
    <w:p>
      <w:pPr>
        <w:spacing w:after="0" w:line="20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Failing to maintain and obtain written agreements from payers for reimbursement of our products or to obtain adequate reimbursement rates could have a material adverse effect on our financial condition and operating results. In addition, healthcare providers are under pressure to increase profitability and reduce costs. In response, certain healthcare providers are limiting coverage or reducing reimbursement rates for the products we provide. We cannot predict the extent to which reimbursement for our products will be affected by initiatives to reduce costs for healthcare providers. Failure to collect from such payers or to obtain or maintain written agreements with such payers or obtaining lower than estimated reimbursement for our products would adversely affect our business, financial conditions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sale of any of our products may be limited by health insurance coverage and government regulation.</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Maintaining and growing sales of our products will depend in large part on the availability of adequate coverage and the extent to which third-party payers, including health insurance companies, health maintenance organizations, and government health administration authorities such as the military, Medicare and Medicaid, private insurance plans and managed care programs will pay for the cost of the products and related treatment. Hospitals and other healthcare provider clients that purchase our products typically bill various third-party payers to cover all or a portion of the costs and fees associated with the procedures in which such products are used, sometimes including the cost of the purchase of these products. Third-party payers are also increasingly attempting to contain healthcare costs by demanding price discounts or rebates and limiting both coverage and the amounts that they will pay for certain products, and, as a result, they may not cover or continue to provide adequate payment for our products. For example, in April 2017, we were notified of a contractual dispute between Vital Care and a third-party payer. The dispute was resolved in July 2017, and the initial negotiated reimbursement resulted in an estimated sales allowance of $1.4 million. We might need to conduct post-marketing studies in order to demonstrate the cost-effectiveness of our products and current and future product candidates to such payers’ satisfaction. Such studies might require us to commit a significant amount of management time and financial and other resources. Our products and future products might not ultimately be considered cost-effective. Adequate third-party reimbursement might not be available to enable us to maintain price levels sufficient to realize an appropriate return on investment in our products and future product development. If coverage and adequate reimbursement are not available, reimbursement is available only to limited levels, or if our costs of production increase faster than increases in reimbursement levels, we may not be able to successfully grow the sales of our products or commercialize any current and future product candidates for which marketing approval is obtained.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ind w:firstLine="243"/>
        <w:spacing w:after="0" w:line="255" w:lineRule="auto"/>
        <w:rPr>
          <w:sz w:val="20"/>
          <w:szCs w:val="20"/>
          <w:color w:val="auto"/>
        </w:rPr>
      </w:pPr>
      <w:r>
        <w:rPr>
          <w:rFonts w:ascii="Arial" w:cs="Arial" w:eastAsia="Arial" w:hAnsi="Arial"/>
          <w:sz w:val="18"/>
          <w:szCs w:val="18"/>
          <w:color w:val="auto"/>
        </w:rPr>
        <w:t>Coverage decisions and payment amounts are established at the discretion of the individual third-party payer, and the regulations that govern pricing, coverage and reimbursement vary widely from payer to payer and country to country. Many private payers in the United States, however, use coverage decisions and payment amounts determined by the Centers for Medicare &amp; Medicaid Services (CMS), as guidelines in setting their coverage and reimbursement policies. While certain procedures using our products are currently covered by Medicare and other third-party payers, future action by CMS or other government agencies, including the imposition of coverage and reimbursement limitations, may diminish payments to physicians, outpatient centers and/or hospitals for covered services. As a result, we cannot be certain that the procedures performed with our products will be reimbursed at a cost-effective level or reimbursed at all.</w:t>
      </w:r>
    </w:p>
    <w:p>
      <w:pPr>
        <w:spacing w:after="0" w:line="189"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Furthermore, the healthcare industry in the United States has experienced a trend toward cost containment as government and private insurers seek to control healthcare costs by imposing lower payment rates and negotiating reduced contract rates with service providers. Increasingly, third-party payers have attempted to control costs by challenging the prices charged for medical products. Therefore, we cannot be certain that the procedures performed with our products will be reimbursed at a cost-effective level. Nor can we be certain that third-party payers using a methodology that sets amounts based on the type of procedure performed, such as those utilized in many privately managed care systems and by Medicare, will view the cost of our products to be justified so as to incorporate such costs into the overall cost of the procedure. Moreover, we are unable to predict what changes will be made to the reimbursement methodologies used by third-party payers in the future. As a result of the continuing evaluation and assessment of these expected payments, our estimates for expected payments could change. We cannot be sure that reimbursement will be available for any product that we commercialize and, if reimbursement is available, the level of such reimbursement. Reimbursement may impact the demand for, or the price of, any product or product candidate for which we obtain marketing approval. If reimbursement is not available or is available only to limited levels, we may not be able to successfully commercialize any product or product candidate for which we obtain marketing approval.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significant quarterly and annual fluctuations in our results of operations due to a number of factors.</w:t>
      </w:r>
    </w:p>
    <w:p>
      <w:pPr>
        <w:spacing w:after="0" w:line="225" w:lineRule="exact"/>
        <w:rPr>
          <w:sz w:val="20"/>
          <w:szCs w:val="20"/>
          <w:color w:val="auto"/>
        </w:rPr>
      </w:pPr>
    </w:p>
    <w:p>
      <w:pPr>
        <w:jc w:val="both"/>
        <w:ind w:left="120" w:firstLine="351"/>
        <w:spacing w:after="0" w:line="259" w:lineRule="auto"/>
        <w:rPr>
          <w:sz w:val="20"/>
          <w:szCs w:val="20"/>
          <w:color w:val="auto"/>
        </w:rPr>
      </w:pPr>
      <w:r>
        <w:rPr>
          <w:rFonts w:ascii="Arial" w:cs="Arial" w:eastAsia="Arial" w:hAnsi="Arial"/>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may affect our results of operations include:</w:t>
      </w:r>
    </w:p>
    <w:p>
      <w:pPr>
        <w:spacing w:after="0" w:line="23" w:lineRule="exact"/>
        <w:rPr>
          <w:sz w:val="20"/>
          <w:szCs w:val="20"/>
          <w:color w:val="auto"/>
        </w:rPr>
      </w:pPr>
    </w:p>
    <w:p>
      <w:pPr>
        <w:ind w:left="920" w:hanging="4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new orders and revenue recognition for new and prior year orders;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in the sales of our products;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volume of revenues;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increase sales to our existing customers, particularly larger customers;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and achieve market adoption of our products;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 recession or any other adverse global economic conditions on our business;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erosion in margins or significant fluctuations in revenues caused by changing customer demand;</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and cost of our sales force expansion and hiring personnel and of large expenses such as third-party professional services;</w:t>
      </w:r>
    </w:p>
    <w:p>
      <w:pPr>
        <w:spacing w:after="0" w:line="20" w:lineRule="exact"/>
        <w:rPr>
          <w:rFonts w:ascii="Arial" w:cs="Arial" w:eastAsia="Arial" w:hAnsi="Arial"/>
          <w:sz w:val="17"/>
          <w:szCs w:val="17"/>
          <w:color w:val="auto"/>
        </w:rPr>
      </w:pPr>
    </w:p>
    <w:p>
      <w:pPr>
        <w:ind w:left="920" w:hanging="4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 expenses, which vary along with changes to our stock price;</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accounting pronouncements or changes in accounting rules or our accounting policies.</w:t>
      </w:r>
    </w:p>
    <w:p>
      <w:pPr>
        <w:spacing w:after="0" w:line="211" w:lineRule="exact"/>
        <w:rPr>
          <w:sz w:val="20"/>
          <w:szCs w:val="20"/>
          <w:color w:val="auto"/>
        </w:rPr>
      </w:pPr>
    </w:p>
    <w:p>
      <w:pPr>
        <w:jc w:val="both"/>
        <w:ind w:left="120" w:firstLine="351"/>
        <w:spacing w:after="0" w:line="273" w:lineRule="auto"/>
        <w:rPr>
          <w:sz w:val="20"/>
          <w:szCs w:val="20"/>
          <w:color w:val="auto"/>
        </w:rPr>
      </w:pPr>
      <w:r>
        <w:rPr>
          <w:rFonts w:ascii="Arial" w:cs="Arial" w:eastAsia="Arial" w:hAnsi="Arial"/>
          <w:sz w:val="17"/>
          <w:szCs w:val="17"/>
          <w:color w:val="auto"/>
        </w:rPr>
        <w:t>The foregoing factors are difficult to forecast, and these, as well as other factors, could materially adversely affect our quarterly and annual results of operations. There can be no assurance that the level of revenues and profits, if any, achieved by us in any particular fiscal period, will not be significantly lower than in other comparable fiscal periods. For example, the rate at which biopsies convert to implants has been consistent over the last five years. We cannot be certain that this rate will remain constant in the future, and if this rate were to decline, our revenue growth could be negatively impacted. In addition, our expense levels are based, in part, on our expectations as to future revenues. As a result, if future revenues are below expectations, net income or loss may be disproportionately affected by a reduction in revenues, as any corresponding reduction in expenses may not be proportionate to the reduction in revenues.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jc w:val="both"/>
        <w:ind w:left="120" w:right="20"/>
        <w:spacing w:after="0" w:line="342" w:lineRule="auto"/>
        <w:rPr>
          <w:sz w:val="20"/>
          <w:szCs w:val="20"/>
          <w:color w:val="auto"/>
        </w:rPr>
      </w:pPr>
      <w:r>
        <w:rPr>
          <w:rFonts w:ascii="Arial" w:cs="Arial" w:eastAsia="Arial" w:hAnsi="Arial"/>
          <w:sz w:val="16"/>
          <w:szCs w:val="16"/>
          <w:b w:val="1"/>
          <w:bCs w:val="1"/>
          <w:i w:val="1"/>
          <w:iCs w:val="1"/>
          <w:color w:val="auto"/>
        </w:rPr>
        <w:t>Seasonal sales patterns and other variations related to our revenue recognition may cause significant fluctuations in our results of operations and cash flows and may prevent us from achieving our quarterly or annual forecasts, which may cause our stock price to decline.</w:t>
      </w:r>
    </w:p>
    <w:p>
      <w:pPr>
        <w:spacing w:after="0" w:line="124" w:lineRule="exact"/>
        <w:rPr>
          <w:sz w:val="20"/>
          <w:szCs w:val="20"/>
          <w:color w:val="auto"/>
        </w:rPr>
      </w:pPr>
    </w:p>
    <w:p>
      <w:pPr>
        <w:jc w:val="both"/>
        <w:ind w:left="120" w:firstLine="351"/>
        <w:spacing w:after="0" w:line="302" w:lineRule="auto"/>
        <w:rPr>
          <w:sz w:val="20"/>
          <w:szCs w:val="20"/>
          <w:color w:val="auto"/>
        </w:rPr>
      </w:pPr>
      <w:r>
        <w:rPr>
          <w:rFonts w:ascii="Arial" w:cs="Arial" w:eastAsia="Arial" w:hAnsi="Arial"/>
          <w:sz w:val="16"/>
          <w:szCs w:val="16"/>
          <w:color w:val="auto"/>
        </w:rPr>
        <w:t>Historically we have had significant seasonal patterns in product orders with the highest volume quarter being the fourth quarter and the lowest volume quarter being the first quarter. As a result, a significantly higher percentage of our annual revenues have historically been recognized in the fourth quarters and the lowest percentage of annual revenues in the first quarter of a given calendar year. This is due to a number of factors, including insurance copay limits and the time of year patients prefer to start rehabilitation. We expect to continue to experience this seasonality effect in subsequent years.</w:t>
      </w:r>
    </w:p>
    <w:p>
      <w:pPr>
        <w:spacing w:after="0" w:line="222" w:lineRule="exact"/>
        <w:rPr>
          <w:sz w:val="20"/>
          <w:szCs w:val="20"/>
          <w:color w:val="auto"/>
        </w:rPr>
      </w:pPr>
    </w:p>
    <w:p>
      <w:pPr>
        <w:jc w:val="both"/>
        <w:ind w:left="120" w:firstLine="351"/>
        <w:spacing w:after="0" w:line="277" w:lineRule="auto"/>
        <w:rPr>
          <w:sz w:val="20"/>
          <w:szCs w:val="20"/>
          <w:color w:val="auto"/>
        </w:rPr>
      </w:pPr>
      <w:r>
        <w:rPr>
          <w:rFonts w:ascii="Arial" w:cs="Arial" w:eastAsia="Arial" w:hAnsi="Arial"/>
          <w:sz w:val="18"/>
          <w:szCs w:val="18"/>
          <w:color w:val="auto"/>
        </w:rPr>
        <w:t>Our quarterly growth in revenues also may not match up to new orders we receive in a given quarter, which could mask the impact of seasonal variations. This mismatch can be due to the timing of revenue recognition.</w:t>
      </w:r>
    </w:p>
    <w:p>
      <w:pPr>
        <w:spacing w:after="0" w:line="116" w:lineRule="exact"/>
        <w:rPr>
          <w:sz w:val="20"/>
          <w:szCs w:val="20"/>
          <w:color w:val="auto"/>
        </w:rPr>
      </w:pPr>
    </w:p>
    <w:p>
      <w:pPr>
        <w:jc w:val="both"/>
        <w:ind w:left="120" w:firstLine="351"/>
        <w:spacing w:after="0" w:line="286" w:lineRule="auto"/>
        <w:rPr>
          <w:sz w:val="20"/>
          <w:szCs w:val="20"/>
          <w:color w:val="auto"/>
        </w:rPr>
      </w:pPr>
      <w:r>
        <w:rPr>
          <w:rFonts w:ascii="Arial" w:cs="Arial" w:eastAsia="Arial" w:hAnsi="Arial"/>
          <w:sz w:val="17"/>
          <w:szCs w:val="17"/>
          <w:color w:val="auto"/>
        </w:rPr>
        <w:t>Seasonal and other variations related to our revenue recognition may cause significant fluctuations in our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will be harmed if we are unable to effectively manage and sustain our future growth or scale our operations.</w:t>
      </w:r>
    </w:p>
    <w:p>
      <w:pPr>
        <w:spacing w:after="0" w:line="37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There can be no assurance that we will be able to manage our future growth efficiently or profitably. Our business is unproven on a large scale and actual revenue and operating margins, or revenue and margin growth, may be less than expected. If we are unable to scale our production capabilities efficiently or maintain pricing without significant discounting, we may fail to achieve expected operating margins, which would have a material and adverse effect on our operating results. Growth may also stress our ability to adequately manage our operations, quality of products, safety and regulatory compliance. If growth significantly decreases it will negatively impact our cash reserves, and we may be required to obtain additional financing, which may increase indebtedness or result in dilution to shareholders. Further, there can be no assurance that we would be able to obtain additional financing on acceptable terms if at all.</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manage inventory in an effective and efficient manner, it could adversely affect our results of operations.</w:t>
      </w:r>
    </w:p>
    <w:p>
      <w:pPr>
        <w:spacing w:after="0" w:line="37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Many factors affect the efficient use and planning of inventory of certain components and other materials used in our cell manufacturing process to manufacture our marketed products, such as effectiveness of predicting demand, effectiveness of preparing manufacturing to meet demand, efficiently meeting product demand requirements and expiration of materials in inventory. We may be unable to manage our inventory efficiently, keep inventory within expected budget goals, keep inventory on hand or manage it efficiently, control expired inventory or keep sufficient inventory of materials to meet product demand due to our dependence on third party suppliers. Finally, we can provide no assurance that we can keep inventory costs within our target levels. Failure to do so may harm our long term growth prospects.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anticipate continuing to incur losses and may not achieve or maintain profitability for some time or at all.</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have incurred net losses each year since our inception in 1989, including net losses of $8.1 million and $17.3 million for the years ended December 31, 2018 and 2017, respectively. As of December 31, 2018, we had accumulated a deficit of approximately $369.0 million and had $18.3 million of cash. Based on our current plan and cash on hand, we believe that we are positioned to sustain our operations until at least February, 2020.</w:t>
      </w:r>
    </w:p>
    <w:p>
      <w:pPr>
        <w:spacing w:after="0" w:line="166"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Although we believe we will achieve profitability without the need to raise additional capital, we may continue to incur significant operating losses over the next several years despite sales increasing and margins improving, due to continuing expenses related to our research and development programs, and the expense associated with continuing the commercialization of our approved products. We cannot predict with any certainty the amount of future losses. Our ability to maintain profitability will depend on, among other things, increasing sales of our current products, improving gross margins, successfully commercializing new products, completing the development of our future product candidates, timely initiation and completion of clinical trials, obtaining regulatory approvals, establishing manufacturing, sales and marketing arrangements with third parties, maintaining supplies of key manufacturing components and the possible acquisition and development of complementary products. Therefore, we may not be able to achieve or sustain profitability.</w:t>
      </w:r>
    </w:p>
    <w:p>
      <w:pPr>
        <w:spacing w:after="0" w:line="16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longer term, we may need to raise additional funds in order to continue to complete product development programs and complete clinical trials needed to obtain approval for and commercialize our future product candidates or to capitalize on potential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06"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strategic opportunities. We cannot be certain that actual results will not differ materially from our current projections and that current capital will be sufficient to achieve profitability nor that funding will be available on favorable terms, if at all. Some of the factors that will impact our ability to raise additional capital and our overall success include:</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maintain our manufacturing facility's compliance with FDA requirements including establishment and product fees;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requirements to maintain marketing authorization and licenses from regulatory bodies in the United States and other countries in good standing;</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liquidity and market volatility of our equity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and manufacturing requirements and uncertainties;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Staying ahead of technological developments by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and degree of progress of our product development;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of regulatory approval to proceed with clinical development programs.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raise the required capital to develop and commercialize our future product candidates and otherwise grow and expand our business.</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Notwithstanding the net proceeds we received from previous public offerings, we may require substantial additional capital resources for strategic opportunities.</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order to grow and expand our business, to introduce other new product candidates into the marketplace, we may need to raise additional funds. We may also need significant additional funds or a collaborative partner, or both, to finance the research and development activities of our future cell therapy product candidates for additional indications or in additional 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future capital requirements will depend upon many factors, including:</w:t>
      </w:r>
    </w:p>
    <w:p>
      <w:pPr>
        <w:spacing w:after="0" w:line="252"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scientific progress in our research, clinical and development programs;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and timing of conducting clinical trials and seeking regulatory approvals;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Avoiding infringement and misappropriation of third-party intellectual property;</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valid and enforceable patents that give us a competitive advantage;</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additional collaborative relationships;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scale up our production capabilities for larger quantities of our products;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commercialization activities and facility improvements and expansions, if and as required; and</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Complementary business acquisitions or development opportunities.</w:t>
      </w:r>
    </w:p>
    <w:p>
      <w:pPr>
        <w:spacing w:after="0" w:line="23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may try to access the public or private equity markets if conditions are favorable to complete a financing, even if we do not have an immediate need for additional capital at that time, or whenever we require additional operating capital. In addition, we may seek collaborative relationships, incur debt and access other available funding sources. This additional funding may not be available to us on reasonable terms, or at all. Some of the factors that will impact our ability to raise additional capital and our overall success include:</w:t>
      </w:r>
    </w:p>
    <w:p>
      <w:pPr>
        <w:spacing w:after="0" w:line="18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further commercialize our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and degree of progress of our product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of regulatory approval to proceed with clinical developmental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success achieved in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requirements for marketing authorization from regulatory bodies in the United States and other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liquidity and market volatility of our equity securities;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and manufacturing requirements and uncertainties, and technological developments by competitors.</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adequate funds are not available in the future, we may not be able to develop or enhance our products, take advantage of future opportunities, or respond to competitive pressures or unanticipated requirements and we may be required to delay or terminate research and development programs, curtail capital expenditures, and reduce business development and other operating activities, which would have a material adverse impact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required regulatory approvals would severely limit our ability to sell our products.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must maintain our domestic regulatory approvals to continue to commercialize our products in the United States. We must demonstrate the safety, purity and potency, or efficacy, of cell therapy products to obtain FDA regulatory approval prior to marketing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in the United States. Demonstration of safety and efficacy requires the conduct of nonclinical studies and well-controlled clinical trials in compliance with FDA, International Conference of Harmonization (ICH) and applicable local regulations. The FDA regulatory review process to obtain marketing approval is a rigorous process that requires demonstrating the ability to manufacture the product in compliance with (cGMP) in addition to demonstrating a favorable risk/benefit profile and making certain post-marketing commitments.</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must maintain our foreign regulatory approvals in compliance with regulatory requirements and applicable local regulations to allow for commercialization outside the U.S. Regulatory requirements outside the U.S. often require additional studies and data to obtain registration. Timelines can also be longer than those in the U.S.</w:t>
      </w:r>
    </w:p>
    <w:p>
      <w:pPr>
        <w:spacing w:after="0" w:line="18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safety, potency and purity of our products must be monitored to be in compliance with FDA requirements for safety, cGMP, and all other applicable regulations. This requires adverse event monitoring and reporting to regulatory agencies, as well as submission and approval of any changes in the manufacturing process. Our manufacturing and testing facilities are subject to FDA periodic inspections for compliance with cGMP requirements. Failure to meet regulatory requirements and post-marketing commitments and maintain cGMP compliance could result in severe and detrimental regulatory actions, including the loss of marketing approval.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changes in the regulatory requirements that affect our products and/or future product candidates could prevent, limit or delay our ability to market or develop new product candidates.</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FDA regulations establish the regulatory requirements for drugs, devices and biological products. Our cell therapy products are regulated as devices or biologics under current regulations. Biologics require BLA approval in the U.S. prior to being marketed. The regulations and guidance that govern the approval of biological products for marketing in the U.S. are subject to review and change by the FDA and could have an adverse impact on our ability to continue to market our products and bring new products to the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and product development programs are based on novel technologies and are inherently risky.</w:t>
      </w:r>
    </w:p>
    <w:p>
      <w:pPr>
        <w:spacing w:after="0" w:line="2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products are subject to the inherent risks of failure associated with the development of new products based on novel technologies. The innovative nature of our therapeutics creates significant challenges in regard to product development and optimization, manufacturing, regulatory environment and emerging regulations, third-party reimbursement and market acceptance. For instance, in April 2017, we received notification from one of our service providers of a contractual dispute between the service provider and the third-party payer related to certain of its insurance reimbursement claims associated with Carticel and MACI surgeries performed in 2016 and the first quarter of 2017, which resulted in the claims being paid at a lower amount than anticipated. Therapeutic advancements are generally ahead of development and release of regulatory guidance and requirements. The lack of established precedents and evolving regulatory policy for novel products can pose significant challenges in product and clinical development, which can decrease the chances of regulatory success.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products represent new classes of therapy that the marketplace may not understand or accept. Furthermore, the success of our products is dependent on wider acceptance by the medical community.</w:t>
      </w:r>
    </w:p>
    <w:p>
      <w:pPr>
        <w:spacing w:after="0" w:line="17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While our products have had some commercial success to date, the broader market may not understand or accept our products. Our products represent new treatments or therapies and compete with a number of more conventional products and therapies manufactured and marketed by others. The nature of our products creates significant challenges in regard to product development and optimization, manufacturing, regulations, and third-party reimbursement. For instance, in April 2017, we received notification from one of our service providers of a contractual dispute between the service provider and the third-party payer related to certain of its insurance reimbursement claims associated with Carticel and MACI surgeries performed in 2016 and the first quarter of 2017, which resulted in the claims being paid at a lower amount than anticipated. As a result, the commercialization of our current products and the development pathway for our potential new products may be subject to increased scrutiny, as compared to the pathway for more conventional products.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degree of market acceptance of any of our marketed or potential new products will depend on a number of factors, including:</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clinical safety and effectiveness of our products and their demonstrated advantage over alternative treatment methods;</w:t>
      </w:r>
    </w:p>
    <w:p>
      <w:pPr>
        <w:spacing w:after="0" w:line="23"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demonstrate to healthcare providers that our products provide a therapeutic advancement over standard of care or other competitive products / methods;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ind w:left="980" w:hanging="324"/>
        <w:spacing w:after="0" w:line="258"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educate healthcare providers on the autologous use of human tissue, to avoid potential confusion with and differentiate ourselves from the ethical controversies associated with human fetal tissue and engineered human tissue;</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educate healthcare providers, patients and payers on the safety and adverse reactions involving our products;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meet supply and demand and develop a core group of medical professionals familiar with and committed to the use of our products; and</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cost-effectiveness of our products and the reimbursement policies of government and third-party payers.</w:t>
      </w:r>
    </w:p>
    <w:p>
      <w:pPr>
        <w:spacing w:after="0" w:line="21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If the medical community or patients do not accept the safety and effectiveness of our products, it could negatively affect our sales, which would have a material adverse impact on our business, financial condition and operations.</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cyber security incident could result in a loss of confidential data, give rise to remediation and other expenses, expose us to liability under HIPAA, consumer protection and privacy laws, or other common law theories, subject us to litigation and federal and state governmental inquiries, damage our reputation, and otherwise be disruptive to our business.</w:t>
      </w:r>
    </w:p>
    <w:p>
      <w:pPr>
        <w:spacing w:after="0" w:line="289"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We collect and store sensitive information, including intellectual property and personally identifiable information, on our networks. The secure maintenance of this information is critical to our business operations. We have implemented multiple layers of security measures to protect this confidential data through technology, processes, and our people. We utilize current security technologies, and our defenses are monitored and routinely reviewed by internal and external parties. Despite these efforts, threats from malicious persons and groups, new vulnerabilities, and advanced new attacks against information systems create risk of cyber security incidents. There can be no assurance that we will not be subject to cyber security incidents that bypass our security measures, result in loss of personal health information or other data subject to privacy laws or disrupt our information systems or business. As a result, cyber security and the continued development and enhancement of our controls, processes and practices designed to protect our information systems from attack, damage or unauthorized access remain a priority for us. As cyber threats continue to evolve, we may be required to expend significant additional resources to continue to modify or enhance our protective measures or to investigate and remediate any cyber security vulnerabilities. The occurrence of any of these events could result in interruptions, delays, the loss, access, misappropriation, disclosure or corruption of data, liability under privacy, security and consumer protection laws or litigation under these or other laws, including common law theories, and subject us to federal and state governmental inquiries, any of which could have a material adverse effect on our financial position and results of operations and harm our business reputation.</w:t>
      </w:r>
    </w:p>
    <w:p>
      <w:pPr>
        <w:spacing w:after="0" w:line="27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regulators globally are also imposing greater monetary fines for privacy violations. For example, in 2016, the European Union adopted a new regulation governing data practices and privacy called the General Data Protection Regulation, or GDPR, which became effective on May 25, 2018. The GDPR applies to any company established in the European Union as well as to those outside the European Union if they collect and use personal data in connection with the offering of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greater. The GDPR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may operate in.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complete our product development activities successfully would materially limit our ability to operate or finance our operations.</w:t>
      </w:r>
    </w:p>
    <w:p>
      <w:pPr>
        <w:spacing w:after="0" w:line="24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order to obtain regulatory approval to commercialize future product candidates in the United States, we must conduct adequate and well-controlled clinical trials to demonstrate the safety and effectiveness in compliance with current regulatory requirements. We may not be able to successfully complete the development of future product candidates, or successfully market our technologies or future product candidates. We, and any of our potential collaborators, may encounter problems and delays relating to research and development, regulatory approval and intellectual property rights of our technologies and future product candidates. Our research and development programs may not be successful, and our cell culture technologies and future product candidates may not facilitate the production of cells outside the human body with the expected results. Our technologies and future product candidates may not prove to be safe and effective in clinical trials, and we may not obtain the requisite regulatory approvals for our product candidates. If any of these events occur, our future prospects may be adversely impacted.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b w:val="1"/>
          <w:bCs w:val="1"/>
          <w:i w:val="1"/>
          <w:iCs w:val="1"/>
          <w:color w:val="auto"/>
        </w:rPr>
        <w:t>We must successfully complete our nonclinical and clinical development program to be able to demonstrate safety and efficacy to seek marketing approval of our future product candidates. Lack of efficacy and or safety events can lead to the discontinuation of clinical development, and this can occur at any stage of the clinical development program. We may experience numerous unforeseen events during development that can delay or prevent commercialization of our future development candidates.</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results of early stage clinical trials do not ensure success in later clinical trials, and interim results are not necessarily predictive of final results. Data obtained from clinical activities are not always conclusive and may be susceptible of varying interpretations, which could delay, limit or prevent regulatory approval.</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Our planned clinical trials may not begin or be completed on schedule, if at all. Typically, if a biological product is intended to treat a chronic disease, safety and efficacy data must be gathered over an extended period of time, which can range from six months to three years or more.</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With respect to any clinical trials affecting our approved products or future development candidates, failures or delays can occur at any stage of the trials, and may be directly or indirectly caused by a variety of factors, including but not limited to:</w:t>
      </w:r>
    </w:p>
    <w:p>
      <w:pPr>
        <w:spacing w:after="0" w:line="170"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securing clinical investigators or trial sites for our clinical trials and their subsequent performance in conducting accurate and reliable trials on a timely basis;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obtaining IRB and other regulatory approvals to commence a clinical trial;</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Slower than anticipated rates of patient recruitment and enrollment in our clinical trials, or failing to reach the targeted number of patients due to competition for patients from other trials;</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or no availability of coverage, reimbursement and adequate payment from health maintenance organizations and other third party payers for the use of biological products supplied for use in our clinical trials;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or inconclusive results from clinical trials;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adverse effects interrupting, delaying, or halting clinical trials of any future therapeutic product candidates, and possibly resulting in the FDA or other regulatory authorities denying approval of any future therapeutic product candidates;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Approval and introduction of new therapies or changes in standards of practice or regulatory requirements or guidance that render our clinical trial endpoints or the targeting of our proposed indications obsolete;</w:t>
      </w: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Inability to monitor patients adequately during or after treatment or problems with investigator or patient compliance with the trial protocols;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replicate in large controlled trials safety and efficacy data obtained from a limited number of patients in uncontrolled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Unavailability of clinical trial supplies.</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FDA, the IRBs, and the sponsor monitor the progress of clinical trials and they may suspend or terminate a clinical trial at any time due to patient safety or other considerations. The FDA may impose a clinical hold on our trials because of safety concerns that have arisen for products or product candidates that are similar to our product candidates. Even when successful clinical results are reported for a product from a completed clinical trial, the durability of response may not be sustained over time, or may not be sufficient to support regulatory approval.</w:t>
      </w:r>
    </w:p>
    <w:p>
      <w:pPr>
        <w:spacing w:after="0" w:line="187"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Our current product development activities include but are not limited to projects directed at expanding clinical indications, and decreasing the cost of manufacturing our products. These production process changes may alter the functionality of our cells and require various additional levels of experimental and clinical testing and evaluation. Any such testing could lengthen the time before these product enhancements would be commercially available.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some of our clinical trials, and their failure to perform their obligations in a timely or competent manner may delay development and/or impact commercialization, if approved, of our current and future product candidates.</w:t>
      </w:r>
    </w:p>
    <w:p>
      <w:pPr>
        <w:spacing w:after="0" w:line="170"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use clinical research organizations (CROs) to assist in the conduct of our clinical trials. We may face delays outside of our control if these parties do not perform their obligations in a timely or competent fashion, or if we are forced to change service providers. Any third party that we hire to conduct clinical trials may also provide services to our competitors, which could compromise the performance of their obligations to us. If we experience significant delays in the progress of our clinical trials, the commercial prospects for our current and future product candidates could be harmed and our ability to generate product revenue would be delayed or prevented. In addition, we and any provider that we retain will be subject to GCP requirements. If GCP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28" w:name="page29"/>
    <w:bookmarkEnd w:id="28"/>
    <w:p>
      <w:pPr>
        <w:jc w:val="both"/>
        <w:spacing w:after="0" w:line="308" w:lineRule="auto"/>
        <w:rPr>
          <w:sz w:val="20"/>
          <w:szCs w:val="20"/>
          <w:color w:val="auto"/>
        </w:rPr>
      </w:pPr>
      <w:r>
        <w:rPr>
          <w:rFonts w:ascii="Arial" w:cs="Arial" w:eastAsia="Arial" w:hAnsi="Arial"/>
          <w:sz w:val="17"/>
          <w:szCs w:val="17"/>
          <w:color w:val="auto"/>
        </w:rPr>
        <w:t>other regulatory requirements are not adhered to by us or our third-party providers or clinical investigators, the conduct of the trial may be compromised and the development and commercialization of our current and future product candidates could be delayed or approval may never be obtained.</w:t>
      </w:r>
    </w:p>
    <w:p>
      <w:pPr>
        <w:spacing w:after="0" w:line="1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Any failure by a CRO, a clinical trial site, or clinical investigator, or us to successfully accomplish clinical trial monitoring, data collection, safety monitoring and reporting, and data management and other services in a timely manner and in compliance with regulatory requirements could have a material adverse effect on our ability to utilize the trial to obtain regulatory approval or complete clinical development of our product candidates to support regulatory approval. Problems with the timeliness or quality of the work of a CRO or a clinical trial site or clinical investigator may lead us to seek to terminate the relationship and use an alternate provider. However, making such changes may be costly and may delay our trials, could affect regulatory approval and contractual restrictions may make such a change difficult or impossible. Additionally, it may be difficult to find a replacement organization that can conduct our trials in an acceptable manner and at an acceptable cost.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significant regulation with respect to the manufacturing of our products.</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All of those involved in the preparation of a cellular therapy for commercial sale or clinical trials, including our existing supply contract manufacturers and clinical trial investigators, are subject to extensive and continuing government regulations by the FDA and comparable agencies in other jurisdictions. Components of a finished therapeutic product approved for commercial sale or used in late-stage clinical trials must be manufactured in accordance with cGMP. These regulations govern manufacturing processes and procedures and the implementation and operation of quality systems to control and assure the quality of investigational products and products approved for sale. Our facilities and quality systems and the facilities and quality systems of some or all of our third party contractors and suppliers are subject to pre-approval and routine FDA inspections for compliance with the applicable regulations as a condition of FDA approval of our products.</w:t>
      </w:r>
    </w:p>
    <w:p>
      <w:pPr>
        <w:spacing w:after="0" w:line="1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Generally, if any FDA inspection or audit identifies a failure to comply with applicable regulations or if a violation of our product specifications or applicable regulation occurs independent of such an inspection or audit, we or the FDA may require remedial measures that may be costly and/or time consuming for us or a third party to implement and that may include the temporary or permanent suspension of a clinical trial or commercial sales, recalls, warning letters, market withdrawals, seizures or the temporary or permanent closure of a facility. Any such remedial measures imposed upon us or third parties with whom we contract could materially harm our business.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incur significant costs complying with environmental and health and safety requirements, or as a result of liability for contamination or other harm caused by hazardous materials that we use.</w:t>
      </w:r>
    </w:p>
    <w:p>
      <w:pPr>
        <w:spacing w:after="0" w:line="170"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Our research and development and manufacturing processes involve the use of hazardous materials. We are subject to federal, state, local and foreign environmental requirements, including regulations governing the use, manufacture, handling, storage and disposal of hazardous materials, discharge to air and water, the cleanup of contamination and occupational health and safety matters. We cannot eliminate the risk of contamination or injury resulting from hazardous materials, and we may incur liability as a result of any contamination or injury. Under some environmental laws and regulations, we could also be held responsible for costs relating to any contamination at our past or present facilities and at third party waste disposal sites where we have sent wastes. These could include costs relating to contamination that did not result from any violation of law, and in some circumstances, contamination that we did not cause. We may incur significant expenses in the future relating to any failure to comply with environmental laws. Any such future expenses or liability could have a significant negative impact on our financial condition. The enactment of stricter laws or regulations, the stricter interpretation of existing laws and regulations or the requirement to undertake the investigation or remediation of currently unknown environmental contamination at our own or third party sites may require us to make additional expenditures, which could be material.</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 order to obtain marketing authorization of any of our current or future therapy product candidates in the United States, the FDA requires us to submit a BLA or marketing application, which is subject to the agency’s detailed review.</w:t>
      </w:r>
    </w:p>
    <w:p>
      <w:pPr>
        <w:spacing w:after="0" w:line="17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Cell therapy and other products require FDA review under an appropriate marketing application prior to commercialization. Future cell and other biologic therapy candidates would be subject to FDA’s biological product requirements and would require submission of a BLA. The BLA is a request for permission to introduce, or deliver for introduction, a biologic product into interstate commerce in the U.S. and undergoes a detailed and rigorous review by the FDA. The review process includes pre-approval inspections of the manufacturing facility. Additionally, approval may rely on post-market commitments. These commitments may include costly activities, such as additional clinical trials, and failure to meet these commitments can result in negative actions by the FDA, such as withdrawal of the product from the market.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jc w:val="both"/>
        <w:ind w:firstLine="243"/>
        <w:spacing w:after="0" w:line="259" w:lineRule="auto"/>
        <w:rPr>
          <w:sz w:val="20"/>
          <w:szCs w:val="20"/>
          <w:color w:val="auto"/>
        </w:rPr>
      </w:pPr>
      <w:r>
        <w:rPr>
          <w:rFonts w:ascii="Arial" w:cs="Arial" w:eastAsia="Arial" w:hAnsi="Arial"/>
          <w:sz w:val="18"/>
          <w:szCs w:val="18"/>
          <w:color w:val="auto"/>
        </w:rPr>
        <w:t>The BLA for MACI was approved by the FDA on December 13, 2016. The Cambridge manufacturing facility was subject to a pre-approval inspection to demonstrate the capabilities to manufacture the product under cGMP requirements in compliance with the procedures provided in the BLA. The MACI regulatory approval in the U.S. is associated with a number of post-marketing commitments, including conducting a pediatric clinical study in the U.S. Conducting this study will require funding and resources and is ongoing.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results of operation and cash flows could be significantly and negatively affected by substantial governmental regulations.</w:t>
      </w:r>
    </w:p>
    <w:p>
      <w:pPr>
        <w:spacing w:after="0" w:line="17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Our products are subject to rigorous regulation by the FDA and numerous other federal, state and foreign governmental authorities. Overall, there appears to be a trend toward more stringent regulation worldwide, and we do not anticipate this trend to dissipate in the near future.</w:t>
      </w:r>
    </w:p>
    <w:p>
      <w:pPr>
        <w:spacing w:after="0" w:line="170"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In general, the development, testing, labeling, manufacturing and marketing of our products are subject to extensive regulation and review by numerous governmental authorities both in the United States and abroad. The regulatory process requires the expenditure of significant time, effort and expense to bring new products to market. For example, the FDA approved Epicel as a HUD pursuant to an HDE application. A HUD is a medical device intended to benefit patients in the treatment or diagnosis of a disease or condition that affects not more than 8,000 individuals in the United States per year. A HUD with an approved HDE is approved by the FDA for marketing. However, IRB approval is required before a HUD can be used at a facility, with the exception of emergency use. The HDE holder is responsible for ensuring that a HUD approved under an HDE is administered only in facilities having an IRB constituted and acting in accordance with the agency’s regulation governing IRBs, including continuing review of use of the device. HUDs are also subject to additional FDA requirements, such as adverse event reporting and the submission of updated information on a periodic basis to demonstrate that the HUD designation is still valid. Failure to meet FDA requirements pertaining to a HUD could result in the suspension or revocation of the HDE.</w:t>
      </w:r>
    </w:p>
    <w:p>
      <w:pPr>
        <w:spacing w:after="0" w:line="16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the HDE is suspended or revoked, marketing approval for Epicel would require the submission and approval of a premarket approval application (PMA) in order to be made commercially available. The PMA process is costly, lengthy and uncertain. A PMA must be supported by extensive data, including, but not limited to, technical, preclinical, clinical trial, manufacturing and labeling data, to demonstrate to the FDA’s satisfaction the safety and efficacy of the device for its intended use. If the HDE approval for Epicel was withdrawn, and we were unable to obtain approval of a PMA, we could not market Epicel for sale in the U.S.</w:t>
      </w:r>
    </w:p>
    <w:p>
      <w:pPr>
        <w:spacing w:after="0" w:line="1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are also required to implement and maintain stringent reporting, labeling and record keeping procedures. More specifically, in the United States, both before and after a product is commercially released, we have ongoing responsibilities under FDA regulations. Compliance with the FDA’s requirements, including the FDA’s cGMP recordkeeping regulations, labeling and promotional requirements and adverse event reporting regulations, is subject to continual review and is monitored rigorously through periodic inspections by the FDA and submission of annual reports. Our failure to comply with U.S. federal, state and foreign governmental regulations could lead to the issuance of warning letters or untitled letters, the imposition of injunctions, suspensions or loss of regulatory approvals, product recalls, and termination of distribution, product seizures or civil penalties. In the most extreme cases, criminal sanctions or closure of our manufacturing facility are possible.</w:t>
      </w:r>
    </w:p>
    <w:p>
      <w:pPr>
        <w:spacing w:after="0" w:line="18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addition, the pharmaceutical, biologic and medical device industries also are subject to many complex laws and regulations governing Medicare and Medicaid reimbursement and targeting healthcare fraud and abuse, with these laws and regulations being subject to interpretation. In many instances, the industry does not have the benefit of significant regulatory or judicial interpretation of these laws and regulations. In certain public statements, governmental authorities have taken positions on issues for which little official interpretation was previously available. Some of these positions appear to be inconsistent with common practices within the industry but have not previously been challenged.</w:t>
      </w:r>
    </w:p>
    <w:p>
      <w:pPr>
        <w:spacing w:after="0" w:line="1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Various federal and state agencies have become increasingly vigilant in recent years in their investigation of various business practices, such as through the enforcement of the federal Anti-kickback Statute and the federal False Claims Act. Governmental and regulatory actions against us can result in various actions that could adversely impact our operations, including:</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recall or seizure of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suspension or revocation of the authority necessary for the production or sale of a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suspension of shipments from particular manufacturing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imposition of fines and penalties;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delay of our ability to introduce new products into the market;</w:t>
      </w:r>
    </w:p>
    <w:p>
      <w:pPr>
        <w:spacing w:after="0" w:line="9"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exclusion or the exclusion of our products from being reimbursed by federal and state healthcare programs (such as military, Medicare, Medicaid, Veterans Administration, or VA, health programs and Civilian Health and Medical Program Uniformed Service, or CHAMPUS);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civil or criminal prosecution or sanctions against us or our employees, such as fines, penalties or imprisonment.</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Any of these actions, in combination or alone, or even a public announcement that we are being investigated for possible violations of these laws, could have a material adverse effect on our business, financial condition, results of operations and cash flows.</w:t>
      </w:r>
    </w:p>
    <w:p>
      <w:pPr>
        <w:spacing w:after="0" w:line="17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the United States, if the FDA were to conclude that we are not in compliance with applicable laws or regulations or that any of our products are ineffective or pose an unreasonable health risk, the FDA could ban such products, detain or seize adulterated or misbranded products, order a recall, repair, replacement, or refund of payment of certain products, refuse to grant pending applications, refuse to provide certificates to foreign governments for exports, and/or require us to notify healthcare professionals and others that the products present unreasonable risks of substantial harm to the public health. The FDA may also impose operating restrictions on a companywide basis, enjoin and restrain certain violations of applicable law pertaining to our products and assess civil or criminal penalties against our officers, employees or us. The FDA may also recommend prosecution to the United States Department of Justice (DOJ). Adverse regulatory action, depending on its magnitude, may restrict us from effectively marketing and selling our products.</w:t>
      </w:r>
    </w:p>
    <w:p>
      <w:pPr>
        <w:spacing w:after="0" w:line="16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many of the foreign countries in which our products may be marketed in the future, we will be subject to regulations affecting, among other things, clinical efficacy, product standards, packaging requirements, labeling requirements, import/export restrictions, tariff regulations, duties and tax requirements. Many of the regulations applicable to our products in these countries, such as the Medicinal Products Directive and the ATMP guidelines governing products in the EU, are similar to those of the FDA. In addition, in many countries the national health or social security organizations may require our products to be qualified before they can be marketed with the benefit of reimbursement eligibility. Failure to receive or delays in the receipt of relevant foreign qualifications could also be detrimental to our future growth.</w:t>
      </w:r>
    </w:p>
    <w:p>
      <w:pPr>
        <w:spacing w:after="0" w:line="19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both U.S. and foreign government regulators have become increasingly stringent, we may be subject to more rigorous regulation by governmental authorities in the future. Our products and our operations are also often subject to the rules of industrial standards bodies, such as the International Standards Organization, or ISO. If we fail to adequately address any of these regulations, our business will be harmed.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our products or future product candidates may require regulatory approvals.</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Changes or modifications in the manufacturing process may require the submission of supplements to our BLAs, HDE application, and Investigational New Drug applications (INDs). These supplements require the generation of data to support the change, and review and approval by the FDA to obtain authorization for the change in the commercial product or in the investigational biological product before they can be implemented. Obtaining regulatory approvals for these changes may require the conduct of new studies and purchase of new equipment to justify the change. This can be costly and time consuming. Regulatory delays can adversely impact our ability to improve our products and to introduce new products in a timely manner. This can be detrimental to our future growth.</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17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manufacturing processes, reporting requirements, post-approval clinical data and promotional activities for each of our products is subject to continued regulatory reporting and periodic inspections by the FDA, as well as other domestic and foreign regulatory agencies. In particular, we and our suppliers are required to comply with cGMP and GTP regulations for the manufacture of our products and other regulations which include methods and documentation of production controls, labeling, packaging, storage and shipment of any product to name a few. Regulatory agencies, such as the FDA, enforce the cGMP, GTP and other regulations through periodic inspections and reporting. For example, the holder of an approved BLA or HDE is obligated to monitor and report adverse events, and product failures, including critical deviations and lack of efficacy. A BLA or HDE device holder must maintain regulatory compliance for all aspects of the applicable regulations or can be subject to regulatory action, including recall or withdrawal from the market.</w:t>
      </w:r>
    </w:p>
    <w:p>
      <w:pPr>
        <w:spacing w:after="0" w:line="16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Product manufacturers are subject to payment of annual prescription drug product program user fees and their facilities are subject to periodic inspections by the FDA and other regulatory agencies for compliance with cGMP and other applicable regulations. If at any time we or a regulatory agency discovers a previously unknown safety concern with a product, such as a serious adverse event of unanticipated severity or frequency that cannot be adequately managed and changes the risk-benefit profile of the product, or there are problems with the facility where the product is manufactured, a regulatory agency may impose restrictions relative to that product or the manufacturing facility, including suspension of manufacturing recall or withdrawal of the product from the market.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jc w:val="both"/>
        <w:ind w:firstLine="243"/>
        <w:spacing w:after="0" w:line="264" w:lineRule="auto"/>
        <w:rPr>
          <w:sz w:val="20"/>
          <w:szCs w:val="20"/>
          <w:color w:val="auto"/>
        </w:rPr>
      </w:pPr>
      <w:r>
        <w:rPr>
          <w:rFonts w:ascii="Arial" w:cs="Arial" w:eastAsia="Arial" w:hAnsi="Arial"/>
          <w:sz w:val="18"/>
          <w:szCs w:val="18"/>
          <w:color w:val="auto"/>
        </w:rPr>
        <w:t>Advertising and promotional materials, including educational and website material, must comply with the FDA’s promotional and advertising regulations in addition to other potentially applicable federal and state laws, and such materials for biologics are subject to submission and review by the Center for Biologics Evaluation and Research.</w:t>
      </w:r>
    </w:p>
    <w:p>
      <w:pPr>
        <w:spacing w:after="0" w:line="181" w:lineRule="exact"/>
        <w:rPr>
          <w:sz w:val="20"/>
          <w:szCs w:val="20"/>
          <w:color w:val="auto"/>
        </w:rPr>
      </w:pPr>
    </w:p>
    <w:p>
      <w:pPr>
        <w:jc w:val="both"/>
        <w:ind w:firstLine="289"/>
        <w:spacing w:after="0" w:line="264" w:lineRule="auto"/>
        <w:rPr>
          <w:sz w:val="20"/>
          <w:szCs w:val="20"/>
          <w:color w:val="auto"/>
        </w:rPr>
      </w:pPr>
      <w:r>
        <w:rPr>
          <w:rFonts w:ascii="Arial" w:cs="Arial" w:eastAsia="Arial" w:hAnsi="Arial"/>
          <w:sz w:val="18"/>
          <w:szCs w:val="18"/>
          <w:color w:val="auto"/>
        </w:rPr>
        <w:t>The failure by us or one of our suppliers to comply with applicable legal statutes and regulations administered by the FDA and other regulatory agencies, or the failure to timely and adequately respond to any adverse inspectional or review observations, or product safety issues, could result in, among other things, any of the following enforcement actions:</w:t>
      </w:r>
    </w:p>
    <w:p>
      <w:pPr>
        <w:spacing w:after="0" w:line="18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Client notifications for repair, replacement, or refunds of a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Denying, refusing or delaying our requests for approval of new products or proposed changes to existing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Withdrawing product approvals that have already been granted;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to approve a pending marketing application, such as a BLA or supplements to a BLA submitted by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If any of these actions were to occur it would harm our reputation and cause our product sales and profitability to suffer, preventing us from generating revenue. Furthermore, our key suppliers may have compliance issues which could impact our ability to manufacture our products on a timely basis and in the required quantities.</w:t>
      </w:r>
    </w:p>
    <w:p>
      <w:pPr>
        <w:spacing w:after="0" w:line="181" w:lineRule="exact"/>
        <w:rPr>
          <w:sz w:val="20"/>
          <w:szCs w:val="20"/>
          <w:color w:val="auto"/>
        </w:rPr>
      </w:pPr>
    </w:p>
    <w:p>
      <w:pPr>
        <w:jc w:val="both"/>
        <w:ind w:firstLine="45"/>
        <w:spacing w:after="0" w:line="312"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ability of the FDA to review and approve regulatory submissions and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Disruptions at the FDA and other agencies may also slow the time necessary for product candidates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marketed products may be used by physicians for indications that are not approved by the FDA. If the FDA finds that we marketed our products in a manner that promoted off-label use, we may be subject to civil or criminal penalties.</w:t>
      </w:r>
    </w:p>
    <w:p>
      <w:pPr>
        <w:spacing w:after="0" w:line="17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Under the FFDCA and other laws, we are prohibited from promoting our products for off-label uses. This means, for example, that we may not make claims about the use of any of our marketed products, including MACI or Epicel, outside of their approved labeling and indications. Therefore, our sales representatives may not proactively discuss or provide information on off-label uses. The FDA does not, however, restrict physicians from prescribing products for off-label uses in the practice of medicine. Should the FDA determine that our activities constitute the promotion of off-label uses, the FDA could bring an action to prevent us from distributing MACI or Epicel for the off-label use and could impose fines and penalties on us and our executives. In addition, failure to follow FDA rules and guidelines relating to promotion and advertising can result in, among other things, the FDA’s refusal to approve a product, the suspension or withdrawal of an approved product from the market, product recalls, fines, disgorgement of money, operating restrictions, injunctions or criminal prosecutions.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7"/>
          <w:szCs w:val="17"/>
          <w:b w:val="1"/>
          <w:bCs w:val="1"/>
          <w:i w:val="1"/>
          <w:iCs w:val="1"/>
          <w:color w:val="auto"/>
        </w:rPr>
        <w:t>If the Office of Inspector General within the Department of Health and Human Services, the DOJ, or another federal or state agency determines that we have promoted off-label use of our products, we may be subject to various penalties, including civil or criminal penalties, and the off-label use of our products may result in injuries that lead to product liability suits, which could be costly to our business.</w:t>
      </w:r>
    </w:p>
    <w:p>
      <w:pPr>
        <w:spacing w:after="0" w:line="166"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addition to the FDA restrictions on our marketed products, several other types of state and federal healthcare laws have been applied by the DOJ and state attorneys general to restrict certain marketing practices in the pharmaceutical industry. While physicians may prescribe products for off-label uses and indications, if other federal or state regulatory authorities determine that we have engaged in off-label promotion through remuneration, kickbacks or other monetary benefits to prescribers, we may be subject to civil or criminal penalties and could be prohibited from participating in government healthcare programs such as Medicaid and Medicare. In addition, government agencies or departments could conclude that we have engaged in off-label promotion and, potentially, caused the submission of false claims. Even if we are successful in resolving such matters without incurring penalties, responding to investigations or prosecutions will likely result in substantial costs and could significantly and adversely impact our reputation and divert management’s attention and resources, which could have a material adverse effect on our business, operating results, financial condition and ability to finance our operations. In addition, the off-label use of our products may increase the risk of injury to patients, and, in turn, the risk of product liability claims. Product liability claims are expensive to defend and could divert our management’s attention and result in substantial damage awards against us.</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use of our products and future product candidates may expose us to product liability claims, and we may not be able to obtain adequate insurance. As a result, such claims could affect our earnings and financial condition.</w:t>
      </w:r>
    </w:p>
    <w:p>
      <w:pPr>
        <w:spacing w:after="0" w:line="2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face an inherent business risk of exposure to product liability claims in the event that the manufacture and/or use of our products during clinical trials, or after commercialization, results in adverse events. Moreover, we derive the raw materials for our products from patients serving as their own donors, the production process is complex, and the handling requirements are specific, all of which increase the likelihood of quality failures and subsequent product liability claims. We may not be able to obtain or maintain product liability insurance on acceptable terms with adequate coverage or at all. If we are unable to obtain insurance, or if claims against us substantially exceed our coverage, then our business could be adversely impacted. Excessive insurance costs or uninsured claims would increase our operating loss and adversely affect our financial condition. Whether or not we are ultimately successful in any product liability litigation, such litigation could consume substantial amounts of our financial and managerial resources and could result in, among other things:</w:t>
      </w:r>
    </w:p>
    <w:p>
      <w:pPr>
        <w:spacing w:after="0" w:line="26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awards against us;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litigation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regulatory action.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Any of these results could have a material adverse effect on our business, financial condition and results of operations.</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in the markets targeted by our products. Many of our competitors have substantially greater resources than we do, and we expect that all of our products will face intense competition from existing or future products.</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All of our products face intense competition from existing and future products marketed by large companies. These competitors may successfully market products that compete with our products, identify and bring to market new product candidates earlier than we do, or develop products that are more effective or less costly than our products. These competitive factors could require us to conduct substantial new research and development activities to establish new product targets, which would be costly and time consuming. These activities can adversely impact our ability to effectively commercialize products and achieve revenue and profits.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do not keep pace with our competitors and with technological and market changes, our products will become less attractive or obsolete and our business may suffer.</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markets for our products are highly competitive, subject to rapid technological changes, and vary for different product candidates and processes that directly compete with our products. Our competitors in the medical and biotechnology industries may have superior products, research and development, manufacturing, and marketing capabilities, financial resources or marketing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positions. Furthermore, our competitors may have developed, or could in the future develop, new technologies that compete with our products or even render our products obsolete.</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 the extent that others develop new technologies that address the targeted application for our products, our business will suffer. Finally, if we are unable to continue to develop and market new products and technologies in a timely manner, the demand for our products may decrease or our products could become obsolete, and our revenue may decline or our growth prospects may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future product liability litigation which could be expensive and our insurance coverage may not be adequate.</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Although we are not currently subject to any product liability proceedings and we have no reserves for product liability disbursements, we may incur material liabilities relating to product liability claims in the future, including product liability claims arising out of the usage of our products. Although we currently carry product liability insurance in an amount consistent with industry practices, our insurance coverage and any reserves we may maintain in the future for product related liabilities may not be adequate and our business could suffer material adverse consequences.</w:t>
      </w:r>
    </w:p>
    <w:p>
      <w:pPr>
        <w:spacing w:after="0" w:line="171"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Ethical, legal, social and other concerns surrounding the use of human tissue in synthetic biologically engineered products may negatively affect public perception of us or our products, or may result in increased scrutiny of our products and any future product candidates from a regulatory perspective, thereby reducing demand for our products, restricting our ability to market our products, or adversely affecting the market price for our common stock.</w:t>
      </w:r>
    </w:p>
    <w:p>
      <w:pPr>
        <w:spacing w:after="0" w:line="13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commercial success of our products depends in part on general public acceptance of the use of human tissue for the treatment of human diseases and other conditions. While not as controversial as the use of embryonic stem cells and fetal tissue, the use of adult tissue has been the subject of substantial debate regarding related ethical, legal and social issues. We do not use embryonic stem cells or fetal tissue, but the public may not be able to, or may fail to, differentiate our autologous use of adult tissue from the use by others of embryonic stem cells or fetal tissue. This could result in a negative perception of our company or our products.</w:t>
      </w:r>
    </w:p>
    <w:p>
      <w:pPr>
        <w:spacing w:after="0" w:line="18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Future adverse events in the field of cellular based therapy or changes in public policy could also result in greater governmental regulation of our products and potential regulatory uncertainty or delay relating to any required testing or approval.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use of animal-derived materials could harm our product development and commercialization efforts.</w:t>
      </w:r>
    </w:p>
    <w:p>
      <w:pPr>
        <w:spacing w:after="0" w:line="225"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Some of the manufacturing materials and/or components that we use in, and which are critical to, implementation of our technology involve the use of animal-derived products, including fetal bovine serum. Supplier changes or regulatory actions may limit or restrict the availability of such materials for clinical and commercial use for a variety of reasons including contamination or perceived risk of contamination with an adventitious agent, such as bovine spongiform encephalopathy, in one of our suppliers’ herds. This may lead to a restricted supply of the serum currently required for our product manufacturing processes. Any restrictions on these materials would impose a potential competitive disadvantage for our products or prevent our ability to manufacture our cell products. The FDA and other regulatory agencies have issued regulations for controls over bovine material in animal feed. These regulations do not appear to affect our ability to purchase the manufacturing materials we currently use. However, regulatory agencies may introduce new regulations that could affect our operations. Our inability to develop or obtain alternative compounds would harm our product development and commercialization efforts. There are certain limitations in the supply of certain animal-derived materials, which may lead to delays in our ability to complete clinical trials or eventually to meet the anticipated market demand for our cell products.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Health care reform measures and changes in policies, funding, staffing and leadership at the FDA and other agencies could hinder or prevent the commercial success of our products.</w:t>
      </w:r>
    </w:p>
    <w:p>
      <w:pPr>
        <w:spacing w:after="0" w:line="17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the United States, there have been a number of legislative and regulatory changes to the healthcare system in ways that could affect our future results of operations and the future results of operations of our potential customers.</w:t>
      </w:r>
    </w:p>
    <w:p>
      <w:pPr>
        <w:spacing w:after="0" w:line="17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Furthermore, there have been and continue to be a number of initiatives at the federal and state levels that seek to reduce healthcare costs. In March 2010, President Obama signed into law the Patient Protection and Affordable Care Act of 2010, as amended by the Health Care and Education Reconciliation Act (jointly, the ACA), which includes measures to significantly change the way health care is financed by both governmental and private insurers.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future of the Affordable Care Act and its impact on the pharmaceutical industry and the healthcare system remains uncertain.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jc w:val="both"/>
        <w:spacing w:after="0" w:line="289" w:lineRule="auto"/>
        <w:rPr>
          <w:sz w:val="20"/>
          <w:szCs w:val="20"/>
          <w:color w:val="auto"/>
        </w:rPr>
      </w:pPr>
      <w:r>
        <w:rPr>
          <w:rFonts w:ascii="Arial" w:cs="Arial" w:eastAsia="Arial" w:hAnsi="Arial"/>
          <w:sz w:val="16"/>
          <w:szCs w:val="16"/>
          <w:color w:val="auto"/>
        </w:rPr>
        <w:t>Some of the provisions of the ACA have yet to be fully implemented, while certain provisions have been subject to judicial and Congressional challenges, as well as efforts by the Trump administration to repeal or replace certain aspects of the ACA. While Congress has not passed repeal legislation, the Tax Reform Act includes a provision repealing, effective January 1, 2019, the tax-based shared responsibility payment imposed by the ACA on certain individuals who fail to maintain qualifying health coverage for all or part of a year that is commonly referred to as the “individual mandate.” As a result of the individual mandate repeal, subsequent litigation challenged the validity of the ACA.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Trump administration and CMS have both stated that the ruling will have no immediate effect, and on December 30, 2018 the same judge issued an order staying the judgment pending appeal. It is unclear how this decision and any subsequent appeals and other efforts to repeal and replace the ACA will impact the ACA and our business.</w:t>
      </w:r>
    </w:p>
    <w:p>
      <w:pPr>
        <w:spacing w:after="0" w:line="167"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color w:val="auto"/>
        </w:rPr>
        <w:t>Further, the Bipartisan Budget Act of 2018, or the BBA,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It is possible that Congress may consider other legislation to repeal or replace certain elements of the ACA. In addition, since January 2017, President Trump has signed two Executive Orders designed to delay the implementation of certain provisions of the ACA or otherwise circumvent some of the requirements for health insurance mandated by the ACA. Further, the 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 request for a restraining order was denied by a federal judge in California on October 25, 2017. Furthermore, on June 14, 2018, the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the potential effect on our business, are not yet known.</w:t>
      </w:r>
    </w:p>
    <w:p>
      <w:pPr>
        <w:spacing w:after="0" w:line="169"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Additionally,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PA and ST for six protected classes of drugs, with certain exceptions, permit plans to implement PA and ST in Medicare Part B drugs; and change the definition of “negotiated prices” while a definition of “price concession” in the regulations.</w:t>
      </w:r>
    </w:p>
    <w:p>
      <w:pPr>
        <w:spacing w:after="0" w:line="189" w:lineRule="exact"/>
        <w:rPr>
          <w:sz w:val="20"/>
          <w:szCs w:val="20"/>
          <w:color w:val="auto"/>
        </w:rPr>
      </w:pPr>
    </w:p>
    <w:p>
      <w:pPr>
        <w:jc w:val="both"/>
        <w:ind w:firstLine="351"/>
        <w:spacing w:after="0" w:line="269"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including aggregate reductions of Medicare payments to providers of 2% per fiscal year. These reductions went into effect on April 1, 2013 and, due to subsequent legislative amendments to the statute, including the BBA, will remain in effect through 2027, unless additional congressional action is taken. On January 2, 2013, the American Taxpayer Relief Act of 2012 was signed into law, which, among other things, further reduced Medicare payments to several types of providers. 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80"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Litigation and legislative efforts to change or repeal the ACA are likely to continue, with unpredictable and uncertain results.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While we cannot predict what impact on federal reimbursement policies this law or any replacement law will have in general or specifically on any product we may commercialize in the future, modifications to the Affordable Care Act or any replacement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thereof may result in downward pressure on reimbursement, which could negatively affect market acceptance of new products. Any rebates, discounts, taxes costs or regulatory or systematic changes on healthcare resulting from the Affordable Care Act or its replacement may have a significant effect on our profitability in the future. We cannot predict whether the Affordable Care Act will continue or what other laws or proposals will be made or adopted, or what impact these efforts may have on us.</w:t>
      </w:r>
    </w:p>
    <w:p>
      <w:pPr>
        <w:spacing w:after="0" w:line="18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Individual states have become increasingly aggressive in passing legislation and implementing regulations designed to control product pricing, including price or patient reimbursement constraints, discounts, restrictions on certain product access, and marketing cost disclosure and transparency measures, and designed to encourage importation from other countries and bulk purchasing. Legally-mandated price controls on payment amounts by third-party payers or other restrictions could harm our business, results of operations, financial condition and prospects.</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Regional healthcare authorities and individual hospitals are increasingly using bidding procedures to determine what products and which suppliers will be included in their healthcare programs. This can reduce demand for our products or put pressure on our product pricing, which could negatively affect our business, results of operations, financial condition and prospects.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Given recent federal and state government initiatives directed at lowering the total cost of healthcare, the executive branch, Congress and state legislatures will likely continue to focus on healthcare reform and the reform of the Medicare and Medicaid programs. While we cannot predict the full outcome of any such government action or legislation, it may harm our ability to market our products and generate revenues.</w:t>
      </w:r>
    </w:p>
    <w:p>
      <w:pPr>
        <w:spacing w:after="0" w:line="18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Furthermore, regulatory authorities’ assessment of the data and results required to demonstrate safety and effectiveness can change over time and can be affected by many factors, such as the emergence of new information, including on other products, changing policies and agency funding, staffing and leadership. We cannot be sure whether future changes to the regulatory environment will be favorable or unfavorable to our business prospects.</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Tissue-based products are regulated differently in different countries. These requirements may be costly and result in delay or otherwise preclude the distribution of our products in some foreign countries, any of which would adversely affect our ability to generate operating revenues.</w:t>
      </w:r>
    </w:p>
    <w:p>
      <w:pPr>
        <w:spacing w:after="0" w:line="12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Tissue based products are regulated differently in different countries. Many foreign jurisdictions have a different, and potentially more difficult, regulatory pathway for human tissue based products, which may prohibit the distribution of these products until the applicable regulatory agencies grant marketing approval, or licensure. The process of obtaining regulatory approval is lengthy, expensive and uncertain, and we may never seek such approvals, or if we do, we may never gain those approvals. Furthermore, any adverse events in our clinical trials could negatively impact our products and product candidates.</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Competitor companies may be able to take advantage of additional FDA guidance and new expedited programs designed for cell therapies to develop and/or commercialize new products in a shorter time period than previously predicted or in certain cases without a BLA.</w:t>
      </w:r>
    </w:p>
    <w:p>
      <w:pPr>
        <w:spacing w:after="0" w:line="14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Recognizing the importance of the cell therapy field, Congress included several provisions related to regenerative medicine in the 21st Century Cures Act, signed into law on December 13, 2016. Building on the FDA’s existing expedited programs available to regenerative medicine products, one of these provisions established a new program to help foster the development and approval of these products: the RMAT designation.</w:t>
      </w:r>
    </w:p>
    <w:p>
      <w:pPr>
        <w:spacing w:after="0" w:line="26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On November 16, 2017, the FDA also announced a comprehensive policy framework for the development and oversight of regenerative medicine products, including novel cellular therapies. This framework completes a risk-based regulatory approach that further describes the appropriate pathway for products that contain tissue or cells including more clearly defining which products may be considered only minimally manipulated or for homologous use.</w:t>
      </w:r>
    </w:p>
    <w:p>
      <w:pPr>
        <w:spacing w:after="0" w:line="1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 these changes in guidance and expedited programs, competitors may be able to make sales in the U.S. with minimally manipulated or homologous use products without the necessity of a BLA. In addition, competitors may also be able to obtain accelerated approval of new cell therapy products through use of RMAT designation.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credit and financial market conditions may exacerbate certain risks affecting our business.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rely upon third parties for certain aspects of our business, including collaboration partners, wholesale distributors, contract clinical trial providers, contract manufacturers and third-party suppliers. Because of the recent tightening of global credit and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volatility in the financial markets, there may be a delay or disruption in the performance or satisfaction of commitments to us by these third parties, which could adversely affect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dependent on our key manufacturing, quality and other management personnel and the loss of any of these individuals could harm our business.</w:t>
      </w:r>
    </w:p>
    <w:p>
      <w:pPr>
        <w:spacing w:after="0" w:line="260"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Our success depends in large part upon the efforts of our key management and manufacturing and quality staff. The loss of any of these individuals, or our inability to attract and retain highly qualified scientific and management personnel in a timely manner, could materially and adversely affect our business and our future prospects. In the future, we may need to seek additional manufacturing and quality staff members. There is a high demand for highly trained manufacturing and quality personnel in our industry. We face competition for such personnel from other companies, research and academic institutions and other entities. We do not know whether we will be able to attract, train and retain highly qualified manufacturing and quality personnel in the future, which could have a material adverse effect on our business, financial condition and results of operations. A loss of one or more of our key personnel could severely and negatively impact our operations. Our key personnel are employed “at-will,” and any of them may elect to pursue other opportunities at any time. We have no present intention of obtaining key man life insurance on any of our key management, manufacturing, quality or other personnel.</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Because of the complexity with our manufacturing processes, we may not be able to transfer successfully such processes to ICT. If we cannot complete the transfer of our manufacturing technology, we will not be able to achieve development or commercial milestones pursuant to our License Agreement with ICT.</w:t>
      </w:r>
    </w:p>
    <w:p>
      <w:pPr>
        <w:spacing w:after="0" w:line="18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are unable to transfer our manufacturing technology for all or some of our products to ICT, we will not achieve the manufacturing technology transfer milestones set forth in our License Agreement with ICT, and consequently, we will not receive any milestone payments from ICT as contemplated by the License Agreement. If the manufacturing technology transfer is not completed, we also will not achieve the commercial milestones or receive any commercial milestone payments associated with regulatory filings or commercial sale of the products as set forth in the License Agreement. Therefore, there can be no assurance that we will receive any milestone payments from ICT ever.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the manufacturing technology transfer for any or all of our products is completed with ICT, if ICT cannot complete clinical trials for a product or such clinical trials fail to demonstrate such product’s safety and efficacy, we will not receive milestone payments associated with the filing of an application for regulatory approval.</w:t>
      </w:r>
    </w:p>
    <w:p>
      <w:pPr>
        <w:spacing w:after="0" w:line="18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order to file for regulatory approval in an applicable territory for a product pursuant to the License Agreement, ICT will likely be required to conduct clinical trials in humans. Clinical testing is expensive, time consuming, difficult to design and conduct, and its outcomes are uncertain. If ICT cannot complete clinical testing for a product, it will not be able to file for regulatory approval. Even if ICT completes required clinical testing for a product, there is no guarantee that the clinical testing will demonstrate the product’s safety and efficacy. The results of many clinical trials are subject to varying interpretations and analyses, thus a regulatory authority could reach a different conclusion than ICT regarding the results of a clinical trial and may not give its approval. If ICT cannot receive regulatory authority for a product, we will not receive the commercial milestone payments contemplated by the License Agreement.</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Even if the manufacturing technology transfer is completed and ICT submits a regulatory application for product approval, ICT may not receive regulatory approval of such application and therefore ICT may not be able to commercialize a product in accordance with the License Agreement. If ICT is unable to commercialize a product, we will not receive the commercial milestone payments triggered by the first commercial sale of a product.</w:t>
      </w:r>
    </w:p>
    <w:p>
      <w:pPr>
        <w:spacing w:after="0" w:line="14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the event that the manufacturing process for a product is successfully transferred to ICT and ICT is able to conduct clinical trials of the product which ICT believes demonstrates the safety and efficacy of the product, there is no guarantee that the applicable regulatory authority in the territory will approve the product, which is a pre-requisite to the product’s commercialization. A regulatory authority may refuse to grant approval for a product based on many factors, which include, but are not limited to, the results of clinical trials, but also may be based on inspections of manufacturing facilities or other interpretations of applicable law. If ICT does not receive the necessary regulatory approval to commercialize the product, we will not receive the commercial milestone payments contemplated by the License Agreement to be triggered by the first commercial sale of the product.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 may have a negative effect on global economic conditions, financial markets and our business.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June 2016, the United Kingdom (“UK”) held a referendum in which voters approved an exit from the EU, commonly referred to as “Brexit.” The announcement of Brexit caused significant volatility in global stock markets and currency exchange rate fluctuations that resulted in the strengthening of the U.S. dollar against foreign currencies in which we conduct business. The strengthening of the U.S. dollar relative to other currencies may adversely affect our operating results. This referendum has created political and economic uncertainty, particularly in the UK and the EU, and this uncertainty may persist for years. A withdrawal could, among other outcomes, disrupt the free movement of goods, services and people between the UK and the EU, and result in increased legal and regulatory complexities, as well as potential higher costs of conducting business in Europe. The UK’s vote to exit the EU could also result in similar referendums or votes in other European countries in which we do business. Given the lack of comparable precedent, it is unclear what financial, trade and legal implications the withdrawal of the UK from the EU would have and how such withdrawal would affect us. Any new regulations could add time and expense to the conduct of our business, as well as the process by which we receive certain materials from vendors in the UK. In addition, the announcement of Brexit and the withdrawal of the UK from the EU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effects of Brexit, among others, could adversely affect our business, our results of operations, liquidity and financial condition.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38" w:name="page39"/>
    <w:bookmarkEnd w:id="38"/>
    <w:p>
      <w:pPr>
        <w:ind w:left="3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related to these products, our competitive position would be impaired and our business, financial condition and results of operations could be adversely affected.</w:t>
      </w:r>
    </w:p>
    <w:p>
      <w:pPr>
        <w:spacing w:after="0" w:line="2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Some of our technology, including our knowledge regarding the processing of our products, is unpatented and is maintained by us as trade secrets. In an effort to protect these trade secrets, we require our employees, consultants, collaborators and advisors to execute confidentiality agreements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These agreements, however, may not provide us with adequate protection against improper use or disclosure of confidential information, and these agreements may be breached. A breach of confidentiality could affect our competitive position. In addition, in some situations, these agreements may conflict with, or be subject to, the rights of third parties with whom our employees, consultants, collaborators or advisors have previous employment or consulting relationships. Also, others may independently develop substantially equivalent proprietary information and techniques or otherwise gain access to our trade secrets.</w:t>
      </w:r>
    </w:p>
    <w:p>
      <w:pPr>
        <w:spacing w:after="0" w:line="261"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Adequate remedies may not exist in the event of unauthorized use or disclosure of our confidential information. The disclosure of our trade secrets would impair our competitive position and could have a material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patent protection for Epicel.</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have no issued patents or pending patent applications relating to Epicel. While we attempt to protect our proprietary information as trade secrets through certain agreements with our employees, consultants, agents and other organizations to which we disclose our proprietary information, we cannot give any assurance that these agreements will provide effective protection for our proprietary information in the event of unauthorized use or disclosure of such information. If other cultured epidermal autografts are approved and marketed, we will be unable to prevent them from competing with Epicel in the marketplace. We expect that the presence of one or more competing products would reduce our market share and could negatively impact price levels and third party reimbursement for Epicel, any of which would materially affect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issued patents relating to MACI have already expired and others may be insufficient to protect our business.</w:t>
      </w:r>
    </w:p>
    <w:p>
      <w:pPr>
        <w:spacing w:after="0" w:line="36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have issued patents in the United States and in certain foreign countries that relate to the combinations of chondrocytes and collagen membranes used in MACI. However, some of these have expired. Other patent filings that include technology relevant to MACI (e.g., its production and/or use of chondrocytes and collagen membranes) include both granted patents outside the U.S., and pending applications both inside and outside the U.S.; these are expected to expire, absent any extensions between 2023 and 2033. Whether or not these patent filings are or will be issued patents, they may not be sufficient to protect our product revenue. We may be subject to increased competition and our opportunity to establish or maintain product revenue could be substantially reduced or eliminated if our patents fail to issue or expire, or are revoked.</w:t>
      </w:r>
    </w:p>
    <w:p>
      <w:pPr>
        <w:spacing w:after="0" w:line="17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patents we own may not be of sufficient scope or strength to provide us with significant commercial protection or commercial advantage, and competitors may be able to design around our patents or develop products that provide outcomes that are similar to ours without infringing on our intellectual property rights. In addition, we cannot be certain that any of our pending patent applications will be issued or that the scope of the claims in our pending patent applications will not be significantly narrowed or determined to be invalid.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patents and proprietary rights do not provide substantial protection, then our business and competitive position will suffer.</w:t>
      </w:r>
    </w:p>
    <w:p>
      <w:pPr>
        <w:spacing w:after="0" w:line="22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Our success depends in large part on our ability to develop or license intellectual property rights to protect our proprietary products and technologies. This involves complex legal, scientific, and factual questions and uncertainties. We rely upon patent, trade secret, copyright and contract laws to protect proprietary technology and trademark law to protect brand identities. However, we cannot assure you that any patent applications filed by, assigned to, or licensed to us will be granted, and that the scope of any of our issued or licensed patents will be sufficiently broad to offer meaningful protection. In addition, our issued patents or patents licensed to us could be successfully challenged, invalidated, held to be unenforceable, or circumvented so that our patent rights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96" w:right="239" w:bottom="1440" w:gutter="0" w:footer="0" w:header="0"/>
        </w:sectPr>
      </w:pPr>
    </w:p>
    <w:bookmarkStart w:id="39" w:name="page40"/>
    <w:bookmarkEnd w:id="39"/>
    <w:p>
      <w:pPr>
        <w:jc w:val="both"/>
        <w:ind w:right="20"/>
        <w:spacing w:after="0" w:line="286" w:lineRule="auto"/>
        <w:rPr>
          <w:sz w:val="20"/>
          <w:szCs w:val="20"/>
          <w:color w:val="auto"/>
        </w:rPr>
      </w:pPr>
      <w:r>
        <w:rPr>
          <w:rFonts w:ascii="Arial" w:cs="Arial" w:eastAsia="Arial" w:hAnsi="Arial"/>
          <w:sz w:val="17"/>
          <w:szCs w:val="17"/>
          <w:color w:val="auto"/>
        </w:rPr>
        <w:t>would not create an effective competitive barrier. We also cannot assure you that the inventors of the patents and applications that we own or license were the first to invent or the first to file on the inventions, or that a third party will not claim ownership in one of our patents or patent applications. We cannot assure you that a third party does not have or will not obtain patents that dominate the patents we own or license now or in the future.</w:t>
      </w:r>
    </w:p>
    <w:p>
      <w:pPr>
        <w:spacing w:after="0" w:line="16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Patent law relating to the scope of claims in the biotechnology field is evolving and our patent rights in this country and abroad are subject to this uncertainty. From time to time, the U.S. Supreme Court (Supreme Court), other federal courts, the U.S. Congress or the United States Patent and Trademark Office (USPTO) may change the standards of patentability and any such changes could have a negative impact on our business. There have been several cases involving “gene patents” and diagnostic claims that have been considered by the Supreme Court. For example, on March 20, 2012, the Supreme Court issued a decision in Mayo Collaborative v. Prometheus Laboratories (Prometheus) a case involving patent claims directed to optimizing the amount of drug administered to a specific patient. According to that decision, Prometheus’ claims failed to add enough inventive content to the underlying correlations to allow the processes they describe to qualify as patent-eligible processes that apply natural laws. On June 13, 2013, the Supreme Court issued a decision in the Myriad case. According to the decision, claims directed to genomic DNA cover unpatentable subject matter. However, claims directed to cDNA are patent eligible subject matter.</w:t>
      </w:r>
    </w:p>
    <w:p>
      <w:pPr>
        <w:spacing w:after="0" w:line="19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December 10, 2014, the USPTO published the 2014 Interim Guidance on Patent Subject Matter Eligibility. On May 4, 2016, the USPTO issued a memorandum addressing “Formulating a Subject Matter Eligibility Rejection and Evaluating the Applicant’s Response to a Subject Matter Eligibility Rejection”. This memorandum provides guidance to patent examiners for examining claims reciting laws of nature/natural principles, natural phenomena, and/or natural products for patent eligibility in view of the Supreme Court decisions in Prometheus and Myriad. We cannot assure you that our patent portfolio or our efforts to seek patent protection for our technology and products will not be negatively impacted by the guidance issued by the USPTO, the decisions described above, rulings in other cases, or changes in guidance or procedures issued by the USPTO.</w:t>
      </w:r>
    </w:p>
    <w:p>
      <w:pPr>
        <w:spacing w:after="0" w:line="178"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There can be no assurance that the Supreme Court’s decision in either the Myriad or Prometheus case will not have a negative impact on biotechnology patents generally or the ability of biotechnology companies to obtain or enforce their patents in the future. Such negative decisions by the Supreme Court could have a material adverse effect on our existing patent portfolio and our ability to protect and enforce our intellectual property in the future.</w:t>
      </w:r>
    </w:p>
    <w:p>
      <w:pPr>
        <w:spacing w:after="0" w:line="147"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We also rely on trade secrets and un-patentable know-how that we seek to protect, in part, by confidentiality agreements with our employees, consultants, suppliers and licensees. These agreements may be breached, and we might not have adequate remedies for any breach. Our competitors may also independently develop technologies substantially equivalent or superior to ours. If this were to occur, our business and competitive position would suffer.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current and future product candidates, our competitive position would be adversely affected.</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With respect to MACI and ixmyelocel-T, if we are unable to obtain and enforce patents and to protect our trade secrets, others could use our technology to compete with us, which could limit opportunities for us to generate revenues by licensing our technology and selling products.</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success will depend in part on our ability to obtain and enforce patents and maintain trade secrets in the United States and in other countries. If we are unsuccessful in obtaining and enforcing patents, our competitors could use our technology and create products that compete with our products, without paying license fees or royalties to us.</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preparation, filing, and prosecution of patent applications can be costly and time consuming. Our limited financial resources may not permit us to pursue patent protection of all of our technology and products throughout the world.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jc w:val="both"/>
        <w:ind w:firstLine="243"/>
        <w:spacing w:after="0" w:line="264" w:lineRule="auto"/>
        <w:rPr>
          <w:sz w:val="20"/>
          <w:szCs w:val="20"/>
          <w:color w:val="auto"/>
        </w:rPr>
      </w:pPr>
      <w:r>
        <w:rPr>
          <w:rFonts w:ascii="Arial" w:cs="Arial" w:eastAsia="Arial" w:hAnsi="Arial"/>
          <w:sz w:val="18"/>
          <w:szCs w:val="18"/>
          <w:color w:val="auto"/>
        </w:rPr>
        <w:t>Even if we are able to obtain issued patents covering our technology or products, we may have to incur substantial legal fees and other expenses to enforce our patent rights in order to protect our technology and products from infringing uses. We may not have the financial resources to finance the litigation required to preserve our patent and trade secret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successful challenge to our trademarks could force us to rebrand Epicel or MACI.</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We rely on our trademarks to distinguish our products from the products of our competitors, and have registered or applied to register a number of these trademarks. Third parties may challenge our use of the trademarks. In the event that our trademarks are successfully challenged, we could be forced to rebrand our products, which could result in loss of brand recognition and could require us to devote resources to advertising and marketing these new brands.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Intellectual property litigation could harm our business. We may be subject to patent infringement claims that could be costly to defend, which may limit our ability to use disputed technologies, and which could prevent us from pursuing research and development or commercialization of some of our products, require us to pay licensing fees to have freedom to operate and/or result in monetary damages or other liability for us.</w:t>
      </w:r>
    </w:p>
    <w:p>
      <w:pPr>
        <w:spacing w:after="0" w:line="14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success of our business will depend significantly on our ability to operate without infringing patents and other proprietary rights of others. Our cell processing system and cell compositions utilize a wide variety of technologies and we can give no assurance that we have identified or can identify all inventions and patents that may be infringed by development and manufacture of our cell compositions. If the technology that we use infringes a patent held by others, we could be sued for monetary damages by the patent holder or its licensee, or we could be prevented from continuing research, development, and commercialization of products that rely on that technology, unless we are able to obtain a license to use the patent. The cost and availability of a license to a patent cannot be predicted, and the likelihood of obtaining a license at an acceptable cost would be lower if the patent holder or any of its licensees is using the patent to develop or market a product with which any of our existing or future product candidates or our products would compete. If we could not obtain a necessary license, we would need to develop or obtain rights to alternative technologies, which could prove costly and could cause delays in product development, or we could be forced to discontinue the development or marketing of any products that were developed using the technology covered by the patent.</w:t>
      </w:r>
    </w:p>
    <w:p>
      <w:pPr>
        <w:spacing w:after="0" w:line="19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Although we have not been subject to any filed patent infringement claims, patents could exist or could be filed which would prohibit or limit our ability to market our products or maintain our competitive position. In the event of an intellectual property dispute, we may be forced to litigate. Such litigation is typically protracted and the results are unpredictable. Intellectual property litigation would divert management’s attention from developing our products and would force us to incur substantial costs regardless of whether we are successful. An adverse outcome could subject us to significant liabilities to third parties including treble damages and the opposing party’s attorney fees, and force us to pay significant license fees and royalties or cease the development and sale of our products and processes.</w:t>
      </w:r>
    </w:p>
    <w:p>
      <w:pPr>
        <w:spacing w:after="0" w:line="1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hired and expect to continue to hire individuals who have experience in cell culture and cell based therapeutics and may have confidential trade secret or proprietary information of third parties. We caution these individuals not to use or reveal this third-party information, but we cannot assure you that these individuals will not use or reveal this third-party information. Thus, we could be sued for misappropriation of proprietary information and trade secrets. Such claims are expensive to defend and could divert our attention and could result in substantial damage awards and injunctions that could have a material adverse effect on our business, financial condition or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 consuming and unsuccessful and have a material adverse effect on the success of our business.</w:t>
      </w:r>
    </w:p>
    <w:p>
      <w:pPr>
        <w:spacing w:after="0" w:line="17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Competitors may infringe our patents or misappropriate or otherwise violate our intellectual property rights.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 Also, third parties may initiate legal proceedings against us to challenge the validity or scope of intellectual property rights we own or control. These proceedings can be expensive and time consuming. Many of our current and potential competitors have the ability to dedicate substantially greater resources to defend their intellectual property rights than we can. Accordingly, despite our efforts, we may not be able to prevent third parties from infringing upon or misappropriating our intellectual property.</w:t>
      </w:r>
    </w:p>
    <w:p>
      <w:pPr>
        <w:spacing w:after="0" w:line="17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jc w:val="both"/>
        <w:ind w:firstLine="243"/>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our business, financial condition or results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If we infringe the rights of third parties we could be prevented from selling products, forced to pay damages, and defend against litigation</w:t>
      </w:r>
      <w:r>
        <w:rPr>
          <w:rFonts w:ascii="Arial" w:cs="Arial" w:eastAsia="Arial" w:hAnsi="Arial"/>
          <w:sz w:val="17"/>
          <w:szCs w:val="17"/>
          <w:color w:val="auto"/>
        </w:rPr>
        <w:t>.</w:t>
      </w:r>
    </w:p>
    <w:p>
      <w:pPr>
        <w:spacing w:after="0" w:line="23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If our products, methods, processes and other technologies infringe the proprietary rights of other parties, we could incur substantial costs and we may have to: obtain licenses, which may not be available on commercially reasonable terms, if at all; abandon an infringing product; redesign our products or processes to avoid infringement; stop using the subject matter claimed in the patents held by others; pay damages; and/or defend litigation or administrative proceedings which may be costly whether we win or lose, and which could result in a substantial diversion of our financial and management resources.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70"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may be able to make products that are the same as or similar to our products or product candidates, but that are not covered by the claims of the patents that we own or have exclusively licensed;</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any strategic partners might not have been the first to make the inventions covered by the issued patents or pending patent applications that we own or have exclusively licensed;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w:t>
      </w: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Others may challenge our patent or other intellectual property rights or sue us for infringement.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common stock price has been volatile and future sales of shares of common stock could have an adverse effect on the market price of such shares.</w:t>
      </w:r>
    </w:p>
    <w:p>
      <w:pPr>
        <w:spacing w:after="0" w:line="260"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market price of shares of our common stock has been volatile, ranging in closing price between $5.70 and $18.44 during the year ended December 31, 2018. The price of our common stock may continue to fluctuate in response to a number of events and factors, such as:</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research activities, business developments, technological innovations or new products by us or our competitors;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Entering into or terminating strategic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developments in both the United States and abroad;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Disputes concerning patents or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revenues or expense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our cash resources and our ability to obtain additional funding;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0" w:right="239" w:bottom="1440" w:gutter="0" w:footer="0" w:header="0"/>
        </w:sectPr>
      </w:pPr>
    </w:p>
    <w:bookmarkStart w:id="42" w:name="page43"/>
    <w:bookmarkEnd w:id="42"/>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 or other variations in patient demand for MACI and Epicel;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Demand for and clinical acceptance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sales of products and of the introduction of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 concern regarding the safety, efficacy or other aspects of the products or methodologies we are developing;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News or reports from other stem cell, cell therapy or regenerative medicine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Reports by securities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Status of the investment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Concerns related to management transitions;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Delisting from the NASDAQ Capital Market.</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Any of these events may cause the price of our shares to fall, which may adversely affect our business and financing opportunities. In addition, the stock market in general and the market prices for biotechnology companies in particular have experienced significant volatility recently that often has been unrelated to the operating performance or financial conditions of such companies. These broad market and industry fluctuations may adversely affect the trading price of our common stock, regardless of our operating performance or prospects.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sale of our common stock through future equity offerings may cause dilution and could cause the price of our common stock to decline.</w:t>
      </w:r>
    </w:p>
    <w:p>
      <w:pPr>
        <w:spacing w:after="0" w:line="237"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Sales of our common stock offered through future equity offerings may result in substantial dilution to the interests of other holders of our common stock. The sale of a substantial number of shares of our common stock to investors, or anticipation of such sales, could make it more difficult for us to sell equity or equity-related securities in the future at a time and at a price that we might otherwise wish to effect sales.</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do not anticipate paying dividends on our common stock, and accordingly, shareholders must rely on stock appreciation for any return on their investment.</w:t>
      </w:r>
    </w:p>
    <w:p>
      <w:pPr>
        <w:spacing w:after="0" w:line="17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have never declared or paid cash dividends on our common stock and do not expect to do so in the foreseeable future. The declaration of dividends is subject to the discretion of our board of directors and will depend on various factors, including our operating results, financial condition, future prospects and any other factors deemed relevant by our board of directors. You should not rely on an investment in our company if you require dividend income from your investment in our company. The success of your investment will likely depend entirely upon any future appreciation of the market price of our common stock, which is uncertain and unpredictable. There is no guarantee that our common stock will appreciate in value.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Efforts to comply with securities laws and regulations require management resources, and we still may fail to comply.</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directed by Section 404 of the Sarbanes-Oxley Act of 2002, the SEC adopted rules requiring public companies to include a report of management on their internal controls over financial reporting in their annual reports on Form 10-K. The independent registered public accounting firm auditing our financial statements is required to attest to the effectiveness of our internal controls over financial reporting. If, in any year, we are unable to conclude that we have effective internal controls over financial reporting or if our independent registered public accounting firm is required to, but is unable to provide us with a report as to the effectiveness of our internal controls over financial reporting, investors could lose confidence in the reliability of our financial statements, which could result in a decrease in the value of our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documents and Michigan law contain provisions that may make it more difficult for us to be acquired.</w:t>
      </w:r>
    </w:p>
    <w:p>
      <w:pPr>
        <w:spacing w:after="0" w:line="22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Our Board of Directors (Board) has the authority, without shareholder approval, to issue additional shares of preferred stock and to fix the rights, preferences, privileges and restrictions of these shares without any further vote or action by our shareholders. Michigan law contains a statute that makes it more difficult for a 10% shareholder, or its officers, to acquire a company. This authority, together with certain provisions of our charter documents, may have the effect of making it more difficult for a third party to acquire, or of discouraging a third-party from attempting to acquire, control of our company. This effect could occur even if our shareholders consider the change in control to be in their best interest. We have adopted a shareholder rights plan, the purpose of which is, among other things, to enhance our Board’s ability to protect shareholder interests and to ensure that shareholders receive fair treatment in the event any coercive takeover attempt of our company is made in the future. The shareholder rights plan could make it more difficult for a third party to acquire, or could discourage a third party from acquiring, our company or a large block of our company’s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lease approximately 57,000 square feet in Cambridge, Massachusetts and 6,000 square feet in Ann Arbor, Michigan. The Cambridge lease expires in February 2022, and we have the right to extend until February 2027, subject to certain conditions being met. The facilities include clean rooms, laboratories and office space. The Ann Arbor lease expires in April 2023. We believe that our facilities are adequate to meet our current needs. Additional facilities may be required to support expansion for research and development activities or to assume manufacturing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are currently not party to any material legal proceedings, although from time to time we may become involved in disputes in connection with the operation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584"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584" w:right="239" w:bottom="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Shareholder Matters and Issuer Purchase of Equity Securities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common stock is currently quoted on the NASDAQ Capital Market under the symbol “VCEL”. The following table sets forth the high and low closing prices per share of common stock as reported on the NASDAQ Stock Market.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Price Range of Common Stock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51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High</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Low</w:t>
            </w:r>
          </w:p>
        </w:tc>
      </w:tr>
      <w:tr>
        <w:trPr>
          <w:trHeight w:val="236"/>
        </w:trPr>
        <w:tc>
          <w:tcPr>
            <w:tcW w:w="744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Year ended December 31, 2017</w:t>
            </w:r>
          </w:p>
        </w:tc>
        <w:tc>
          <w:tcPr>
            <w:tcW w:w="1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2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First Quarter</w:t>
            </w:r>
          </w:p>
        </w:tc>
        <w:tc>
          <w:tcPr>
            <w:tcW w:w="514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jc w:val="right"/>
              <w:ind w:right="107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3.10</w:t>
            </w:r>
          </w:p>
        </w:tc>
        <w:tc>
          <w:tcPr>
            <w:tcW w:w="1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2.50</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Third Quarter</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3.00</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w:t>
            </w:r>
          </w:p>
        </w:tc>
      </w:tr>
      <w:tr>
        <w:trPr>
          <w:trHeight w:val="203"/>
        </w:trPr>
        <w:tc>
          <w:tcPr>
            <w:tcW w:w="74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Year ended December 31, 2018</w:t>
            </w: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260" w:type="dxa"/>
            <w:vAlign w:val="bottom"/>
            <w:tcBorders>
              <w:top w:val="single" w:sz="8" w:color="auto"/>
            </w:tcBorders>
          </w:tcPr>
          <w:p>
            <w:pPr>
              <w:spacing w:after="0"/>
              <w:rPr>
                <w:sz w:val="4"/>
                <w:szCs w:val="4"/>
                <w:color w:val="auto"/>
              </w:rPr>
            </w:pPr>
          </w:p>
        </w:tc>
        <w:tc>
          <w:tcPr>
            <w:tcW w:w="5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Second Quarter</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9.60</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9.10</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Fourth Quarter</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10.77</w:t>
            </w:r>
          </w:p>
        </w:tc>
      </w:tr>
    </w:tbl>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February 26, 2019 there were approximately 170 holders of record of the common stock. We have never paid any cash dividends on our common stock and we do not anticipate paying such cash dividends in the foreseeable future. We currently anticipate that we will retain all future earnings, if any, for use in the development of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following graph shows the total stockholder return of an investment of $100 in cash on December 31, 2014 through December 31, 2018 for (i) our common stock, (ii) the NASDAQ Composite Index (U.S.) and (iii) the NASDAQ Biotechnology Index. Pursuant to applicable SEC rules, all values assume reinvestment of the full amount of all dividends, however, no dividends have been declared on our common stock to date. The stockholder return shown on the graph below is not necessarily indicative of future performance, and we do not make or endorse any predictions as to future stockholder returns.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Price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154940</wp:posOffset>
            </wp:positionV>
            <wp:extent cx="5025390" cy="2341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2539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Equity Compensation Plan Information as of December 31, 2018</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sets forth information as of December 31, 2018 with respect to compensation plans (including individual compensation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which equity securities are authorized for issuances:</w:t>
      </w:r>
    </w:p>
    <w:p>
      <w:pPr>
        <w:sectPr>
          <w:pgSz w:w="11900" w:h="16838" w:orient="portrait"/>
          <w:cols w:equalWidth="0" w:num="1">
            <w:col w:w="11420"/>
          </w:cols>
          <w:pgMar w:left="240" w:top="796" w:right="239" w:bottom="1440" w:gutter="0" w:footer="0" w:header="0"/>
        </w:sectPr>
      </w:pP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tcPr>
          <w:p>
            <w:pPr>
              <w:jc w:val="right"/>
              <w:ind w:right="44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400" w:type="dxa"/>
            <w:vAlign w:val="bottom"/>
            <w:gridSpan w:val="2"/>
          </w:tcPr>
          <w:p>
            <w:pPr>
              <w:ind w:left="500"/>
              <w:spacing w:after="0"/>
              <w:rPr>
                <w:sz w:val="20"/>
                <w:szCs w:val="20"/>
                <w:color w:val="auto"/>
              </w:rPr>
            </w:pPr>
            <w:r>
              <w:rPr>
                <w:rFonts w:ascii="Arial" w:cs="Arial" w:eastAsia="Arial" w:hAnsi="Arial"/>
                <w:sz w:val="14"/>
                <w:szCs w:val="14"/>
                <w:b w:val="1"/>
                <w:bCs w:val="1"/>
                <w:color w:val="auto"/>
              </w:rPr>
              <w:t>Number of Securities</w:t>
            </w:r>
          </w:p>
        </w:tc>
        <w:tc>
          <w:tcPr>
            <w:tcW w:w="320" w:type="dxa"/>
            <w:vAlign w:val="bottom"/>
          </w:tcPr>
          <w:p>
            <w:pPr>
              <w:spacing w:after="0"/>
              <w:rPr>
                <w:sz w:val="18"/>
                <w:szCs w:val="18"/>
                <w:color w:val="auto"/>
              </w:rPr>
            </w:pPr>
          </w:p>
        </w:tc>
        <w:tc>
          <w:tcPr>
            <w:tcW w:w="1840" w:type="dxa"/>
            <w:vAlign w:val="bottom"/>
          </w:tcPr>
          <w:p>
            <w:pPr>
              <w:jc w:val="center"/>
              <w:ind w:right="183"/>
              <w:spacing w:after="0"/>
              <w:rPr>
                <w:sz w:val="20"/>
                <w:szCs w:val="20"/>
                <w:color w:val="auto"/>
              </w:rPr>
            </w:pPr>
            <w:r>
              <w:rPr>
                <w:rFonts w:ascii="Arial" w:cs="Arial" w:eastAsia="Arial" w:hAnsi="Arial"/>
                <w:sz w:val="14"/>
                <w:szCs w:val="14"/>
                <w:b w:val="1"/>
                <w:bCs w:val="1"/>
                <w:color w:val="auto"/>
                <w:w w:val="90"/>
              </w:rPr>
              <w:t>Exercise Price of</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2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to be Issued upon Exercise</w:t>
            </w:r>
          </w:p>
        </w:tc>
        <w:tc>
          <w:tcPr>
            <w:tcW w:w="320" w:type="dxa"/>
            <w:vAlign w:val="bottom"/>
          </w:tcPr>
          <w:p>
            <w:pPr>
              <w:spacing w:after="0"/>
              <w:rPr>
                <w:sz w:val="16"/>
                <w:szCs w:val="16"/>
                <w:color w:val="auto"/>
              </w:rPr>
            </w:pPr>
          </w:p>
        </w:tc>
        <w:tc>
          <w:tcPr>
            <w:tcW w:w="1840" w:type="dxa"/>
            <w:vAlign w:val="bottom"/>
          </w:tcPr>
          <w:p>
            <w:pPr>
              <w:jc w:val="center"/>
              <w:ind w:right="203"/>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of Outstanding Options,</w:t>
            </w:r>
          </w:p>
        </w:tc>
        <w:tc>
          <w:tcPr>
            <w:tcW w:w="320" w:type="dxa"/>
            <w:vAlign w:val="bottom"/>
          </w:tcPr>
          <w:p>
            <w:pPr>
              <w:spacing w:after="0"/>
              <w:rPr>
                <w:sz w:val="18"/>
                <w:szCs w:val="18"/>
                <w:color w:val="auto"/>
              </w:rPr>
            </w:pPr>
          </w:p>
        </w:tc>
        <w:tc>
          <w:tcPr>
            <w:tcW w:w="1840" w:type="dxa"/>
            <w:vAlign w:val="bottom"/>
          </w:tcPr>
          <w:p>
            <w:pPr>
              <w:jc w:val="center"/>
              <w:ind w:right="183"/>
              <w:spacing w:after="0"/>
              <w:rPr>
                <w:sz w:val="20"/>
                <w:szCs w:val="20"/>
                <w:color w:val="auto"/>
              </w:rPr>
            </w:pPr>
            <w:r>
              <w:rPr>
                <w:rFonts w:ascii="Arial" w:cs="Arial" w:eastAsia="Arial" w:hAnsi="Arial"/>
                <w:sz w:val="14"/>
                <w:szCs w:val="14"/>
                <w:b w:val="1"/>
                <w:bCs w:val="1"/>
                <w:color w:val="auto"/>
                <w:w w:val="93"/>
              </w:rPr>
              <w:t>Options, Warrants</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Warrants and Rights</w:t>
            </w:r>
          </w:p>
        </w:tc>
        <w:tc>
          <w:tcPr>
            <w:tcW w:w="320" w:type="dxa"/>
            <w:vAlign w:val="bottom"/>
          </w:tcPr>
          <w:p>
            <w:pPr>
              <w:spacing w:after="0"/>
              <w:rPr>
                <w:sz w:val="18"/>
                <w:szCs w:val="18"/>
                <w:color w:val="auto"/>
              </w:rPr>
            </w:pPr>
          </w:p>
        </w:tc>
        <w:tc>
          <w:tcPr>
            <w:tcW w:w="1840" w:type="dxa"/>
            <w:vAlign w:val="bottom"/>
          </w:tcPr>
          <w:p>
            <w:pPr>
              <w:jc w:val="center"/>
              <w:ind w:right="183"/>
              <w:spacing w:after="0"/>
              <w:rPr>
                <w:sz w:val="20"/>
                <w:szCs w:val="20"/>
                <w:color w:val="auto"/>
              </w:rPr>
            </w:pPr>
            <w:r>
              <w:rPr>
                <w:rFonts w:ascii="Arial" w:cs="Arial" w:eastAsia="Arial" w:hAnsi="Arial"/>
                <w:sz w:val="14"/>
                <w:szCs w:val="14"/>
                <w:b w:val="1"/>
                <w:bCs w:val="1"/>
                <w:color w:val="auto"/>
                <w:w w:val="91"/>
              </w:rPr>
              <w:t>and Rights</w:t>
            </w:r>
          </w:p>
        </w:tc>
        <w:tc>
          <w:tcPr>
            <w:tcW w:w="0" w:type="dxa"/>
            <w:vAlign w:val="bottom"/>
          </w:tcPr>
          <w:p>
            <w:pPr>
              <w:spacing w:after="0"/>
              <w:rPr>
                <w:sz w:val="1"/>
                <w:szCs w:val="1"/>
                <w:color w:val="auto"/>
              </w:rPr>
            </w:pPr>
          </w:p>
        </w:tc>
      </w:tr>
      <w:tr>
        <w:trPr>
          <w:trHeight w:val="39"/>
        </w:trPr>
        <w:tc>
          <w:tcPr>
            <w:tcW w:w="4440" w:type="dxa"/>
            <w:vAlign w:val="bottom"/>
            <w:vMerge w:val="restart"/>
          </w:tcPr>
          <w:p>
            <w:pPr>
              <w:spacing w:after="0"/>
              <w:rPr>
                <w:sz w:val="20"/>
                <w:szCs w:val="20"/>
                <w:color w:val="auto"/>
              </w:rPr>
            </w:pPr>
            <w:r>
              <w:rPr>
                <w:rFonts w:ascii="Arial" w:cs="Arial" w:eastAsia="Arial" w:hAnsi="Arial"/>
                <w:sz w:val="18"/>
                <w:szCs w:val="18"/>
                <w:color w:val="auto"/>
                <w:w w:val="98"/>
              </w:rPr>
              <w:t>Equity compensation plans approved by security holders</w:t>
            </w:r>
          </w:p>
        </w:tc>
        <w:tc>
          <w:tcPr>
            <w:tcW w:w="2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44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40" w:type="dxa"/>
            <w:vAlign w:val="bottom"/>
          </w:tcPr>
          <w:p>
            <w:pPr>
              <w:spacing w:after="0" w:line="270" w:lineRule="exact"/>
              <w:rPr>
                <w:sz w:val="20"/>
                <w:szCs w:val="20"/>
                <w:color w:val="auto"/>
              </w:rPr>
            </w:pPr>
            <w:r>
              <w:rPr>
                <w:rFonts w:ascii="Arial" w:cs="Arial" w:eastAsia="Arial" w:hAnsi="Arial"/>
                <w:sz w:val="18"/>
                <w:szCs w:val="18"/>
                <w:color w:val="auto"/>
              </w:rPr>
              <w:t>(employees and directors)</w:t>
            </w:r>
            <w:r>
              <w:rPr>
                <w:rFonts w:ascii="Arial" w:cs="Arial" w:eastAsia="Arial" w:hAnsi="Arial"/>
                <w:sz w:val="25"/>
                <w:szCs w:val="25"/>
                <w:color w:val="auto"/>
                <w:vertAlign w:val="superscript"/>
              </w:rPr>
              <w:t>(1)</w:t>
            </w:r>
          </w:p>
        </w:tc>
        <w:tc>
          <w:tcPr>
            <w:tcW w:w="2300" w:type="dxa"/>
            <w:vAlign w:val="bottom"/>
          </w:tcPr>
          <w:p>
            <w:pPr>
              <w:jc w:val="right"/>
              <w:ind w:right="42"/>
              <w:spacing w:after="0"/>
              <w:rPr>
                <w:sz w:val="20"/>
                <w:szCs w:val="20"/>
                <w:color w:val="auto"/>
              </w:rPr>
            </w:pPr>
            <w:r>
              <w:rPr>
                <w:rFonts w:ascii="Arial" w:cs="Arial" w:eastAsia="Arial" w:hAnsi="Arial"/>
                <w:sz w:val="18"/>
                <w:szCs w:val="18"/>
                <w:color w:val="auto"/>
              </w:rPr>
              <w:t>4,790,683</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23"/>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329"/>
        </w:trPr>
        <w:tc>
          <w:tcPr>
            <w:tcW w:w="4440" w:type="dxa"/>
            <w:vAlign w:val="bottom"/>
          </w:tcPr>
          <w:p>
            <w:pPr>
              <w:spacing w:after="0"/>
              <w:rPr>
                <w:sz w:val="20"/>
                <w:szCs w:val="20"/>
                <w:color w:val="auto"/>
              </w:rPr>
            </w:pPr>
            <w:r>
              <w:rPr>
                <w:rFonts w:ascii="Arial" w:cs="Arial" w:eastAsia="Arial" w:hAnsi="Arial"/>
                <w:sz w:val="18"/>
                <w:szCs w:val="18"/>
                <w:color w:val="auto"/>
              </w:rPr>
              <w:t>Employee stock purchase plan</w:t>
            </w:r>
            <w:r>
              <w:rPr>
                <w:rFonts w:ascii="Arial" w:cs="Arial" w:eastAsia="Arial" w:hAnsi="Arial"/>
                <w:sz w:val="25"/>
                <w:szCs w:val="25"/>
                <w:color w:val="auto"/>
                <w:vertAlign w:val="superscript"/>
              </w:rPr>
              <w:t>(1)</w:t>
            </w:r>
          </w:p>
        </w:tc>
        <w:tc>
          <w:tcPr>
            <w:tcW w:w="2300" w:type="dxa"/>
            <w:vAlign w:val="bottom"/>
          </w:tcPr>
          <w:p>
            <w:pPr>
              <w:jc w:val="right"/>
              <w:ind w:right="42"/>
              <w:spacing w:after="0"/>
              <w:rPr>
                <w:sz w:val="20"/>
                <w:szCs w:val="20"/>
                <w:color w:val="auto"/>
              </w:rPr>
            </w:pPr>
            <w:r>
              <w:rPr>
                <w:rFonts w:ascii="Arial" w:cs="Arial" w:eastAsia="Arial" w:hAnsi="Arial"/>
                <w:sz w:val="18"/>
                <w:szCs w:val="18"/>
                <w:color w:val="auto"/>
              </w:rPr>
              <w:t>18,407</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23"/>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-525145</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10"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material features of these securities are described in note 8 of the Consolidated Financial Statements.</w:t>
      </w:r>
    </w:p>
    <w:p>
      <w:pPr>
        <w:spacing w:after="0" w:line="26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issuable under the 2017 Omnibus Incentive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ind w:right="400"/>
        <w:spacing w:after="0" w:line="279" w:lineRule="auto"/>
        <w:rPr>
          <w:sz w:val="20"/>
          <w:szCs w:val="20"/>
          <w:color w:val="auto"/>
        </w:rPr>
      </w:pPr>
      <w:r>
        <w:rPr>
          <w:rFonts w:ascii="Arial" w:cs="Arial" w:eastAsia="Arial" w:hAnsi="Arial"/>
          <w:sz w:val="12"/>
          <w:szCs w:val="12"/>
          <w:b w:val="1"/>
          <w:bCs w:val="1"/>
          <w:color w:val="auto"/>
        </w:rPr>
        <w:t>Number of Securities Remaining Available for Future Issuance Under Equity Compensation Plans(2)</w:t>
      </w:r>
    </w:p>
    <w:p>
      <w:pPr>
        <w:spacing w:after="0" w:line="21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2,983,774</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473,980</w:t>
      </w:r>
    </w:p>
    <w:p>
      <w:pPr>
        <w:spacing w:after="0" w:line="1600" w:lineRule="exact"/>
        <w:rPr>
          <w:sz w:val="20"/>
          <w:szCs w:val="20"/>
          <w:color w:val="auto"/>
        </w:rPr>
      </w:pPr>
    </w:p>
    <w:p>
      <w:pPr>
        <w:sectPr>
          <w:pgSz w:w="11900" w:h="16838" w:orient="portrait"/>
          <w:cols w:equalWidth="0" w:num="2">
            <w:col w:w="9040" w:space="540"/>
            <w:col w:w="1840"/>
          </w:cols>
          <w:pgMar w:left="240" w:top="796" w:right="239" w:bottom="1440" w:gutter="0" w:footer="0" w:header="0"/>
          <w:type w:val="continuous"/>
        </w:sectPr>
      </w:pPr>
    </w:p>
    <w:p>
      <w:pPr>
        <w:spacing w:after="0" w:line="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December 21, 2017, Vericel received a payment comprised of an upfront license fee from Innovative Cellular Therapeutics CO., LTD. (ICT) discussed in note 4 and purchase of $4.0 million for a warrant for 818,424 shares of the Company’s common stock based on the closing price as of December 6, 2017 of $4.90 at an exercise price of $0.01 per share. On December 27, 2017, ICT exercised the warrant via a cashless exercise in exchange for 816,850 shares of the Company’s common stock. There were no warrants issued to ICT outstanding as of December 31, 2017.</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April and December of 2018, Silicon Valley Bank and the assignee for MidCap Financial Trust and MidCap Funding III Trust exercised warrants obtained during the debt financings discussed in note 6 via cashless exercise in exchange for a total of 115,085 shares of the Company's common stock. See further discussion of warrants in note 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were no repurchases of shares of common stock made during the year ended December 31,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6"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data for each of the five years in the period ended December 31, 2018 are derived from our Consolidated Financial Statements. The selected historical financial data for the financial position of our Company as of December 31, 2018 and 2017 and the results of their operations for each of the five years in the period ended December 31, 2018 presented below should be read together with our consolidated financial statements and the notes to those statements and “Item 7 Management’s Discussion and Analysis of Financial Condition and Results of Operations,” included elsewhere in this Form 10-K.</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91"/>
              </w:rPr>
              <w:t>Year Ended 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28,796</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ind w:left="180"/>
              <w:spacing w:after="0" w:line="264" w:lineRule="exact"/>
              <w:rPr>
                <w:sz w:val="20"/>
                <w:szCs w:val="20"/>
                <w:color w:val="auto"/>
              </w:rPr>
            </w:pPr>
            <w:r>
              <w:rPr>
                <w:rFonts w:ascii="Arial" w:cs="Arial" w:eastAsia="Arial" w:hAnsi="Arial"/>
                <w:sz w:val="18"/>
                <w:szCs w:val="18"/>
                <w:color w:val="auto"/>
              </w:rPr>
              <w:t>Total revenue</w:t>
            </w:r>
            <w:r>
              <w:rPr>
                <w:rFonts w:ascii="Arial" w:cs="Arial" w:eastAsia="Arial" w:hAnsi="Arial"/>
                <w:sz w:val="25"/>
                <w:szCs w:val="25"/>
                <w:color w:val="auto"/>
                <w:vertAlign w:val="superscript"/>
              </w:rPr>
              <w:t>(a)</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90,857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63,924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54,383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51,168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28,796</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32,160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30,354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28,307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26,470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17,293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11,503</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13,599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12,944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15,295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18,890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21,263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13,774</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Loss on impairment of intangible asset</w:t>
            </w:r>
            <w:r>
              <w:rPr>
                <w:rFonts w:ascii="Arial" w:cs="Arial" w:eastAsia="Arial" w:hAnsi="Arial"/>
                <w:sz w:val="25"/>
                <w:szCs w:val="25"/>
                <w:color w:val="auto"/>
                <w:vertAlign w:val="superscript"/>
              </w:rPr>
              <w:t>(b)</w:t>
            </w:r>
          </w:p>
        </w:tc>
        <w:tc>
          <w:tcPr>
            <w:tcW w:w="3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5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62,606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48,554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35,037</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(23,534)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(Increase) decrease in fair value of warrants</w:t>
            </w:r>
            <w:r>
              <w:rPr>
                <w:rFonts w:ascii="Arial" w:cs="Arial" w:eastAsia="Arial" w:hAnsi="Arial"/>
                <w:sz w:val="25"/>
                <w:szCs w:val="25"/>
                <w:color w:val="auto"/>
                <w:vertAlign w:val="superscript"/>
              </w:rPr>
              <w:t>(c)</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Bargain purchase gain</w:t>
            </w:r>
            <w:r>
              <w:rPr>
                <w:rFonts w:ascii="Arial" w:cs="Arial" w:eastAsia="Arial" w:hAnsi="Arial"/>
                <w:sz w:val="25"/>
                <w:szCs w:val="25"/>
                <w:color w:val="auto"/>
                <w:vertAlign w:val="superscript"/>
              </w:rPr>
              <w:t>(d)</w:t>
            </w:r>
          </w:p>
        </w:tc>
        <w:tc>
          <w:tcPr>
            <w:tcW w:w="3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5"/>
                <w:szCs w:val="25"/>
                <w:color w:val="auto"/>
                <w:vertAlign w:val="superscript"/>
              </w:rPr>
              <w:t>(e)</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Total other (expense) income</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331</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attributable to common shareholders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80" w:type="dxa"/>
            <w:vAlign w:val="bottom"/>
            <w:vMerge w:val="continue"/>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80" w:hanging="245"/>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from commercial operations began in June 2014 following the acquisition of the CTRM business.</w:t>
      </w:r>
    </w:p>
    <w:p>
      <w:pPr>
        <w:spacing w:after="0" w:line="225" w:lineRule="exact"/>
        <w:rPr>
          <w:rFonts w:ascii="Arial" w:cs="Arial" w:eastAsia="Arial" w:hAnsi="Arial"/>
          <w:sz w:val="18"/>
          <w:szCs w:val="18"/>
          <w:color w:val="auto"/>
        </w:rPr>
      </w:pPr>
    </w:p>
    <w:p>
      <w:pPr>
        <w:jc w:val="both"/>
        <w:ind w:left="280" w:right="40" w:hanging="245"/>
        <w:spacing w:after="0" w:line="264" w:lineRule="auto"/>
        <w:tabs>
          <w:tab w:leader="none" w:pos="2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loss on impairment of intangible asset in 2016 is related to write-off of the commercial use rights for certain products (primarily Carticel). Upon the approval of MACI in December 2016 and the replacement of Carticel with MACI, it was determined the Carticel related intangible asset was fully impaired as of December 31, 2016.</w:t>
      </w:r>
    </w:p>
    <w:p>
      <w:pPr>
        <w:spacing w:after="0" w:line="194" w:lineRule="exact"/>
        <w:rPr>
          <w:rFonts w:ascii="Arial" w:cs="Arial" w:eastAsia="Arial" w:hAnsi="Arial"/>
          <w:sz w:val="18"/>
          <w:szCs w:val="18"/>
          <w:color w:val="auto"/>
        </w:rPr>
      </w:pPr>
    </w:p>
    <w:p>
      <w:pPr>
        <w:ind w:left="280" w:hanging="245"/>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fair value of the warrants are due to the reduction in the time to maturity and changes in our stock price.</w:t>
      </w:r>
    </w:p>
    <w:p>
      <w:pPr>
        <w:spacing w:after="0" w:line="238" w:lineRule="exact"/>
        <w:rPr>
          <w:rFonts w:ascii="Arial" w:cs="Arial" w:eastAsia="Arial" w:hAnsi="Arial"/>
          <w:sz w:val="18"/>
          <w:szCs w:val="18"/>
          <w:color w:val="auto"/>
        </w:rPr>
      </w:pPr>
    </w:p>
    <w:p>
      <w:pPr>
        <w:ind w:left="300" w:hanging="265"/>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bargain purchase gain is a result of the CTRM business acquisition.</w:t>
      </w:r>
    </w:p>
    <w:p>
      <w:pPr>
        <w:spacing w:after="0" w:line="225" w:lineRule="exact"/>
        <w:rPr>
          <w:rFonts w:ascii="Arial" w:cs="Arial" w:eastAsia="Arial" w:hAnsi="Arial"/>
          <w:sz w:val="18"/>
          <w:szCs w:val="18"/>
          <w:color w:val="auto"/>
        </w:rPr>
      </w:pPr>
    </w:p>
    <w:p>
      <w:pPr>
        <w:jc w:val="both"/>
        <w:ind w:left="280" w:right="20" w:hanging="245"/>
        <w:spacing w:after="0" w:line="264" w:lineRule="auto"/>
        <w:tabs>
          <w:tab w:leader="none" w:pos="3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December 2017 we modified our debt arrangement for outstanding debt that was held during that time, which resulted in a loss incurred for fees expensed upon the extinguishment of debt that was replaced with a new debt arrangement. In December 2018, we prepaid in full all outstanding indebtedness which resulted in a loss incurred for fees expensed upon the extinguishment of this debt described in note 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96"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December 31,</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22,978</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14,581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30,343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64,638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22,978</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14,581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30,343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Working capital (a)</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97,991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37,416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31,870</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15,235</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29,661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4,049</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118,689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54,577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48,598</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34,309</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47,579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23,890</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12,179</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11,938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shareholders' equity (deficit)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102,231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22,540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24,708</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22,130</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35,641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Working capital is defined as current assets less current liabilities.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0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17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reports, filings and other public announcements contain certain statements that describe our management’s beliefs concerning future business conditions, plans and prospects, growth opportunities and the outlook for our business and the biopharmaceutical industry based upon information currently available. Such statements are “forward-looking” statements within the meaning of the Private Securities Litigation Reform Act of 1995. Wherever possible, we have identified these forward-looking statements by words such as “will,” “may,” “anticipates,” “believes,” “intends,” “estimates,” “expects,” “projects” and similar phrases.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this report under “Item 1A Risk Factors” and in our other reports filed with the SEC from time to time.</w:t>
      </w:r>
    </w:p>
    <w:p>
      <w:pPr>
        <w:spacing w:after="0" w:line="13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this report will be important in determining future results.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17"/>
          <w:szCs w:val="17"/>
          <w:color w:val="auto"/>
        </w:rPr>
        <w:t>Vericel Corporation is a leader in advanced cell therapies for the sports medicine and severe burn care markets, and a developer of cell therapies for use in the treatment of patients with severe diseases and conditions. We currently market two FDA approved autologous cell therapy products in the United States. MACI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that was approved by the FDA on December 13, 2016. The first shipment and implantation of MACI occurred on January 31, 2017. At the end of the second quarter of 2017, we removed Carticel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an earlier generation ACI product, from the market. We also market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(cultured epidermal autografts), a permanent skin replacement Humanitarian Use Device (HUD) for the treatment of adult and pediatric patients with deep-dermal or full-thickness burns comprising greater than or equal to 30 percent of total body surface area (TBSA).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have a cell-manufacturing facility in Cambridge, Massachusetts which is used for U.S. manufacturing and distribution of MACI and Epicel. Throughout 2016 and early 2017, we also operated a centralized cell manufacturing facility in Ann Arbor, Michigan. The Ann Arbor facility previously supported the open label extension portion of the ixCELL-DCM clinical trial conducted in the United States and Canada.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Our approved and marketed products include two approved autologous cell therapy products: MACI, a third generation autologous implant for the repair of symptomatic, full-thickness cartilage defects of the knee in adult patients and Epicel, a permanent skin replacement for full thickness burns in adults and pediatrics with greater than or equal to 30% of TBSA, both of which are currently marketed in the U.S. We also own Carticel which is no longer marketed in the U.S. Until 2017, our active product candidate portfolio included ixmyelocel-T, a patient-specific multicellular therapy for the treatment of advanced heart failure due to dilated cardiomyopathy, or DCM. We have no current plans to continue the development of ixmyelocel-T.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8" w:name="page49"/>
    <w:bookmarkEnd w:id="48"/>
    <w:p>
      <w:pPr>
        <w:ind w:left="260"/>
        <w:spacing w:after="0"/>
        <w:rPr>
          <w:sz w:val="20"/>
          <w:szCs w:val="20"/>
          <w:color w:val="auto"/>
        </w:rPr>
      </w:pPr>
      <w:r>
        <w:rPr>
          <w:rFonts w:ascii="Arial" w:cs="Arial" w:eastAsia="Arial" w:hAnsi="Arial"/>
          <w:sz w:val="18"/>
          <w:szCs w:val="18"/>
          <w:b w:val="1"/>
          <w:bCs w:val="1"/>
          <w:color w:val="auto"/>
        </w:rPr>
        <w:t>MACI and Carticel</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Carticel, an earlier generation ACI product for the treatment and repair of cartilage defects in the knee, was the first FDA-approved autologous cartilage repair product. Carticel was replaced at the end of the second quarter of 2017 by MACI, which was approved on December 13, 2016 by the FDA. MACI is a third generation autologous implant for the repair of symptomatic, single or multiple full-thickness cartilage defects of the knee with or without bone involvement in adults. The first shipment and implantation of MACI occurred on January 31, 2017, and we stopped manufacturing and marketing Carticel at the end of the second quarter in 2017.</w:t>
      </w:r>
    </w:p>
    <w:p>
      <w:pPr>
        <w:spacing w:after="0" w:line="20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7"/>
          <w:szCs w:val="17"/>
          <w:color w:val="auto"/>
        </w:rPr>
        <w:t>In the U.S., the physician target audience which repairs cartilage defects is very concentrated and is comprised of a group of physicians who self-identify as or have the formal specialty of sports medicine physicians. We believe this target audience is approximately 3,500 physicians. In addition to these physicians there is a population of 5,000 to 8,000 general orthopedic surgeons who treat cartilage injuries, although at a much lower average volume relative to the sports medicine physicians. We expanded our field force from 40 to 48 representatives in 2018. Most private payers have a medical policy that allows treatment with MACI with all of the top 30 largest commercial payers having a formal medical policy for MACI or ACI in general. For those private payers, which have not yet approved a medical policy for MACI, for medically appropriate cases, we can often obtain approval on a case by case basis. In the year ended December 31, 2018, net revenues were $67.7 million for MACI.</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Epicel is a permanent skin replacement for full thickness burns greater than or equal to 30% of TBSA. Epicel is regulated by the Center for Biologics Evaluation and Research, or CBER of the U.S. Food and Drug Administration, or FDA under medical device authorities, and is the only FDA-approved autologous epidermal product available for large total surface area burns. Epicel was designated as a HUD in 1998 and a Humanitarian Device Exception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w:t>
      </w:r>
    </w:p>
    <w:p>
      <w:pPr>
        <w:spacing w:after="0" w:line="1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as long as the number of devices distributed in any calendar year does not exceed the Annual Distribution Number (ADN). The ADN is defined as the number of devices reasonably needed to treat a population of 8,000 individuals per year in the U.S.</w:t>
      </w:r>
    </w:p>
    <w:p>
      <w:pPr>
        <w:spacing w:after="0" w:line="1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February 18, 2016, the FDA approved our HDE supplement to revise the labeled indications of use to specifically include pediatric patients and to add pediatric labeling.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Due to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is 360,400 which is approximately 45 times larger than the volume of grafts sold in 2018. We currently have a 5-person field force. In the year ended December 31, 2018, net revenues were $23.1 million for Epicel.</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preapproval stage portfolio includes ixmyelocel-T, a unique multicellular therapy derived from an adult patient’s own bone marrow which utilizes our proprietary, highly automated and scalable manufacturing system. This multicellular therapy was developed for the treatment of advanced heart failure due to DCM.</w:t>
      </w:r>
    </w:p>
    <w:p>
      <w:pPr>
        <w:spacing w:after="0" w:line="181"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Ixmyelocel-T has been granted a U.S. Orphan Drug designation by the FDA for the treatment of DCM. We completed enrolling and treating patients in our completed Phase 2b ixCELL-DCM study in February, 2015. Patients were followed for 12 months for the primary efficacy endpoint of major cardiac adverse events, or MACE. On March 10, 2016, we announced the trial had met its primary endpoint of reduction in clinical cardiac events and that the incidence of adverse events, including serious adverse events, in patients treated with ixmyelocel-T was comparable to patients in the placebo group. Patients were then followed for an additional 12 months for safety. Because the trial met the primary endpoint, patients who received placebo or were randomized to ixmyelocel-T in the double-blind portion of the trial but did not receive ixmyelocel-T were offered the option to receive ixmyelocel-T. We successfully treated the last patients in February 2017, and the last follow-up visit occurred approximately one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96"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year later. In addition, we have conducted clinical studies for the treatment of critical limb ischemia, and an ixmyelocel-T investigator-initiated clinical study was conducted for the treatment of craniofacial reconstruction.</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On September 29, 2017, the FDA indicated we would be required to conduct at least one additional Phase 3 clinical study to support a BLA for ixmyelocel-T. Given the expense required to conduct further development and our focus on growing our existing commercial products, at this time we have no current plans to initiate or fund a Phase 3 trial on our own.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net loss for the year ended December 31, 2018 totaled $8.1 million which includes a loss on extinguishment of debt of $0.8 million. Our net loss for the year ended December 31, 2017 totaled $17.3 million which also includes a loss on extinguishment of debt of $0.9 million. Our net loss for the year ended December 31, 2016 totaled $19.6 million which includes an impairment of intangible asset charge of $2.6 million related to the write-off of the commercial use rights primarily due to Carticel’s replacement with MACI.</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2016</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63,924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54,383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32,160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30,354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28,307</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26,076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62,606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48,554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45,321</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(19,566)</w:t>
            </w:r>
          </w:p>
        </w:tc>
      </w:tr>
      <w:tr>
        <w:trPr>
          <w:trHeight w:val="20"/>
        </w:trPr>
        <w:tc>
          <w:tcPr>
            <w:tcW w:w="5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firstLine="347"/>
        <w:spacing w:after="0" w:line="259" w:lineRule="auto"/>
        <w:rPr>
          <w:sz w:val="20"/>
          <w:szCs w:val="20"/>
          <w:color w:val="auto"/>
        </w:rPr>
      </w:pPr>
      <w:r>
        <w:rPr>
          <w:rFonts w:ascii="Arial" w:cs="Arial" w:eastAsia="Arial" w:hAnsi="Arial"/>
          <w:sz w:val="18"/>
          <w:szCs w:val="18"/>
          <w:color w:val="auto"/>
        </w:rPr>
        <w:t>Net revenues (comprised of gross revenue from sales net of provision for cash discounts) increased for the year ended December 31, 2018 compared to December 31, 2017 primarily due to an increase in cartilage implants during MACI’s second year on the market as well as continued growth in demand for Epicel grafts over the prior year. Cash discounts for the years ended December 31, 2018 and December 31, 2016 were $0.2 million and $0.5 million, respectively, and were not material in 2017.</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revenues increased for the year ended December 31, 2017 compared to December 31, 2016 primarily due to an increase in cartilage implants as a result of the MACI launch and a significant increase in burn centers utilizing Epicel while also executing price increases. In addition, we recognized license revenue in connection with the granting of product licenses.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revenues for the years ended December 31, 2018, 2017 and 2016 are shown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2016</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 and MACI</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67,741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43,902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38,871</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48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23,116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6"/>
              <w:spacing w:after="0"/>
              <w:rPr>
                <w:sz w:val="20"/>
                <w:szCs w:val="20"/>
                <w:color w:val="auto"/>
              </w:rPr>
            </w:pPr>
            <w:r>
              <w:rPr>
                <w:rFonts w:ascii="Arial" w:cs="Arial" w:eastAsia="Arial" w:hAnsi="Arial"/>
                <w:sz w:val="18"/>
                <w:szCs w:val="18"/>
                <w:color w:val="auto"/>
              </w:rPr>
              <w:t>18,858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15,512</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License Revenue</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90,857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63,924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54,383</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88"/>
        <w:spacing w:after="0" w:line="255"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Over the last four years ACI (MACI and Carticel prior to its replacement) sales volumes from the first through the fourth quarter have on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represented 20%, 24%, 22% and 35% respectively, of total annual volumes. MACI orders are stronger in the fourth quarter due to a number of factors including insurance copay limits and the time of year patients prefer to start rehabilitation.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patient volume. Over the last four years the percentage of annual product orders for Epicel as on average been 28%, 25%, 21% and 27% from the first to the fourth quarters.</w:t>
      </w:r>
    </w:p>
    <w:p>
      <w:pPr>
        <w:sectPr>
          <w:pgSz w:w="11900" w:h="16838" w:orient="portrait"/>
          <w:cols w:equalWidth="0" w:num="1">
            <w:col w:w="11420"/>
          </w:cols>
          <w:pgMar w:left="240" w:top="584"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84"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2016</w:t>
            </w:r>
          </w:p>
        </w:tc>
      </w:tr>
      <w:tr>
        <w:trPr>
          <w:trHeight w:val="243"/>
        </w:trPr>
        <w:tc>
          <w:tcPr>
            <w:tcW w:w="524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6"/>
              <w:spacing w:after="0"/>
              <w:rPr>
                <w:sz w:val="20"/>
                <w:szCs w:val="20"/>
                <w:color w:val="auto"/>
              </w:rPr>
            </w:pPr>
            <w:r>
              <w:rPr>
                <w:rFonts w:ascii="Arial" w:cs="Arial" w:eastAsia="Arial" w:hAnsi="Arial"/>
                <w:sz w:val="18"/>
                <w:szCs w:val="18"/>
                <w:color w:val="auto"/>
              </w:rPr>
              <w:t>58,697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99"/>
              <w:spacing w:after="0"/>
              <w:rPr>
                <w:sz w:val="20"/>
                <w:szCs w:val="20"/>
                <w:color w:val="auto"/>
              </w:rPr>
            </w:pPr>
            <w:r>
              <w:rPr>
                <w:rFonts w:ascii="Arial" w:cs="Arial" w:eastAsia="Arial" w:hAnsi="Arial"/>
                <w:sz w:val="18"/>
                <w:szCs w:val="18"/>
                <w:color w:val="auto"/>
              </w:rPr>
              <w:t>33,570</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6"/>
              <w:spacing w:after="0"/>
              <w:rPr>
                <w:sz w:val="20"/>
                <w:szCs w:val="20"/>
                <w:color w:val="auto"/>
              </w:rPr>
            </w:pPr>
            <w:r>
              <w:rPr>
                <w:rFonts w:ascii="Arial" w:cs="Arial" w:eastAsia="Arial" w:hAnsi="Arial"/>
                <w:sz w:val="18"/>
                <w:szCs w:val="18"/>
                <w:color w:val="auto"/>
              </w:rPr>
              <w:t>26,076</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Gross profit %</w:t>
            </w:r>
          </w:p>
        </w:tc>
        <w:tc>
          <w:tcPr>
            <w:tcW w:w="5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7"/>
        </w:trPr>
        <w:tc>
          <w:tcPr>
            <w:tcW w:w="5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Gross profit increased for the years ended December 31, 2018 compared to 2017 as well as for the year ended December 31, 2017 compared to 2016, in each case due primarily to an increase in MACI (and formerly Carticel) and Epicel sales combined with our highly fixed manufacturing cost structure which consists mainly of labor and facility costs that do not materially fluctuate with volume increases.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2016</w:t>
            </w:r>
          </w:p>
        </w:tc>
      </w:tr>
      <w:tr>
        <w:trPr>
          <w:trHeight w:val="243"/>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13,599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12,944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15,295</w:t>
            </w:r>
          </w:p>
        </w:tc>
      </w:tr>
      <w:tr>
        <w:trPr>
          <w:trHeight w:val="27"/>
        </w:trPr>
        <w:tc>
          <w:tcPr>
            <w:tcW w:w="5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approximate allocation of cost for our research and development projects: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2016</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Dilated Cardiomyopathy</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8,195</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ACI</w:t>
            </w:r>
          </w:p>
        </w:tc>
        <w:tc>
          <w:tcPr>
            <w:tcW w:w="48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9,099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6"/>
              <w:spacing w:after="0"/>
              <w:rPr>
                <w:sz w:val="20"/>
                <w:szCs w:val="20"/>
                <w:color w:val="auto"/>
              </w:rPr>
            </w:pPr>
            <w:r>
              <w:rPr>
                <w:rFonts w:ascii="Arial" w:cs="Arial" w:eastAsia="Arial" w:hAnsi="Arial"/>
                <w:sz w:val="18"/>
                <w:szCs w:val="18"/>
                <w:color w:val="auto"/>
              </w:rPr>
              <w:t>5,814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4,964</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Epicel</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2,136</w:t>
            </w:r>
          </w:p>
        </w:tc>
      </w:tr>
      <w:tr>
        <w:trPr>
          <w:trHeight w:val="257"/>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Total research and development costs</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13,599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12,944</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15,295</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Research and development expenses for the year ended December 31, 2018 were $13.6 million compared to $12.9 million for the year ended December 31, 2017. These expenses include research costs associated with manufacturing process improvement activities, the ongoing MACI pediatric trial, pharmacovigilance and other reporting and compliance requirements, as well as medical affairs and external grants. The increase for ACI and Epicel costs was primarily driven by increased employee stock-based compensation expenses. Expenses related to Dilated Cardiomyopathy are expected to continue to decrease due to the closure of the study.</w:t>
      </w:r>
    </w:p>
    <w:p>
      <w:pPr>
        <w:spacing w:after="0" w:line="18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Research and development expenses for the year ended December 31, 2017 were $12.9 million compared to $15.3 million for the year ended December 31, 2016. The decrease was primarily related to a decrease in expenditures for ixmyelocel-T (ixCELL-DCM study) as a result of the decision to no longer pursue a Phase 3 trial, partially offset by an increase in MACI expenditures.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2016</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costs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35,610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27,388</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Loss on impairment of intangible asset</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2,638</w:t>
            </w:r>
          </w:p>
        </w:tc>
      </w:tr>
    </w:tbl>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Selling, general and administrative expenses for the years ended December 31, 2018 and 2017 increased to $49.0 million from $35.6 million, respectively. The increase in selling, general and administrative expenses in 2018 is due primarily to an incremental $4.4 million in employee related expenses driven mainly by the MACI sales force expansion, $4.0 million increase in selling expenses, and reimbursement patient support services and an incremental $2.7 million in stock based compensation expenses.</w:t>
      </w:r>
    </w:p>
    <w:p>
      <w:pPr>
        <w:spacing w:after="0" w:line="187"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Selling, general and administrative expenses for the years ended December 31, 2017 and 2016 were $35.6 million and $27.4 million, respectively. The increase in selling, general and administrative expenses in 2017 is due primarily to an incremental $3.6 million in employee related expenses driven mainly by the MACI sales force expansion, $3.0 million in additional marketing program expenses to support the MACI launch and $1.1 million increase in costs associated with our reimbursement and patient support services.</w:t>
      </w:r>
    </w:p>
    <w:p>
      <w:pPr>
        <w:sectPr>
          <w:pgSz w:w="11900" w:h="16838" w:orient="portrait"/>
          <w:cols w:equalWidth="0" w:num="1">
            <w:col w:w="11420"/>
          </w:cols>
          <w:pgMar w:left="240" w:top="1017"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017" w:right="239" w:bottom="1440" w:gutter="0" w:footer="0" w:header="0"/>
          <w:type w:val="continuous"/>
        </w:sectPr>
      </w:pPr>
    </w:p>
    <w:bookmarkStart w:id="51" w:name="page52"/>
    <w:bookmarkEnd w:id="51"/>
    <w:p>
      <w:pPr>
        <w:jc w:val="both"/>
        <w:ind w:firstLine="230"/>
        <w:spacing w:after="0" w:line="264" w:lineRule="auto"/>
        <w:rPr>
          <w:sz w:val="20"/>
          <w:szCs w:val="20"/>
          <w:color w:val="auto"/>
        </w:rPr>
      </w:pPr>
      <w:r>
        <w:rPr>
          <w:rFonts w:ascii="Arial" w:cs="Arial" w:eastAsia="Arial" w:hAnsi="Arial"/>
          <w:sz w:val="18"/>
          <w:szCs w:val="18"/>
          <w:color w:val="auto"/>
        </w:rPr>
        <w:t>The loss on impairment of intangible asset is related to the write-off of the commercial use rights for certain products (primarily Carticel). Upon the approval of MACI in December 2016 and the replacement of Carticel with MACI, we determined the Carticel-related intangible asset was fully impaired as of December 31, 2016.</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2016</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in fair value of warrants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Loss on extinguishment of debt</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 income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change in other income and expense for the year ended December 31, 2018 compared to 2017 is due primarily to the change in warrant value as a result of the increase in our stock price recognized upon exercise, interest expense and the loss on extinguishment of debt related to the extinguishment of our credit term facilities.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change in other income and expense for the year ended December 31, 2017 compared to 2016 is due primarily to interest expense and the loss on extinguishment of debt related to our modification and expansion of our credit term facilities, and the change in warrant value as a result of the increase in our stock price.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general, selling and administrative expenses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2016</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497</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selling and administrative</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1,575</w:t>
            </w:r>
          </w:p>
        </w:tc>
      </w:tr>
      <w:tr>
        <w:trPr>
          <w:trHeight w:val="237"/>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7,223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2,499</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increase in stock-based compensation expense is due primarily to fluctuations in stock prices which impacts the fair value of the options awarded and the expense recognized in the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Since the acquisition in 2014 of the CTRM Business of Sanofi, our primary focus has been to invest in our existing commercial business with the goal of growing revenue. In June 2018, we sold 5,750,000 shares of our common stock in an underwritten public offering at a price of $13.00 per share. We received proceeds of $70.1 million, net of $4.7 million of underwriters’ discount and issuance costs consisting primarily of legal and accounting fees. We recorded these proceeds as a common stock issuance. We currently intend to use the net proceeds from this offering primarily for general corporate purposes, as well as to expand our business by in-licensing or acquiring, as the case may be, product candidates, technologies, other assets, commercial products or businesses which would be complementary to our existing commercial franchises or our advanced cell therapy platform; however, we have no current commitments or obligations to do so.</w:t>
      </w:r>
    </w:p>
    <w:p>
      <w:pPr>
        <w:spacing w:after="0" w:line="189" w:lineRule="exact"/>
        <w:rPr>
          <w:sz w:val="20"/>
          <w:szCs w:val="20"/>
          <w:color w:val="auto"/>
        </w:rPr>
      </w:pPr>
    </w:p>
    <w:p>
      <w:pPr>
        <w:jc w:val="both"/>
        <w:ind w:right="20" w:firstLine="413"/>
        <w:spacing w:after="0" w:line="277" w:lineRule="auto"/>
        <w:rPr>
          <w:sz w:val="20"/>
          <w:szCs w:val="20"/>
          <w:color w:val="auto"/>
        </w:rPr>
      </w:pPr>
      <w:r>
        <w:rPr>
          <w:rFonts w:ascii="Arial" w:cs="Arial" w:eastAsia="Arial" w:hAnsi="Arial"/>
          <w:sz w:val="18"/>
          <w:szCs w:val="18"/>
          <w:color w:val="auto"/>
        </w:rPr>
        <w:t>We have raised significant funds in order to complete our product development programs, and complete clinical trials needed to market and commercialize our products. To date, we have financed our operations primarily through public and private sales of our equity securities.</w:t>
      </w:r>
    </w:p>
    <w:p>
      <w:pPr>
        <w:spacing w:after="0" w:line="170"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Our cash and cash equivalents totaled $18.3 million and short term investments totaled $64.6 million as of December 31, 2018. The $0.4 million of cash used by operations was a result of an $8.1 million net loss, offset by noncash charges including</w:t>
      </w:r>
    </w:p>
    <w:p>
      <w:pPr>
        <w:sectPr>
          <w:pgSz w:w="11900" w:h="16838" w:orient="portrait"/>
          <w:cols w:equalWidth="0" w:num="1">
            <w:col w:w="11420"/>
          </w:cols>
          <w:pgMar w:left="240" w:top="80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800" w:right="239" w:bottom="1440" w:gutter="0" w:footer="0" w:header="0"/>
          <w:type w:val="continuous"/>
        </w:sectPr>
      </w:pPr>
    </w:p>
    <w:bookmarkStart w:id="52" w:name="page53"/>
    <w:bookmarkEnd w:id="52"/>
    <w:p>
      <w:pPr>
        <w:jc w:val="both"/>
        <w:spacing w:after="0" w:line="259" w:lineRule="auto"/>
        <w:rPr>
          <w:sz w:val="20"/>
          <w:szCs w:val="20"/>
          <w:color w:val="auto"/>
        </w:rPr>
      </w:pPr>
      <w:r>
        <w:rPr>
          <w:rFonts w:ascii="Arial" w:cs="Arial" w:eastAsia="Arial" w:hAnsi="Arial"/>
          <w:sz w:val="18"/>
          <w:szCs w:val="18"/>
          <w:color w:val="auto"/>
        </w:rPr>
        <w:t>$7.2 million in stock compensation expense, $2.5 million in warrant fair value fluctuations and $1.4 million in depreciation and amortization expense. Working capital requirements increased due to a $5.2 million increase in accounts receivable, and $1.3 million increase in prepaid and other current assets as a result of the increase in sales volume, slightly offset by an increase of $0.9 million and $1.5 million to our accounts payable and accrued expenses, respectively, related to the timing of payments.</w:t>
      </w:r>
    </w:p>
    <w:p>
      <w:pPr>
        <w:spacing w:after="0" w:line="187"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Our cash totaled $26.9 million at December 31, 2017. The primary uses of cash included $13.2 million for our operations and working capital requirements. This use of funds was attributed largely to our operating loss due to an increase in expenditures for sales and marketing initiatives and investment in research and development activities in 2017, reduced by noncash charges including $2.7 million in stock compensation expense and $1.6 million in depreciation and amortization expense. Working capital requirements increased due to $1.4 million in accounts payable primarily related to timing of payments and a $1.2 million increase in accounts receivable as a result in the increase of days sales outstanding related to the change in reimbursement and patient support service providers.</w:t>
      </w:r>
    </w:p>
    <w:p>
      <w:pPr>
        <w:spacing w:after="0" w:line="193"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The change in cash used for investing activities in 2018 is the result of $66.5 million in short term investments purchases offset by $2.2 million of maturities and property plant and equipment purchases of $2.7 million primarily for manufacturing upgrades and leasehold improvements through December 31, 2018. The change in cash used for investing activities in 2017 is the result of material property plant and equipment purchases of $1.5 million primarily for purchases in connection with the integration of the CTRM business through December 31, 2017.</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change in cash provided from financing activities in 2018 is the result of net proceeds from our recent public offering of common stock of $70.1 million, proceeds from the exercise of stock options of $4.4 million and the exercise of warrants of $2.7 million. The cash provided from financing activities was reduced by the prepayment of all outstanding debt under the term loans described below.</w:t>
      </w:r>
    </w:p>
    <w:p>
      <w:pPr>
        <w:spacing w:after="0" w:line="18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December 19, 2018, we prepaid in full all outstanding indebtedness to terminate the Loan and Security Agreement by and between the Company, Silicon Valley Bank as Agent and Silicon Valley Bank, MidCap Financial Trust, MidCap Funding III Trust (SVB and MidCap) and other lenders listed therein as lenders (SVB Loan Agreement). As of the date of termination, we paid in full $17.1 million in outstanding borrowings at the time of termination. In connection with the termination of the SVB Loan Agreement, we paid an additional prepayment premium of 1.5% in the amount of $0.2 million and a final payment of 3.6% in the amount of $0.5 million.</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that, based on our current cash on hand, cash equivalents and short term investments we are in a position to sustain operations through at least February 2020. In the future, we may need to access additional capital; however, we may not be able to obtain financing on acceptable terms or at all. The terms of any financing may adversely affect the holdings or the rights of our shareholders. Actual cash requirements may differ from projections and will depend on many factors, including the level of future research and development, the scope and results of ongoing and potential clinical trials, the costs involved in filing, prosecuting and enforcing patents, the need for additional manufacturing capacity, competing technological and market developments, costs of possible acquisition or development of complementary business activities, and the cost to market our products.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 xml:space="preserve">We lease facilities in Ann Arbor, Michigan and Cambridge, Massachusetts. In March 2016, we amended our current lease in Cambridge to, among other provisions, extend the term until February 2022 and have the right to extend until February 2027, subject to certain conditions being met. Under the amendment, the landlord will contribute approximately $2.0 million toward the cost of tenant improvements. The </w:t>
      </w:r>
      <w:r>
        <w:rPr>
          <w:rFonts w:ascii="Arial" w:cs="Arial" w:eastAsia="Arial" w:hAnsi="Arial"/>
          <w:sz w:val="16"/>
          <w:szCs w:val="16"/>
          <w:color w:val="222222"/>
        </w:rPr>
        <w:t>contribution toward the cost of tenant</w:t>
      </w:r>
      <w:r>
        <w:rPr>
          <w:rFonts w:ascii="Arial" w:cs="Arial" w:eastAsia="Arial" w:hAnsi="Arial"/>
          <w:sz w:val="16"/>
          <w:szCs w:val="16"/>
          <w:color w:val="auto"/>
        </w:rPr>
        <w:t xml:space="preserve"> </w:t>
      </w:r>
      <w:r>
        <w:rPr>
          <w:rFonts w:ascii="Arial" w:cs="Arial" w:eastAsia="Arial" w:hAnsi="Arial"/>
          <w:sz w:val="16"/>
          <w:szCs w:val="16"/>
          <w:color w:val="222222"/>
        </w:rPr>
        <w:t xml:space="preserve">improvements is recorded as deferred rent on our consolidated balance sheet and is amortized to our consolidated statement of operations as reductions to rent expense over the lease term. Through </w:t>
      </w:r>
      <w:r>
        <w:rPr>
          <w:rFonts w:ascii="Arial" w:cs="Arial" w:eastAsia="Arial" w:hAnsi="Arial"/>
          <w:sz w:val="16"/>
          <w:szCs w:val="16"/>
          <w:color w:val="000000"/>
        </w:rPr>
        <w:t>December 31, 2018</w:t>
      </w:r>
      <w:r>
        <w:rPr>
          <w:rFonts w:ascii="Arial" w:cs="Arial" w:eastAsia="Arial" w:hAnsi="Arial"/>
          <w:sz w:val="16"/>
          <w:szCs w:val="16"/>
          <w:color w:val="222222"/>
        </w:rPr>
        <w:t xml:space="preserve">, we have recorded a tenant improvement of $1.9 million. In April 2018 we amended </w:t>
      </w:r>
      <w:r>
        <w:rPr>
          <w:rFonts w:ascii="Arial" w:cs="Arial" w:eastAsia="Arial" w:hAnsi="Arial"/>
          <w:sz w:val="16"/>
          <w:szCs w:val="16"/>
          <w:color w:val="000000"/>
        </w:rPr>
        <w:t>our current</w:t>
      </w:r>
      <w:r>
        <w:rPr>
          <w:rFonts w:ascii="Arial" w:cs="Arial" w:eastAsia="Arial" w:hAnsi="Arial"/>
          <w:sz w:val="16"/>
          <w:szCs w:val="16"/>
          <w:color w:val="222222"/>
        </w:rPr>
        <w:t xml:space="preserve"> </w:t>
      </w:r>
      <w:r>
        <w:rPr>
          <w:rFonts w:ascii="Arial" w:cs="Arial" w:eastAsia="Arial" w:hAnsi="Arial"/>
          <w:sz w:val="16"/>
          <w:szCs w:val="16"/>
          <w:color w:val="000000"/>
        </w:rPr>
        <w:t xml:space="preserve">lease in Ann Arbor to, among other provisions, extend the term until April 2023. In addition to the property leases, we also pay for use of an offsite warehouse space, and we lease various vehicles and computer equipment. </w:t>
      </w:r>
      <w:r>
        <w:rPr>
          <w:rFonts w:ascii="Arial" w:cs="Arial" w:eastAsia="Arial" w:hAnsi="Arial"/>
          <w:sz w:val="16"/>
          <w:szCs w:val="16"/>
          <w:color w:val="222222"/>
        </w:rPr>
        <w:t>See note 16 to the consolidated financial statements for further information.</w:t>
      </w:r>
    </w:p>
    <w:p>
      <w:pPr>
        <w:spacing w:after="0" w:line="16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Future minimum payments related to our operating, capital leases, contractual obligations including interest on outstanding term loans are as follows: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Purchase commitments</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18,352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5,471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5,469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preparation of our consolidated financial statements in accordance with U.S. generally accepted accounting principles (GAAP) requires management to make estimates and assumptions that could materially impact the consolidated financial statements and disclosures based on varying assumptions. We believe our estimates and assumptions are reasonable; however, actual results and the timing of the recognition of such amounts could differ from these estimates.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is a list of accounting policies that are most significant to the portrayal of our financial condition and results of operations and/or that require management’s most difficult, subjective or complex judgments.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Revenue Recognition and Net Product Sales </w:t>
      </w:r>
      <w:r>
        <w:rPr>
          <w:rFonts w:ascii="Arial" w:cs="Arial" w:eastAsia="Arial" w:hAnsi="Arial"/>
          <w:sz w:val="17"/>
          <w:szCs w:val="17"/>
          <w:color w:val="auto"/>
        </w:rPr>
        <w:t>— Revenue from sales to a customer (distributor, hospital or other party) is recognized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ASC 606,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which was adopted January 1, 2018</w:t>
      </w:r>
      <w:r>
        <w:rPr>
          <w:rFonts w:ascii="Arial" w:cs="Arial" w:eastAsia="Arial" w:hAnsi="Arial"/>
          <w:sz w:val="17"/>
          <w:szCs w:val="17"/>
          <w:i w:val="1"/>
          <w:iCs w:val="1"/>
          <w:color w:val="auto"/>
        </w:rPr>
        <w:t>.</w:t>
      </w:r>
      <w:r>
        <w:rPr>
          <w:rFonts w:ascii="Arial" w:cs="Arial" w:eastAsia="Arial" w:hAnsi="Arial"/>
          <w:sz w:val="17"/>
          <w:szCs w:val="17"/>
          <w:color w:val="auto"/>
        </w:rPr>
        <w:t xml:space="preserve"> We recognize product revenue from sales to a customer (distributor or hospital) following the five step model in ASC 606: (i)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 Under this revenue standard, we recognize revenue when our customer obtains control of the promised goods, in an amount that reflects the consideration which we expect to receive in exchange for those goods.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April 2017, we were notified of a contractual dispute between Vital Care and a third-party payer and as a result, during the three months ended March 31, 2017, we increased our estimated revenue allowances, reducing revenue by $2.1 million related to 2016 sales and $0.7 million related to 2017 sales to reflect the lower reimbursement that would be obtained if the claims were ultimately required to be treated as out-of-network. In July 2017, the dispute was resolved and the negotiated reimbursement resulted in our ability to initially reduce our estimated sales allowances by $1.4 million which resulted in additional revenue in the second quarter of 2017 related to sales which originated primarily in 2016.</w:t>
      </w:r>
    </w:p>
    <w:p>
      <w:pPr>
        <w:spacing w:after="0" w:line="17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 The accounting for stock-based compensation requires us to determine the fair value of common stock issued in the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 awards. We use the value of our common stock at the date of the grant in the calculation of the fair value of our share-based awards. The fair value of stock options held by our employees is determined using a Black-Scholes option valuation method, which is a valuation technique that is acceptable for share-based payment accounting. Key assumptions in determining fair value include volatility, risk-free interest rate, dividend yield and expected term. The assumptions used in calculating the fair value of stock options represent our best estimates; however, these estimates involve inherent uncertainties and the application of management judgment. As a result, if factors change and different assumptions are used, the stock-based compensation expense could be materially different in the future. In addition, we are required to estimate the expected forfeiture rate and only recognize expense for those stock options expected to vest over the service period. We estimate the forfeiture rate considering the historical experience of our stock-based awards. If the actual forfeiture rate is different from the estimate, we adjust the expense accordingly.</w:t>
      </w:r>
    </w:p>
    <w:p>
      <w:pPr>
        <w:spacing w:after="0" w:line="18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Tax Valuation Allowance </w:t>
      </w:r>
      <w:r>
        <w:rPr>
          <w:rFonts w:ascii="Arial" w:cs="Arial" w:eastAsia="Arial" w:hAnsi="Arial"/>
          <w:sz w:val="18"/>
          <w:szCs w:val="18"/>
          <w:color w:val="auto"/>
        </w:rPr>
        <w:t>— A valuation allowance is recorded if it is more likely than not that a deferred tax asset will not be realized. We provided a full</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allowance on our deferred tax assets that primarily consist of cumulative federal net operating losses. Due to our three year cumulative loss position, history of operating losses and losses expected to be incurred in the foreseeable future, a full valuation allowance against our net deferred tax assets was considered necessary.</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summary of significant accounting policies should be read in conjunction with our consolidated financial statements and related notes and this discussion of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no off-balance sheet arrangements that have or are reasonably likely to have a material effect on our financial condition.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0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3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the year ended December 31, 2018, we purchased marketable debt securities, which are classified as available-for-sale and carried at fair value in the accompanying consolidated balance sheet included in this Annual Report on Form 10-K. The fair value of our cash equivalents and marketable securities is subject to changes in market interest rates.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Given the relatively short duration of investments in our portfolio we believe that the interest rate risk related to our accounts receivable is not significant. We manage the risk associated with these accounts through periodic reviews of the carrying value for non-collectability and establishment of appropriate allowances. We do not enter into hedging transactions and do not purchase derivative instruments.</w:t>
      </w:r>
    </w:p>
    <w:p>
      <w:pPr>
        <w:spacing w:after="0" w:line="181"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We operate in the United States only. We are primarily exposed to foreign exchange risk with respect to recognized assets and liabilities due to vendors in countries outside the United States which are typically paid in Euro. We do not enter into hedging transactions and do not purchase derivative instruments.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5700" w:type="dxa"/>
            <w:vAlign w:val="bottom"/>
            <w:gridSpan w:val="4"/>
          </w:tcPr>
          <w:p>
            <w:pPr>
              <w:spacing w:after="0" w:line="170" w:lineRule="exact"/>
              <w:rPr>
                <w:rFonts w:ascii="Arial" w:cs="Arial" w:eastAsia="Arial" w:hAnsi="Arial"/>
                <w:sz w:val="18"/>
                <w:szCs w:val="18"/>
                <w:color w:val="0000EE"/>
              </w:rPr>
            </w:pPr>
            <w:hyperlink w:anchor="page57">
              <w:r>
                <w:rPr>
                  <w:rFonts w:ascii="Arial" w:cs="Arial" w:eastAsia="Arial" w:hAnsi="Arial"/>
                  <w:sz w:val="18"/>
                  <w:szCs w:val="18"/>
                  <w:color w:val="0000EE"/>
                </w:rPr>
                <w:t>Report of Independent Registered Public Accounting Firm</w:t>
              </w:r>
            </w:hyperlink>
          </w:p>
        </w:tc>
        <w:tc>
          <w:tcPr>
            <w:tcW w:w="4660" w:type="dxa"/>
            <w:vAlign w:val="bottom"/>
            <w:gridSpan w:val="4"/>
          </w:tcPr>
          <w:p>
            <w:pPr>
              <w:spacing w:after="0"/>
              <w:rPr>
                <w:sz w:val="16"/>
                <w:szCs w:val="16"/>
                <w:color w:val="auto"/>
              </w:rPr>
            </w:pPr>
          </w:p>
        </w:tc>
        <w:tc>
          <w:tcPr>
            <w:tcW w:w="1020" w:type="dxa"/>
            <w:vAlign w:val="bottom"/>
            <w:gridSpan w:val="3"/>
          </w:tcPr>
          <w:p>
            <w:pPr>
              <w:jc w:val="right"/>
              <w:ind w:right="20"/>
              <w:spacing w:after="0" w:line="170" w:lineRule="exact"/>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7"/>
        </w:trPr>
        <w:tc>
          <w:tcPr>
            <w:tcW w:w="31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160" w:type="dxa"/>
            <w:vAlign w:val="bottom"/>
            <w:gridSpan w:val="2"/>
            <w:shd w:val="clear" w:color="auto" w:fill="0000EE"/>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5700" w:type="dxa"/>
            <w:vAlign w:val="bottom"/>
            <w:gridSpan w:val="4"/>
          </w:tcPr>
          <w:p>
            <w:pPr>
              <w:spacing w:after="0"/>
              <w:rPr>
                <w:rFonts w:ascii="Arial" w:cs="Arial" w:eastAsia="Arial" w:hAnsi="Arial"/>
                <w:sz w:val="18"/>
                <w:szCs w:val="18"/>
                <w:color w:val="0000EE"/>
                <w:w w:val="88"/>
              </w:rPr>
            </w:pPr>
            <w:hyperlink w:anchor="page59">
              <w:r>
                <w:rPr>
                  <w:rFonts w:ascii="Arial" w:cs="Arial" w:eastAsia="Arial" w:hAnsi="Arial"/>
                  <w:sz w:val="18"/>
                  <w:szCs w:val="18"/>
                  <w:color w:val="0000EE"/>
                  <w:w w:val="88"/>
                </w:rPr>
                <w:t>Consolidated Balance Sheets as of December 31, 2018 and December 31, 2017</w:t>
              </w:r>
            </w:hyperlink>
          </w:p>
        </w:tc>
        <w:tc>
          <w:tcPr>
            <w:tcW w:w="4660" w:type="dxa"/>
            <w:vAlign w:val="bottom"/>
            <w:gridSpan w:val="4"/>
          </w:tcPr>
          <w:p>
            <w:pPr>
              <w:spacing w:after="0"/>
              <w:rPr>
                <w:sz w:val="22"/>
                <w:szCs w:val="22"/>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Statements of Operations for the years ended December 31, 2018, 2017 and 2016</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Shareholders’ Equity (Deficit) from December 31, 2015 to December 31, 2018</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2"/>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Consolidated Statements of Comprehensive Loss</w:t>
              </w:r>
            </w:hyperlink>
          </w:p>
        </w:tc>
        <w:tc>
          <w:tcPr>
            <w:tcW w:w="4160" w:type="dxa"/>
            <w:vAlign w:val="bottom"/>
            <w:gridSpan w:val="5"/>
          </w:tcPr>
          <w:p>
            <w:pPr>
              <w:spacing w:after="0"/>
              <w:rPr>
                <w:sz w:val="21"/>
                <w:szCs w:val="21"/>
                <w:color w:val="auto"/>
              </w:rPr>
            </w:pPr>
          </w:p>
        </w:tc>
        <w:tc>
          <w:tcPr>
            <w:tcW w:w="2660" w:type="dxa"/>
            <w:vAlign w:val="bottom"/>
          </w:tcPr>
          <w:p>
            <w:pPr>
              <w:spacing w:after="0"/>
              <w:rPr>
                <w:sz w:val="21"/>
                <w:szCs w:val="21"/>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Statements of Cash Flows for the years ended December 31, 2018, 2017 and 2016</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00" w:type="dxa"/>
            <w:vAlign w:val="bottom"/>
            <w:gridSpan w:val="6"/>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Notes to Consolidated Financial Statements</w:t>
              </w:r>
            </w:hyperlink>
          </w:p>
        </w:tc>
        <w:tc>
          <w:tcPr>
            <w:tcW w:w="3460" w:type="dxa"/>
            <w:vAlign w:val="bottom"/>
            <w:gridSpan w:val="2"/>
          </w:tcPr>
          <w:p>
            <w:pPr>
              <w:spacing w:after="0"/>
              <w:rPr>
                <w:sz w:val="21"/>
                <w:szCs w:val="21"/>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723"/>
        </w:trPr>
        <w:tc>
          <w:tcPr>
            <w:tcW w:w="3140" w:type="dxa"/>
            <w:vAlign w:val="bottom"/>
            <w:tcBorders>
              <w:top w:val="single" w:sz="8" w:color="0000EE"/>
            </w:tcBorders>
          </w:tcPr>
          <w:p>
            <w:pPr>
              <w:spacing w:after="0"/>
              <w:rPr>
                <w:sz w:val="24"/>
                <w:szCs w:val="24"/>
                <w:color w:val="auto"/>
              </w:rPr>
            </w:pPr>
          </w:p>
        </w:tc>
        <w:tc>
          <w:tcPr>
            <w:tcW w:w="3700" w:type="dxa"/>
            <w:vAlign w:val="bottom"/>
            <w:gridSpan w:val="4"/>
          </w:tcPr>
          <w:p>
            <w:pPr>
              <w:jc w:val="right"/>
              <w:ind w:right="108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Vericel Corporation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Vericel Corporation and its subsidiaries (the “Company”) as of December 31, 2018 and 2017, and the related consolidated statements of operations, comprehensive loss, shareholders’ equity, and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2018 and 2017</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580" w:right="259" w:bottom="1440" w:gutter="0" w:footer="0" w:header="0"/>
        </w:sectPr>
      </w:pPr>
    </w:p>
    <w:bookmarkStart w:id="57" w:name="page58"/>
    <w:bookmarkEnd w:id="57"/>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served as the Company’s auditor since at least 1996, which is when the Company became subject to SEC reporting requirements. We have not been able to determine the specific year we began serving as auditor of the Company.</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20"/>
          </w:cols>
          <w:pgMar w:left="240" w:top="584"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3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26,862</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Short term investments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64,638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$514 and $249,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18,270</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3,793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112,783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50,506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4,071</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118,689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54,577</w:t>
            </w:r>
          </w:p>
        </w:tc>
      </w:tr>
      <w:tr>
        <w:trPr>
          <w:trHeight w:val="67"/>
        </w:trPr>
        <w:tc>
          <w:tcPr>
            <w:tcW w:w="83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04"/>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5,552</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5,573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1,014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term loan credit agreement (net of deferred costs of $0 and $67,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181</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13,090</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Revolving and term loan credit agreement (net of deferred costs of $0 and $196, respectively)</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16,888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32,037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15)</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Common stock, no par value; shares authorized — 75,000; shares issued and outstanding — 43,578 and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35,861,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471,180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383,020</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(369,014)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(360,877)</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22,540</w:t>
            </w:r>
          </w:p>
        </w:tc>
      </w:tr>
      <w:tr>
        <w:trPr>
          <w:trHeight w:val="237"/>
        </w:trPr>
        <w:tc>
          <w:tcPr>
            <w:tcW w:w="8360" w:type="dxa"/>
            <w:vAlign w:val="bottom"/>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118,689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54,577</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90,857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54,383</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90,857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54,383</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32,160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28,307</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58,697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26,076</w:t>
            </w: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13,599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15,295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49,007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27,388</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Loss on impairment of intangible asset</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62,606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45,321</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(3,909)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Increase in fair value of warrants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(2,524)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(1,732)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(expense) income</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(4,228)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loss</w:t>
            </w:r>
          </w:p>
        </w:tc>
        <w:tc>
          <w:tcPr>
            <w:tcW w:w="90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(8,137)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(19,566)</w:t>
            </w:r>
          </w:p>
        </w:tc>
        <w:tc>
          <w:tcPr>
            <w:tcW w:w="0" w:type="dxa"/>
            <w:vAlign w:val="bottom"/>
          </w:tcPr>
          <w:p>
            <w:pPr>
              <w:spacing w:after="0"/>
              <w:rPr>
                <w:sz w:val="1"/>
                <w:szCs w:val="1"/>
                <w:color w:val="auto"/>
              </w:rPr>
            </w:pPr>
          </w:p>
        </w:tc>
      </w:tr>
      <w:tr>
        <w:trPr>
          <w:trHeight w:val="67"/>
        </w:trPr>
        <w:tc>
          <w:tcPr>
            <w:tcW w:w="676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attributable to common shareholders (Basic and Diluted)</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40,242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33,355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23,093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0"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(19,566)</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Net change in unrealized loss on investments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189"/>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400" w:type="dxa"/>
            <w:vAlign w:val="bottom"/>
          </w:tcPr>
          <w:p>
            <w:pPr>
              <w:spacing w:after="0"/>
              <w:rPr>
                <w:sz w:val="15"/>
                <w:szCs w:val="15"/>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120" w:type="dxa"/>
            <w:vAlign w:val="bottom"/>
          </w:tcPr>
          <w:p>
            <w:pPr>
              <w:spacing w:after="0"/>
              <w:rPr>
                <w:sz w:val="15"/>
                <w:szCs w:val="15"/>
                <w:color w:val="auto"/>
              </w:rPr>
            </w:pPr>
          </w:p>
        </w:tc>
        <w:tc>
          <w:tcPr>
            <w:tcW w:w="12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5"/>
                <w:szCs w:val="15"/>
                <w:color w:val="auto"/>
              </w:rPr>
            </w:pPr>
          </w:p>
        </w:tc>
        <w:tc>
          <w:tcPr>
            <w:tcW w:w="120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Warrants</w:t>
            </w:r>
          </w:p>
        </w:tc>
        <w:tc>
          <w:tcPr>
            <w:tcW w:w="1120" w:type="dxa"/>
            <w:vAlign w:val="bottom"/>
            <w:gridSpan w:val="3"/>
          </w:tcPr>
          <w:p>
            <w:pPr>
              <w:ind w:left="140"/>
              <w:spacing w:after="0"/>
              <w:rPr>
                <w:sz w:val="20"/>
                <w:szCs w:val="20"/>
                <w:color w:val="auto"/>
              </w:rPr>
            </w:pPr>
            <w:r>
              <w:rPr>
                <w:rFonts w:ascii="Arial" w:cs="Arial" w:eastAsia="Arial" w:hAnsi="Arial"/>
                <w:sz w:val="13"/>
                <w:szCs w:val="13"/>
                <w:b w:val="1"/>
                <w:bCs w:val="1"/>
                <w:color w:val="auto"/>
                <w:w w:val="98"/>
              </w:rPr>
              <w:t>Comprehensive</w:t>
            </w:r>
          </w:p>
        </w:tc>
        <w:tc>
          <w:tcPr>
            <w:tcW w:w="90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Accumulated</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w w:val="87"/>
              </w:rPr>
              <w:t>Shareholders’</w:t>
            </w:r>
          </w:p>
        </w:tc>
        <w:tc>
          <w:tcPr>
            <w:tcW w:w="0" w:type="dxa"/>
            <w:vAlign w:val="bottom"/>
          </w:tcPr>
          <w:p>
            <w:pPr>
              <w:spacing w:after="0"/>
              <w:rPr>
                <w:sz w:val="1"/>
                <w:szCs w:val="1"/>
                <w:color w:val="auto"/>
              </w:rPr>
            </w:pPr>
          </w:p>
        </w:tc>
      </w:tr>
      <w:tr>
        <w:trPr>
          <w:trHeight w:val="264"/>
        </w:trPr>
        <w:tc>
          <w:tcPr>
            <w:tcW w:w="14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Shares</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Shares</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Amount</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4"/>
        </w:trPr>
        <w:tc>
          <w:tcPr>
            <w:tcW w:w="14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BALANCE,</w:t>
            </w:r>
          </w:p>
        </w:tc>
        <w:tc>
          <w:tcPr>
            <w:tcW w:w="4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3"/>
              </w:rPr>
              <w:t>41,539</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23,789</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5"/>
              </w:rPr>
              <w:t>$307,766</w:t>
            </w:r>
          </w:p>
        </w:tc>
        <w:tc>
          <w:tcPr>
            <w:tcW w:w="1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(1,250)</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(3,150)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(324,025)</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22,130</w:t>
            </w:r>
          </w:p>
        </w:tc>
        <w:tc>
          <w:tcPr>
            <w:tcW w:w="0" w:type="dxa"/>
            <w:vAlign w:val="bottom"/>
          </w:tcPr>
          <w:p>
            <w:pPr>
              <w:spacing w:after="0"/>
              <w:rPr>
                <w:sz w:val="1"/>
                <w:szCs w:val="1"/>
                <w:color w:val="auto"/>
              </w:rPr>
            </w:pPr>
          </w:p>
        </w:tc>
      </w:tr>
      <w:tr>
        <w:trPr>
          <w:trHeight w:val="176"/>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31, 2015</w:t>
            </w: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tcPr>
          <w:p>
            <w:pPr>
              <w:ind w:left="20"/>
              <w:spacing w:after="0"/>
              <w:rPr>
                <w:sz w:val="20"/>
                <w:szCs w:val="20"/>
                <w:color w:val="auto"/>
              </w:rPr>
            </w:pPr>
            <w:r>
              <w:rPr>
                <w:rFonts w:ascii="Arial" w:cs="Arial" w:eastAsia="Arial" w:hAnsi="Arial"/>
                <w:sz w:val="13"/>
                <w:szCs w:val="13"/>
                <w:color w:val="auto"/>
              </w:rPr>
              <w:t>Net loss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(19,566)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(19,566)</w:t>
            </w:r>
          </w:p>
        </w:tc>
        <w:tc>
          <w:tcPr>
            <w:tcW w:w="0" w:type="dxa"/>
            <w:vAlign w:val="bottom"/>
          </w:tcPr>
          <w:p>
            <w:pPr>
              <w:spacing w:after="0"/>
              <w:rPr>
                <w:sz w:val="1"/>
                <w:szCs w:val="1"/>
                <w:color w:val="auto"/>
              </w:rPr>
            </w:pPr>
          </w:p>
        </w:tc>
      </w:tr>
      <w:tr>
        <w:trPr>
          <w:trHeight w:val="154"/>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Series A</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preferred stock for</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1,250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w:t>
            </w: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0"/>
              <w:spacing w:after="0" w:line="148" w:lineRule="exact"/>
              <w:rPr>
                <w:sz w:val="20"/>
                <w:szCs w:val="20"/>
                <w:color w:val="auto"/>
              </w:rPr>
            </w:pPr>
            <w:r>
              <w:rPr>
                <w:rFonts w:ascii="Arial" w:cs="Arial" w:eastAsia="Arial" w:hAnsi="Arial"/>
                <w:sz w:val="13"/>
                <w:szCs w:val="13"/>
                <w:color w:val="auto"/>
                <w:w w:val="99"/>
              </w:rPr>
              <w:t>Compensation expense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20"/>
              <w:spacing w:after="0" w:line="135" w:lineRule="exact"/>
              <w:rPr>
                <w:sz w:val="20"/>
                <w:szCs w:val="20"/>
                <w:color w:val="auto"/>
              </w:rPr>
            </w:pPr>
            <w:r>
              <w:rPr>
                <w:rFonts w:ascii="Arial" w:cs="Arial" w:eastAsia="Arial" w:hAnsi="Arial"/>
                <w:sz w:val="13"/>
                <w:szCs w:val="13"/>
                <w:color w:val="auto"/>
              </w:rPr>
              <w:t>related to stock options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20"/>
              <w:spacing w:after="0" w:line="135" w:lineRule="exact"/>
              <w:rPr>
                <w:sz w:val="20"/>
                <w:szCs w:val="20"/>
                <w:color w:val="auto"/>
              </w:rPr>
            </w:pPr>
            <w:r>
              <w:rPr>
                <w:rFonts w:ascii="Arial" w:cs="Arial" w:eastAsia="Arial" w:hAnsi="Arial"/>
                <w:sz w:val="13"/>
                <w:szCs w:val="13"/>
                <w:color w:val="auto"/>
              </w:rPr>
              <w:t>granted, net of</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2,499</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170"/>
        </w:trPr>
        <w:tc>
          <w:tcPr>
            <w:tcW w:w="1400" w:type="dxa"/>
            <w:vAlign w:val="bottom"/>
          </w:tcPr>
          <w:p>
            <w:pPr>
              <w:ind w:left="20"/>
              <w:spacing w:after="0"/>
              <w:rPr>
                <w:sz w:val="20"/>
                <w:szCs w:val="20"/>
                <w:color w:val="auto"/>
              </w:rPr>
            </w:pPr>
            <w:r>
              <w:rPr>
                <w:rFonts w:ascii="Arial" w:cs="Arial" w:eastAsia="Arial" w:hAnsi="Arial"/>
                <w:sz w:val="13"/>
                <w:szCs w:val="13"/>
                <w:color w:val="auto"/>
              </w:rPr>
              <w:t>forfeitures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net of issuance</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7,538</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18,868</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18,868</w:t>
            </w:r>
          </w:p>
        </w:tc>
        <w:tc>
          <w:tcPr>
            <w:tcW w:w="0" w:type="dxa"/>
            <w:vAlign w:val="bottom"/>
          </w:tcPr>
          <w:p>
            <w:pPr>
              <w:spacing w:after="0"/>
              <w:rPr>
                <w:sz w:val="1"/>
                <w:szCs w:val="1"/>
                <w:color w:val="auto"/>
              </w:rPr>
            </w:pPr>
          </w:p>
        </w:tc>
      </w:tr>
      <w:tr>
        <w:trPr>
          <w:trHeight w:val="176"/>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of $1,653</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tcPr>
          <w:p>
            <w:pPr>
              <w:ind w:left="20"/>
              <w:spacing w:after="0"/>
              <w:rPr>
                <w:sz w:val="20"/>
                <w:szCs w:val="20"/>
                <w:color w:val="auto"/>
              </w:rPr>
            </w:pPr>
            <w:r>
              <w:rPr>
                <w:rFonts w:ascii="Arial" w:cs="Arial" w:eastAsia="Arial" w:hAnsi="Arial"/>
                <w:sz w:val="13"/>
                <w:szCs w:val="13"/>
                <w:color w:val="auto"/>
              </w:rPr>
              <w:t>Stock option exercises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54"/>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Shares issued under the</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76"/>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Plan</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Issuance of warrants</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190</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34"/>
        </w:trPr>
        <w:tc>
          <w:tcPr>
            <w:tcW w:w="14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BALANCE,</w:t>
            </w:r>
          </w:p>
        </w:tc>
        <w:tc>
          <w:tcPr>
            <w:tcW w:w="4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3"/>
              </w:rPr>
              <w:t>38,389</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31,595</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5"/>
              </w:rPr>
              <w:t>$329,720</w:t>
            </w:r>
          </w:p>
        </w:tc>
        <w:tc>
          <w:tcPr>
            <w:tcW w:w="1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190</w:t>
            </w:r>
          </w:p>
        </w:tc>
        <w:tc>
          <w:tcPr>
            <w:tcW w:w="3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(343,591)</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24,708</w:t>
            </w: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31, 2016</w:t>
            </w: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400" w:type="dxa"/>
            <w:vAlign w:val="bottom"/>
          </w:tcPr>
          <w:p>
            <w:pPr>
              <w:ind w:left="20"/>
              <w:spacing w:after="0"/>
              <w:rPr>
                <w:sz w:val="20"/>
                <w:szCs w:val="20"/>
                <w:color w:val="auto"/>
              </w:rPr>
            </w:pPr>
            <w:r>
              <w:rPr>
                <w:rFonts w:ascii="Arial" w:cs="Arial" w:eastAsia="Arial" w:hAnsi="Arial"/>
                <w:sz w:val="13"/>
                <w:szCs w:val="13"/>
                <w:color w:val="auto"/>
              </w:rPr>
              <w:t>Net loss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(17,286)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(17,286)</w:t>
            </w:r>
          </w:p>
        </w:tc>
        <w:tc>
          <w:tcPr>
            <w:tcW w:w="0" w:type="dxa"/>
            <w:vAlign w:val="bottom"/>
          </w:tcPr>
          <w:p>
            <w:pPr>
              <w:spacing w:after="0"/>
              <w:rPr>
                <w:sz w:val="1"/>
                <w:szCs w:val="1"/>
                <w:color w:val="auto"/>
              </w:rPr>
            </w:pPr>
          </w:p>
        </w:tc>
      </w:tr>
      <w:tr>
        <w:trPr>
          <w:trHeight w:val="154"/>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Conversion of Series B-</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9"/>
              </w:rPr>
              <w:t>1 or B-2 preferred stock</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(38,389)</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38,389</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 common stock</w:t>
            </w: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0"/>
              <w:spacing w:after="0" w:line="148" w:lineRule="exact"/>
              <w:rPr>
                <w:sz w:val="20"/>
                <w:szCs w:val="20"/>
                <w:color w:val="auto"/>
              </w:rPr>
            </w:pPr>
            <w:r>
              <w:rPr>
                <w:rFonts w:ascii="Arial" w:cs="Arial" w:eastAsia="Arial" w:hAnsi="Arial"/>
                <w:sz w:val="13"/>
                <w:szCs w:val="13"/>
                <w:color w:val="auto"/>
                <w:w w:val="99"/>
              </w:rPr>
              <w:t>Compensation expense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20"/>
              <w:spacing w:after="0" w:line="135" w:lineRule="exact"/>
              <w:rPr>
                <w:sz w:val="20"/>
                <w:szCs w:val="20"/>
                <w:color w:val="auto"/>
              </w:rPr>
            </w:pPr>
            <w:r>
              <w:rPr>
                <w:rFonts w:ascii="Arial" w:cs="Arial" w:eastAsia="Arial" w:hAnsi="Arial"/>
                <w:sz w:val="13"/>
                <w:szCs w:val="13"/>
                <w:color w:val="auto"/>
              </w:rPr>
              <w:t>related to stock options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20"/>
              <w:spacing w:after="0" w:line="135" w:lineRule="exact"/>
              <w:rPr>
                <w:sz w:val="20"/>
                <w:szCs w:val="20"/>
                <w:color w:val="auto"/>
              </w:rPr>
            </w:pPr>
            <w:r>
              <w:rPr>
                <w:rFonts w:ascii="Arial" w:cs="Arial" w:eastAsia="Arial" w:hAnsi="Arial"/>
                <w:sz w:val="13"/>
                <w:szCs w:val="13"/>
                <w:color w:val="auto"/>
              </w:rPr>
              <w:t>granted, net of</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2,680</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2,680</w:t>
            </w:r>
          </w:p>
        </w:tc>
        <w:tc>
          <w:tcPr>
            <w:tcW w:w="0" w:type="dxa"/>
            <w:vAlign w:val="bottom"/>
          </w:tcPr>
          <w:p>
            <w:pPr>
              <w:spacing w:after="0"/>
              <w:rPr>
                <w:sz w:val="1"/>
                <w:szCs w:val="1"/>
                <w:color w:val="auto"/>
              </w:rPr>
            </w:pPr>
          </w:p>
        </w:tc>
      </w:tr>
      <w:tr>
        <w:trPr>
          <w:trHeight w:val="170"/>
        </w:trPr>
        <w:tc>
          <w:tcPr>
            <w:tcW w:w="1400" w:type="dxa"/>
            <w:vAlign w:val="bottom"/>
          </w:tcPr>
          <w:p>
            <w:pPr>
              <w:ind w:left="20"/>
              <w:spacing w:after="0"/>
              <w:rPr>
                <w:sz w:val="20"/>
                <w:szCs w:val="20"/>
                <w:color w:val="auto"/>
              </w:rPr>
            </w:pPr>
            <w:r>
              <w:rPr>
                <w:rFonts w:ascii="Arial" w:cs="Arial" w:eastAsia="Arial" w:hAnsi="Arial"/>
                <w:sz w:val="13"/>
                <w:szCs w:val="13"/>
                <w:color w:val="auto"/>
              </w:rPr>
              <w:t>forfeitures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net of issuance</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1,983</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7,188</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7,188</w:t>
            </w:r>
          </w:p>
        </w:tc>
        <w:tc>
          <w:tcPr>
            <w:tcW w:w="0" w:type="dxa"/>
            <w:vAlign w:val="bottom"/>
          </w:tcPr>
          <w:p>
            <w:pPr>
              <w:spacing w:after="0"/>
              <w:rPr>
                <w:sz w:val="1"/>
                <w:szCs w:val="1"/>
                <w:color w:val="auto"/>
              </w:rPr>
            </w:pPr>
          </w:p>
        </w:tc>
      </w:tr>
      <w:tr>
        <w:trPr>
          <w:trHeight w:val="176"/>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of $311</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tcPr>
          <w:p>
            <w:pPr>
              <w:ind w:left="20"/>
              <w:spacing w:after="0"/>
              <w:rPr>
                <w:sz w:val="20"/>
                <w:szCs w:val="20"/>
                <w:color w:val="auto"/>
              </w:rPr>
            </w:pPr>
            <w:r>
              <w:rPr>
                <w:rFonts w:ascii="Arial" w:cs="Arial" w:eastAsia="Arial" w:hAnsi="Arial"/>
                <w:sz w:val="13"/>
                <w:szCs w:val="13"/>
                <w:color w:val="auto"/>
              </w:rPr>
              <w:t>Stock option exercises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154"/>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Shares issued under the</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76"/>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Plan</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tcPr>
          <w:p>
            <w:pPr>
              <w:ind w:left="20"/>
              <w:spacing w:after="0"/>
              <w:rPr>
                <w:sz w:val="20"/>
                <w:szCs w:val="20"/>
                <w:color w:val="auto"/>
              </w:rPr>
            </w:pPr>
            <w:r>
              <w:rPr>
                <w:rFonts w:ascii="Arial" w:cs="Arial" w:eastAsia="Arial" w:hAnsi="Arial"/>
                <w:sz w:val="13"/>
                <w:szCs w:val="13"/>
                <w:color w:val="auto"/>
              </w:rPr>
              <w:t>Issuance of warrants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207</w:t>
            </w: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54"/>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warrants</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resulting in the issuance</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4,010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4,010</w:t>
            </w:r>
          </w:p>
        </w:tc>
        <w:tc>
          <w:tcPr>
            <w:tcW w:w="0" w:type="dxa"/>
            <w:vAlign w:val="bottom"/>
          </w:tcPr>
          <w:p>
            <w:pPr>
              <w:spacing w:after="0"/>
              <w:rPr>
                <w:sz w:val="1"/>
                <w:szCs w:val="1"/>
                <w:color w:val="auto"/>
              </w:rPr>
            </w:pPr>
          </w:p>
        </w:tc>
      </w:tr>
      <w:tr>
        <w:trPr>
          <w:trHeight w:val="176"/>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common stock</w:t>
            </w: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400" w:type="dxa"/>
            <w:vAlign w:val="bottom"/>
          </w:tcPr>
          <w:p>
            <w:pPr>
              <w:ind w:left="20"/>
              <w:spacing w:after="0" w:line="128" w:lineRule="exact"/>
              <w:rPr>
                <w:sz w:val="20"/>
                <w:szCs w:val="20"/>
                <w:color w:val="auto"/>
              </w:rPr>
            </w:pPr>
            <w:r>
              <w:rPr>
                <w:rFonts w:ascii="Arial" w:cs="Arial" w:eastAsia="Arial" w:hAnsi="Arial"/>
                <w:sz w:val="13"/>
                <w:szCs w:val="13"/>
                <w:color w:val="auto"/>
              </w:rPr>
              <w:t>BALANCE,</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w w:val="93"/>
              </w:rPr>
              <w:t>35,861</w:t>
            </w:r>
          </w:p>
        </w:tc>
        <w:tc>
          <w:tcPr>
            <w:tcW w:w="10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w w:val="95"/>
              </w:rPr>
              <w:t>$383,020</w:t>
            </w:r>
          </w:p>
        </w:tc>
        <w:tc>
          <w:tcPr>
            <w:tcW w:w="100" w:type="dxa"/>
            <w:vAlign w:val="bottom"/>
          </w:tcPr>
          <w:p>
            <w:pPr>
              <w:spacing w:after="0"/>
              <w:rPr>
                <w:sz w:val="11"/>
                <w:szCs w:val="11"/>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8"/>
              <w:spacing w:after="0"/>
              <w:rPr>
                <w:sz w:val="20"/>
                <w:szCs w:val="20"/>
                <w:color w:val="auto"/>
              </w:rPr>
            </w:pPr>
            <w:r>
              <w:rPr>
                <w:rFonts w:ascii="Arial" w:cs="Arial" w:eastAsia="Arial" w:hAnsi="Arial"/>
                <w:sz w:val="14"/>
                <w:szCs w:val="14"/>
                <w:color w:val="auto"/>
              </w:rPr>
              <w:t>397</w:t>
            </w:r>
          </w:p>
        </w:tc>
        <w:tc>
          <w:tcPr>
            <w:tcW w:w="30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(360,877)</w:t>
            </w:r>
          </w:p>
        </w:tc>
        <w:tc>
          <w:tcPr>
            <w:tcW w:w="10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22,540</w:t>
            </w:r>
          </w:p>
        </w:tc>
        <w:tc>
          <w:tcPr>
            <w:tcW w:w="0" w:type="dxa"/>
            <w:vAlign w:val="bottom"/>
          </w:tcPr>
          <w:p>
            <w:pPr>
              <w:spacing w:after="0"/>
              <w:rPr>
                <w:sz w:val="1"/>
                <w:szCs w:val="1"/>
                <w:color w:val="auto"/>
              </w:rPr>
            </w:pPr>
          </w:p>
        </w:tc>
      </w:tr>
      <w:tr>
        <w:trPr>
          <w:trHeight w:val="202"/>
        </w:trPr>
        <w:tc>
          <w:tcPr>
            <w:tcW w:w="1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DECEMBER 31, 2017</w:t>
            </w:r>
          </w:p>
        </w:tc>
        <w:tc>
          <w:tcPr>
            <w:tcW w:w="54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gridSpan w:val="2"/>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(8,137)</w:t>
            </w:r>
          </w:p>
        </w:tc>
        <w:tc>
          <w:tcPr>
            <w:tcW w:w="0" w:type="dxa"/>
            <w:vAlign w:val="bottom"/>
          </w:tcPr>
          <w:p>
            <w:pPr>
              <w:spacing w:after="0"/>
              <w:rPr>
                <w:sz w:val="1"/>
                <w:szCs w:val="1"/>
                <w:color w:val="auto"/>
              </w:rPr>
            </w:pPr>
          </w:p>
        </w:tc>
      </w:tr>
      <w:tr>
        <w:trPr>
          <w:trHeight w:val="148"/>
        </w:trPr>
        <w:tc>
          <w:tcPr>
            <w:tcW w:w="1400" w:type="dxa"/>
            <w:vAlign w:val="bottom"/>
          </w:tcPr>
          <w:p>
            <w:pPr>
              <w:ind w:left="20"/>
              <w:spacing w:after="0" w:line="148" w:lineRule="exact"/>
              <w:rPr>
                <w:sz w:val="20"/>
                <w:szCs w:val="20"/>
                <w:color w:val="auto"/>
              </w:rPr>
            </w:pPr>
            <w:r>
              <w:rPr>
                <w:rFonts w:ascii="Arial" w:cs="Arial" w:eastAsia="Arial" w:hAnsi="Arial"/>
                <w:sz w:val="13"/>
                <w:szCs w:val="13"/>
                <w:color w:val="auto"/>
                <w:w w:val="99"/>
              </w:rPr>
              <w:t>Compensation expense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20"/>
              <w:spacing w:after="0" w:line="135" w:lineRule="exact"/>
              <w:rPr>
                <w:sz w:val="20"/>
                <w:szCs w:val="20"/>
                <w:color w:val="auto"/>
              </w:rPr>
            </w:pPr>
            <w:r>
              <w:rPr>
                <w:rFonts w:ascii="Arial" w:cs="Arial" w:eastAsia="Arial" w:hAnsi="Arial"/>
                <w:sz w:val="13"/>
                <w:szCs w:val="13"/>
                <w:color w:val="auto"/>
              </w:rPr>
              <w:t>related to stock options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20"/>
              <w:spacing w:after="0" w:line="135" w:lineRule="exact"/>
              <w:rPr>
                <w:sz w:val="20"/>
                <w:szCs w:val="20"/>
                <w:color w:val="auto"/>
              </w:rPr>
            </w:pPr>
            <w:r>
              <w:rPr>
                <w:rFonts w:ascii="Arial" w:cs="Arial" w:eastAsia="Arial" w:hAnsi="Arial"/>
                <w:sz w:val="13"/>
                <w:szCs w:val="13"/>
                <w:color w:val="auto"/>
              </w:rPr>
              <w:t>granted, net of</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7,223</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7,223</w:t>
            </w:r>
          </w:p>
        </w:tc>
        <w:tc>
          <w:tcPr>
            <w:tcW w:w="0" w:type="dxa"/>
            <w:vAlign w:val="bottom"/>
          </w:tcPr>
          <w:p>
            <w:pPr>
              <w:spacing w:after="0"/>
              <w:rPr>
                <w:sz w:val="1"/>
                <w:szCs w:val="1"/>
                <w:color w:val="auto"/>
              </w:rPr>
            </w:pPr>
          </w:p>
        </w:tc>
      </w:tr>
      <w:tr>
        <w:trPr>
          <w:trHeight w:val="170"/>
        </w:trPr>
        <w:tc>
          <w:tcPr>
            <w:tcW w:w="1400" w:type="dxa"/>
            <w:vAlign w:val="bottom"/>
          </w:tcPr>
          <w:p>
            <w:pPr>
              <w:ind w:left="20"/>
              <w:spacing w:after="0"/>
              <w:rPr>
                <w:sz w:val="20"/>
                <w:szCs w:val="20"/>
                <w:color w:val="auto"/>
              </w:rPr>
            </w:pPr>
            <w:r>
              <w:rPr>
                <w:rFonts w:ascii="Arial" w:cs="Arial" w:eastAsia="Arial" w:hAnsi="Arial"/>
                <w:sz w:val="13"/>
                <w:szCs w:val="13"/>
                <w:color w:val="auto"/>
              </w:rPr>
              <w:t>forfeitures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net of issuance</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5,750</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70,028</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70,028</w:t>
            </w:r>
          </w:p>
        </w:tc>
        <w:tc>
          <w:tcPr>
            <w:tcW w:w="0" w:type="dxa"/>
            <w:vAlign w:val="bottom"/>
          </w:tcPr>
          <w:p>
            <w:pPr>
              <w:spacing w:after="0"/>
              <w:rPr>
                <w:sz w:val="1"/>
                <w:szCs w:val="1"/>
                <w:color w:val="auto"/>
              </w:rPr>
            </w:pPr>
          </w:p>
        </w:tc>
      </w:tr>
      <w:tr>
        <w:trPr>
          <w:trHeight w:val="176"/>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of $4.7 (Note 9)</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tcPr>
          <w:p>
            <w:pPr>
              <w:ind w:left="20"/>
              <w:spacing w:after="0"/>
              <w:rPr>
                <w:sz w:val="20"/>
                <w:szCs w:val="20"/>
                <w:color w:val="auto"/>
              </w:rPr>
            </w:pPr>
            <w:r>
              <w:rPr>
                <w:rFonts w:ascii="Arial" w:cs="Arial" w:eastAsia="Arial" w:hAnsi="Arial"/>
                <w:sz w:val="13"/>
                <w:szCs w:val="13"/>
                <w:color w:val="auto"/>
              </w:rPr>
              <w:t>Stock option exercises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1,180</w:t>
            </w:r>
          </w:p>
        </w:tc>
        <w:tc>
          <w:tcPr>
            <w:tcW w:w="10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3,705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3,705</w:t>
            </w:r>
          </w:p>
        </w:tc>
        <w:tc>
          <w:tcPr>
            <w:tcW w:w="0" w:type="dxa"/>
            <w:vAlign w:val="bottom"/>
          </w:tcPr>
          <w:p>
            <w:pPr>
              <w:spacing w:after="0"/>
              <w:rPr>
                <w:sz w:val="1"/>
                <w:szCs w:val="1"/>
                <w:color w:val="auto"/>
              </w:rPr>
            </w:pPr>
          </w:p>
        </w:tc>
      </w:tr>
      <w:tr>
        <w:trPr>
          <w:trHeight w:val="154"/>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Shares issued under the</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76"/>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Plan</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0"/>
              <w:spacing w:after="0" w:line="148" w:lineRule="exact"/>
              <w:rPr>
                <w:sz w:val="20"/>
                <w:szCs w:val="20"/>
                <w:color w:val="auto"/>
              </w:rPr>
            </w:pPr>
            <w:r>
              <w:rPr>
                <w:rFonts w:ascii="Arial" w:cs="Arial" w:eastAsia="Arial" w:hAnsi="Arial"/>
                <w:sz w:val="13"/>
                <w:szCs w:val="13"/>
                <w:color w:val="auto"/>
              </w:rPr>
              <w:t>Exercise of warrants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20"/>
              <w:spacing w:after="0" w:line="135" w:lineRule="exact"/>
              <w:rPr>
                <w:sz w:val="20"/>
                <w:szCs w:val="20"/>
                <w:color w:val="auto"/>
              </w:rPr>
            </w:pPr>
            <w:r>
              <w:rPr>
                <w:rFonts w:ascii="Arial" w:cs="Arial" w:eastAsia="Arial" w:hAnsi="Arial"/>
                <w:sz w:val="13"/>
                <w:szCs w:val="13"/>
                <w:color w:val="auto"/>
                <w:w w:val="97"/>
              </w:rPr>
              <w:t>resulting in the issuance</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20"/>
              <w:spacing w:after="0" w:line="135" w:lineRule="exact"/>
              <w:rPr>
                <w:sz w:val="20"/>
                <w:szCs w:val="20"/>
                <w:color w:val="auto"/>
              </w:rPr>
            </w:pPr>
            <w:r>
              <w:rPr>
                <w:rFonts w:ascii="Arial" w:cs="Arial" w:eastAsia="Arial" w:hAnsi="Arial"/>
                <w:sz w:val="13"/>
                <w:szCs w:val="13"/>
                <w:color w:val="auto"/>
              </w:rPr>
              <w:t>of common stock (Note</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6,548</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(293)</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6,255</w:t>
            </w:r>
          </w:p>
        </w:tc>
        <w:tc>
          <w:tcPr>
            <w:tcW w:w="0" w:type="dxa"/>
            <w:vAlign w:val="bottom"/>
          </w:tcPr>
          <w:p>
            <w:pPr>
              <w:spacing w:after="0"/>
              <w:rPr>
                <w:sz w:val="1"/>
                <w:szCs w:val="1"/>
                <w:color w:val="auto"/>
              </w:rPr>
            </w:pPr>
          </w:p>
        </w:tc>
      </w:tr>
      <w:tr>
        <w:trPr>
          <w:trHeight w:val="170"/>
        </w:trPr>
        <w:tc>
          <w:tcPr>
            <w:tcW w:w="1400" w:type="dxa"/>
            <w:vAlign w:val="bottom"/>
          </w:tcPr>
          <w:p>
            <w:pPr>
              <w:ind w:left="20"/>
              <w:spacing w:after="0"/>
              <w:rPr>
                <w:sz w:val="20"/>
                <w:szCs w:val="20"/>
                <w:color w:val="auto"/>
              </w:rPr>
            </w:pPr>
            <w:r>
              <w:rPr>
                <w:rFonts w:ascii="Arial" w:cs="Arial" w:eastAsia="Arial" w:hAnsi="Arial"/>
                <w:sz w:val="13"/>
                <w:szCs w:val="13"/>
                <w:color w:val="auto"/>
              </w:rPr>
              <w:t>12)</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change in</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unrealized loss on</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6"/>
        </w:trPr>
        <w:tc>
          <w:tcPr>
            <w:tcW w:w="1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investments</w:t>
            </w: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400" w:type="dxa"/>
            <w:vAlign w:val="bottom"/>
          </w:tcPr>
          <w:p>
            <w:pPr>
              <w:ind w:left="20"/>
              <w:spacing w:after="0" w:line="128" w:lineRule="exact"/>
              <w:rPr>
                <w:sz w:val="20"/>
                <w:szCs w:val="20"/>
                <w:color w:val="auto"/>
              </w:rPr>
            </w:pPr>
            <w:r>
              <w:rPr>
                <w:rFonts w:ascii="Arial" w:cs="Arial" w:eastAsia="Arial" w:hAnsi="Arial"/>
                <w:sz w:val="13"/>
                <w:szCs w:val="13"/>
                <w:color w:val="auto"/>
              </w:rPr>
              <w:t>BALANCE,</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w w:val="93"/>
              </w:rPr>
              <w:t>43,578</w:t>
            </w:r>
          </w:p>
        </w:tc>
        <w:tc>
          <w:tcPr>
            <w:tcW w:w="10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w w:val="95"/>
              </w:rPr>
              <w:t>$471,180</w:t>
            </w:r>
          </w:p>
        </w:tc>
        <w:tc>
          <w:tcPr>
            <w:tcW w:w="100" w:type="dxa"/>
            <w:vAlign w:val="bottom"/>
          </w:tcPr>
          <w:p>
            <w:pPr>
              <w:spacing w:after="0"/>
              <w:rPr>
                <w:sz w:val="11"/>
                <w:szCs w:val="11"/>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8"/>
              <w:spacing w:after="0"/>
              <w:rPr>
                <w:sz w:val="20"/>
                <w:szCs w:val="20"/>
                <w:color w:val="auto"/>
              </w:rPr>
            </w:pPr>
            <w:r>
              <w:rPr>
                <w:rFonts w:ascii="Arial" w:cs="Arial" w:eastAsia="Arial" w:hAnsi="Arial"/>
                <w:sz w:val="14"/>
                <w:szCs w:val="14"/>
                <w:color w:val="auto"/>
              </w:rPr>
              <w:t>104</w:t>
            </w:r>
          </w:p>
        </w:tc>
        <w:tc>
          <w:tcPr>
            <w:tcW w:w="30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(369,014)</w:t>
            </w:r>
          </w:p>
        </w:tc>
        <w:tc>
          <w:tcPr>
            <w:tcW w:w="10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102,231</w:t>
            </w: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rPr>
                <w:sz w:val="20"/>
                <w:szCs w:val="20"/>
                <w:color w:val="auto"/>
              </w:rPr>
            </w:pPr>
            <w:r>
              <w:rPr>
                <w:rFonts w:ascii="Arial" w:cs="Arial" w:eastAsia="Arial" w:hAnsi="Arial"/>
                <w:sz w:val="13"/>
                <w:szCs w:val="13"/>
                <w:color w:val="auto"/>
              </w:rPr>
              <w:t>DECEMBER 31, 2018</w:t>
            </w:r>
          </w:p>
        </w:tc>
        <w:tc>
          <w:tcPr>
            <w:tcW w:w="5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9019"/>
          </w:cols>
          <w:pgMar w:left="1440" w:top="580" w:right="1440"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3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(8,137)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(17,286)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(19,566)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1,886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intangible asset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2,638</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2,499</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warrants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Gain (loss) on sale of fixed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premiums and discounts on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r>
      <w:tr>
        <w:trPr>
          <w:trHeight w:val="243"/>
        </w:trPr>
        <w:tc>
          <w:tcPr>
            <w:tcW w:w="6760" w:type="dxa"/>
            <w:vAlign w:val="bottom"/>
          </w:tcPr>
          <w:p>
            <w:pPr>
              <w:ind w:left="600"/>
              <w:spacing w:after="0"/>
              <w:rPr>
                <w:sz w:val="20"/>
                <w:szCs w:val="20"/>
                <w:color w:val="auto"/>
              </w:rPr>
            </w:pPr>
            <w:r>
              <w:rPr>
                <w:rFonts w:ascii="Arial" w:cs="Arial" w:eastAsia="Arial" w:hAnsi="Arial"/>
                <w:sz w:val="18"/>
                <w:szCs w:val="18"/>
                <w:color w:val="auto"/>
              </w:rPr>
              <w:t>Deferred rent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1,568</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(6,174)</w:t>
            </w:r>
          </w:p>
        </w:tc>
      </w:tr>
      <w:tr>
        <w:trPr>
          <w:trHeight w:val="243"/>
        </w:trPr>
        <w:tc>
          <w:tcPr>
            <w:tcW w:w="6760" w:type="dxa"/>
            <w:vAlign w:val="bottom"/>
          </w:tcPr>
          <w:p>
            <w:pPr>
              <w:ind w:left="60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43"/>
        </w:trPr>
        <w:tc>
          <w:tcPr>
            <w:tcW w:w="6760" w:type="dxa"/>
            <w:vAlign w:val="bottom"/>
          </w:tcPr>
          <w:p>
            <w:pPr>
              <w:ind w:left="60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non-current assets and liabilities,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r>
      <w:tr>
        <w:trPr>
          <w:trHeight w:val="237"/>
        </w:trPr>
        <w:tc>
          <w:tcPr>
            <w:tcW w:w="6760" w:type="dxa"/>
            <w:vAlign w:val="bottom"/>
          </w:tcPr>
          <w:p>
            <w:pPr>
              <w:ind w:left="720"/>
              <w:spacing w:after="0"/>
              <w:rPr>
                <w:sz w:val="20"/>
                <w:szCs w:val="20"/>
                <w:color w:val="auto"/>
              </w:rPr>
            </w:pPr>
            <w:r>
              <w:rPr>
                <w:rFonts w:ascii="Arial" w:cs="Arial" w:eastAsia="Arial" w:hAnsi="Arial"/>
                <w:sz w:val="18"/>
                <w:szCs w:val="18"/>
                <w:color w:val="auto"/>
              </w:rPr>
              <w:t>Net cash used for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(19,892)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Purchases of short term investments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(66,549)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maturities of short 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(1,415)</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equity offering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19,455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exercise of warrants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under revolving and term loan credit agreements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12,710</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Warrants issued in connection with debt arrangement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term loan credit agreement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Payments on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Fee on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6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58,863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29,704</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Cash at 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26,862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22,978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14,581</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at end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18,286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26,862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22,978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580" w:right="2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70" w:lineRule="exact"/>
        <w:rPr>
          <w:sz w:val="20"/>
          <w:szCs w:val="20"/>
          <w:color w:val="auto"/>
        </w:rPr>
      </w:pPr>
    </w:p>
    <w:p>
      <w:pPr>
        <w:jc w:val="both"/>
        <w:ind w:firstLine="243"/>
        <w:spacing w:after="0" w:line="234" w:lineRule="auto"/>
        <w:rPr>
          <w:sz w:val="20"/>
          <w:szCs w:val="20"/>
          <w:color w:val="auto"/>
        </w:rPr>
      </w:pPr>
      <w:r>
        <w:rPr>
          <w:rFonts w:ascii="Arial" w:cs="Arial" w:eastAsia="Arial" w:hAnsi="Arial"/>
          <w:sz w:val="17"/>
          <w:szCs w:val="17"/>
          <w:color w:val="auto"/>
        </w:rPr>
        <w:t xml:space="preserve">Vericel Corporation, a Michigan corporation (together with its consolidated subsidiaries referred to herein as the Company, Vericel, we, us or our), was incorporated in March 1989 and began employee-based operations in 1991. On May 30, 2014, Vericel completed the acquisition of certain assets and assumed certain liabilities of Sanofi, a French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(Sanofi), including all of the outstanding equity interests of Genzyme Biosurgery ApS (Genzyme Denmark or the Danish subsidiary) (now known as Vericel Denmark ApS), a wholly-owned subsidiary of Sanofi, and a portfolio of patents and patent applications of Sanofi and certain of its subsidiaries for purposes of acquiring the portion of the cell therapy and regenerative medicine business (the CTRM Business), related to the MACI</w:t>
      </w:r>
      <w:r>
        <w:rPr>
          <w:rFonts w:ascii="Arial" w:cs="Arial" w:eastAsia="Arial" w:hAnsi="Arial"/>
          <w:sz w:val="24"/>
          <w:szCs w:val="24"/>
          <w:color w:val="auto"/>
          <w:vertAlign w:val="superscript"/>
        </w:rPr>
        <w:t>®</w:t>
      </w:r>
      <w:r>
        <w:rPr>
          <w:rFonts w:ascii="Arial" w:cs="Arial" w:eastAsia="Arial" w:hAnsi="Arial"/>
          <w:sz w:val="17"/>
          <w:szCs w:val="17"/>
          <w:color w:val="auto"/>
        </w:rPr>
        <w:t>, Carticel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The Company is a fully integrated, commercial-stage biopharmaceutical company and currently markets MACI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the U.S. The Company is a leader in advanced cell therapies for the sports medicine and severe burn care markets. MACI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that was approved by the FDA on December 13, 2016. The first shipment and implantation of MACI occurred on January 31, 2017. At the end of the second quarter of 2017, the Company removed Carticel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an earlier generation ACI product, from the market. The Company also markets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(cultured epidermal autografts), a permanent skin replacement Humanitarian Use Device (HUD) for the treatment of adult and pediatric patients with deep-dermal or full-thickness burns comprising greater than or equal to 30 percent of total body surface area (TBSA). The Company operates its business primarily in the U.S. in 1 reportable segment — the research, product development, manufacture and distribution of cellular therapies for use in the treatment of specific diseases.</w:t>
      </w:r>
    </w:p>
    <w:p>
      <w:pPr>
        <w:spacing w:after="0" w:line="20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222222"/>
        </w:rPr>
        <w:t xml:space="preserve">The accompanying consolidated financial statements have been prepared on a basis which assumes that the Company will continue as a going concern and contemplates the realization of assets and satisfaction of liabilities and commitments in the normal course of business. As of December 31, 2018, the Company has an accumulated deficit of $369.0 million and had a net loss of $8.1 million during 2018. The Company had cash and cash equivalents of $18.3 million and short term investments of $64.6 million as of December 31, 2018. On December 19, 2018, the Company terminated and prepaid in full all outstanding indebtedness under the Loan and Security Agreement dated as of September 9, 2016 as amended, by and between the Company, Silicon Valley Bank as Agent and Silicon Valley Bank, MidCap Financial Trust, MidCap Funding III Trust (SVB and MidCap) and other lenders listed therein as lenders (SVB Loan Agreement). The Company expects that existing cash, cash equivalents and short term investments will be sufficient to support the Company's </w:t>
      </w:r>
      <w:r>
        <w:rPr>
          <w:rFonts w:ascii="Arial" w:cs="Arial" w:eastAsia="Arial" w:hAnsi="Arial"/>
          <w:sz w:val="18"/>
          <w:szCs w:val="18"/>
          <w:color w:val="000000"/>
        </w:rPr>
        <w:t xml:space="preserve">current operations through at least February 2020. </w:t>
      </w:r>
      <w:r>
        <w:rPr>
          <w:rFonts w:ascii="Arial" w:cs="Arial" w:eastAsia="Arial" w:hAnsi="Arial"/>
          <w:sz w:val="18"/>
          <w:szCs w:val="18"/>
          <w:color w:val="222222"/>
        </w:rPr>
        <w:t>The Company may seek additional funding through debt or equity financings. However, the Company may</w:t>
      </w:r>
      <w:r>
        <w:rPr>
          <w:rFonts w:ascii="Arial" w:cs="Arial" w:eastAsia="Arial" w:hAnsi="Arial"/>
          <w:sz w:val="18"/>
          <w:szCs w:val="18"/>
          <w:color w:val="000000"/>
        </w:rPr>
        <w:t xml:space="preserve"> </w:t>
      </w:r>
      <w:r>
        <w:rPr>
          <w:rFonts w:ascii="Arial" w:cs="Arial" w:eastAsia="Arial" w:hAnsi="Arial"/>
          <w:sz w:val="18"/>
          <w:szCs w:val="18"/>
          <w:color w:val="222222"/>
        </w:rPr>
        <w:t>not be able to obtain financing on acceptable terms or at all. The terms of any financing may adversely affect the holdings or the rights of the Company's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consolidated financial statements include the accounts of Vericel and its wholly-owned subsidiaries, Marrow Donation, LLC, located in San Diego, California, Vericel Denmark ApS, in Kastrup, Demark and Vericel Security Corporation (collectively, the Company). All inter-company transactions and accounts have been eliminated in consolidation. Marrow Donation, LLC and Vericel Denmark ApS ceased operations in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expenses during the reported period. Actual results could differ from those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 of 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supplementary cash flows information for the years ended December 31, 2018, 2017, and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0"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264"/>
        </w:trPr>
        <w:tc>
          <w:tcPr>
            <w:tcW w:w="62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i w:val="1"/>
                <w:iCs w:val="1"/>
                <w:color w:val="auto"/>
              </w:rPr>
              <w:t>(In thousands)</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Supplementary Cash Flows information:</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Non-cash information:</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liabilities settled in common stock</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Additions to equipment in process included in 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exchanged between common and preferred stock</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Cash information:</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 (net of interest capitalized)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Income tax withholding paid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33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Cash equivalents consist of short-term, highly liquid investments with original maturities of three months or less from the date of purchase and consist primarily of demand deposits, money market funds, overnight repurchase agreements and short duration agency bonds and commercial paper.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3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Short-term investments consist of debt securities classified as available-for-sale and have maturities greater than 90 days, but less than one year as of the balance sheet date. All investments are carried at fair value based upon quoted market prices. Unrealized gains and losses on available-for-sale securities are excluded from earnings and are reported as a component of accumulated other comprehensive loss. The cost of available-for-sale securities sold is based on the specific-identification method. Realized gains and losses are included in earnings, and are derived for specific-identification method for determining the costs of investments sold. If a decline in the fair value is considered other-than-temporary, based on available evidence, the unrealized loss is reclassified from accumulated other comprehensive income (loss) to the statements of operations. Realized gains and losses are determined on the specific identification method and are included in investment and other income, net.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Inventories are measured at the lower of cost and net realizable value. Cost is calculated based upon standard-cost which approximates costs determined on the first-in, first-out method. The Company periodically reviews its inventories for excess or obsolescence and write-down obsolete or other unmarketable inventory to its estimated net realizable value. If the actual net realizable value is less than that estimated by us, or if it is determined that inventory utilization will further diminish based on estimates of demand, additional inventory write-downs may be required. In all cases, product inventory is carried at the lower of cost or its estimated net realizable value. Amounts written down are charged to cost of sales.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Accounts receivable are initially recorded at the contractual amount owed by the customer or based on expected payments from the insurance provider, hospital or patient. Allowances for doubtful accounts are established when the facts and circumstances indicate that a receivable may not be collectible.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Property, plant and equipment are initially measured and recognized at acquisition cost, including any directly attributable cost of preparing the asset for its intended use or, in the case of assets acquired in a business combination, at fair value as at the date of the combination. After initial measurement, property, plant and equipment are carried at cost less accumulated depreciation and impairment. Repair and maintenance costs of property, plant and equipment are expensed as incurred.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depreciable value of property, plant and equipment, net of any residual value, is depreciated on a straight line basis over the useful life of the asset.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useful life of an asset is usually equivalent to its economic life. The useful lives of property, plant and equipment are as follows:</w:t>
      </w:r>
    </w:p>
    <w:p>
      <w:pPr>
        <w:spacing w:after="0" w:line="238" w:lineRule="exact"/>
        <w:rPr>
          <w:sz w:val="20"/>
          <w:szCs w:val="20"/>
          <w:color w:val="auto"/>
        </w:rPr>
      </w:pPr>
    </w:p>
    <w:p>
      <w:pPr>
        <w:ind w:left="1360" w:hanging="380"/>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Equipment and computers: 3 to 5 years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Furniture and fixtures: 5 years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Building improvements and leasehold improvements: Shorter of the remaining life of the lease or 10 years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806" w:right="239" w:bottom="1440" w:gutter="0" w:footer="0" w:header="0"/>
        </w:sectPr>
      </w:pPr>
    </w:p>
    <w:bookmarkStart w:id="65" w:name="page66"/>
    <w:bookmarkEnd w:id="65"/>
    <w:p>
      <w:pPr>
        <w:jc w:val="both"/>
        <w:ind w:right="20" w:firstLine="243"/>
        <w:spacing w:after="0" w:line="277" w:lineRule="auto"/>
        <w:rPr>
          <w:sz w:val="20"/>
          <w:szCs w:val="20"/>
          <w:color w:val="auto"/>
        </w:rPr>
      </w:pPr>
      <w:r>
        <w:rPr>
          <w:rFonts w:ascii="Arial" w:cs="Arial" w:eastAsia="Arial" w:hAnsi="Arial"/>
          <w:sz w:val="18"/>
          <w:szCs w:val="18"/>
          <w:color w:val="auto"/>
        </w:rPr>
        <w:t>The costs of assets retired or otherwise disposed of and the accumulated depreciation thereon are removed from the accounts, with any gain or loss realized upon sale or disposal credited or charged to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and Other Long Lived Assets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Intangible assets are initially measured at acquisition cost, including any directly attributable costs of preparing the asset for its intended use or, in the case of assets acquired in a business combination at fair value as at the date of the combination. Identifiable intangible assets related to commercial rights are amortized on a straight line basis over their expected useful lives. Amortization of intangible assets is recognized in these financial statements under Cost of product sales.</w:t>
      </w:r>
    </w:p>
    <w:p>
      <w:pPr>
        <w:spacing w:after="0" w:line="187"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Intangible assets and long-lived assets are assessed for potential impairment when there is evidence that events or changes in circumstances indicate that the carrying amount of an asset may not be recovered. An impairment loss would be recognized when an asset’s fair value, determined based on undiscounted cash flows expected to be generated by the asset, is less than its carrying amount. The impairment loss would be measured as the amount by which the asset’s carrying value exceeds its fair value and recognized in these financial statements. Intangible assets are carried at cost less accumulated amortization and impairment. Upon the approval of MACI in December 2016 and the replacement of Carticel with MACI, it was determined that the Carticel commercial rights intangible asset was fully impaired as of December 31, 2016 resulting in a loss on intangible asset impairment of $2.6 million. The value of the intangible assets was determined using the income approach based on projected cash flows attributed to the commercial rights.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Net Product Sales</w:t>
      </w:r>
    </w:p>
    <w:p>
      <w:pPr>
        <w:spacing w:after="0" w:line="17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The new revenue standard became effective for the Company on January 1, 2018, and was adopted using the modified retrospective method. Based on the Company's evaluation of all of its product revenue contracts under the new revenue standard there was no cumulative adjustment recorded in the financial statements upon adoption of Accounting Standards Codification 606,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606) on January 1, 2018. For the year ended December 31, 2018, the timing and amount of revenue recognized under ASC 606 is not materially different from that under the previous guidance.</w:t>
      </w:r>
    </w:p>
    <w:p>
      <w:pPr>
        <w:spacing w:after="0" w:line="26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Company recognizes product revenue from sales to a customer (distributor or hospital) following the five step model in ASC 606: (i) identify contract(s) with a customer; (ii) identify the performance obligations in the contract; (iii) determine the transaction price; (iv) allocate the transaction price to the performance obligations in the contract; and (v) recognize revenues when (or as) the Company satisfies the performance obligation. Under this revenue standard, the Company recognizes revenue when its customer obtains control of the promised goods, in an amount that reflects the consideration which the Company expects to receive in exchange for those goods. There are no contractual rights of returns, refunds or similar obligations related to MACI, kits, or Epicel as of December 31, 2018; however, in certain limited cases the Company will accept a product return if a surgery is canceled. Revenue is not recognized in these cases, and historically such amounts have been insignificant.</w:t>
      </w:r>
    </w:p>
    <w:p>
      <w:pPr>
        <w:spacing w:after="0" w:line="28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Currently, for MACI, MACI kits and Epicel there are no variable pricing arrangements related to warranties or rebates offered to customers. The majority of orders are due within 60 days of delivery. Shipping and handling fees are included as a component of revenue. The Company recognizes any commission fees as an expense when incurred. These fees are included in selling, general, and administrative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Research and development activities represent a significant part of the Company’s business. These expenditures relate to the development of new products, improvement of existing products, technical support of products and compliance with governmental regulations for the protection of consumers and patients. Research and development expenses are expensed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Company’s accounting for stock-based compensation requires it to determine the fair value of common stock issued in the form of stock option awards. The Company uses the value of its common stock at the date of the grant in the calculation of the fair value of its share-based awards. The fair value of stock options held by the employees is determined using a Black-Scholes option valuation method, which is a valuation technique that is acceptable for share-based payment accounting. Key assumptions in determining fair value include volatility, risk-free interest rate, dividend yield and expected term. The assumptions used in calculating the fair value of stock options represent the Company’s best estimates; however, these estimates involve inherent uncertainties and the application of management judgment. As a result, if factors change and different assumptions are used, the stock-based compensation expense could be materially different in the future. In addition, the Company estimates the expected forfeiture rate and only recognize expense for those stock options expected to vest over the service period. The estimated forfeiture rate considers the historical experience of the Company’s stock-based awards. If the actual forfeiture rate is different from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66" w:name="page67"/>
    <w:bookmarkEnd w:id="66"/>
    <w:p>
      <w:pPr>
        <w:jc w:val="both"/>
        <w:spacing w:after="0" w:line="286" w:lineRule="auto"/>
        <w:rPr>
          <w:sz w:val="20"/>
          <w:szCs w:val="20"/>
          <w:color w:val="auto"/>
        </w:rPr>
      </w:pPr>
      <w:r>
        <w:rPr>
          <w:rFonts w:ascii="Arial" w:cs="Arial" w:eastAsia="Arial" w:hAnsi="Arial"/>
          <w:sz w:val="17"/>
          <w:szCs w:val="17"/>
          <w:color w:val="auto"/>
        </w:rPr>
        <w:t>estimate, expense is adjusted accordingly. For certain non-employee consultants, stock option awards continue to vest post-termination. The guidance for non-employee stock compensation accounting for equity-classified awards was updated, and these awards are now subject to fixed grant date fair value principles which eliminates the variable mark-to-market accounting. The options were valued as of the adoption date July 1, 2018.</w:t>
      </w:r>
    </w:p>
    <w:p>
      <w:pPr>
        <w:spacing w:after="0" w:line="166"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Company also has an Employee Stock Purchase Plan (ESPP) which is a compensatory plan. Compensation expense is recorded based on the fair value of the purchase options at the grant date, which corresponds to the first day of each purchase period, and is amortized over the purchase period.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17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Comprehensive loss is the change in stockholders’ equity during a period arising from any gain or loss unrealized related to the Company's investments in short-term investments.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Deferred tax assets are recognized for deductible temporary differences and tax credit carryforwards and deferred tax liabilities are recognized for taxable temporary differences. Deferred tax assets are reduced by a valuation allowance when, in the opinion of management, it is more likely than not that some portion or all of the deferred tax assets will not be realized.</w:t>
      </w:r>
    </w:p>
    <w:p>
      <w:pPr>
        <w:spacing w:after="0" w:line="181" w:lineRule="exact"/>
        <w:rPr>
          <w:sz w:val="20"/>
          <w:szCs w:val="20"/>
          <w:color w:val="auto"/>
        </w:rPr>
      </w:pPr>
    </w:p>
    <w:p>
      <w:pPr>
        <w:ind w:right="200" w:firstLine="243"/>
        <w:spacing w:after="0" w:line="342" w:lineRule="auto"/>
        <w:rPr>
          <w:sz w:val="20"/>
          <w:szCs w:val="20"/>
          <w:color w:val="auto"/>
        </w:rPr>
      </w:pPr>
      <w:r>
        <w:rPr>
          <w:rFonts w:ascii="Arial" w:cs="Arial" w:eastAsia="Arial" w:hAnsi="Arial"/>
          <w:sz w:val="16"/>
          <w:szCs w:val="16"/>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 Attributable to Common Shareholders</w:t>
      </w:r>
    </w:p>
    <w:p>
      <w:pPr>
        <w:spacing w:after="0" w:line="225" w:lineRule="exact"/>
        <w:rPr>
          <w:sz w:val="20"/>
          <w:szCs w:val="20"/>
          <w:color w:val="auto"/>
        </w:rPr>
      </w:pPr>
    </w:p>
    <w:p>
      <w:pPr>
        <w:jc w:val="both"/>
        <w:ind w:firstLine="297"/>
        <w:spacing w:after="0" w:line="291" w:lineRule="auto"/>
        <w:rPr>
          <w:sz w:val="20"/>
          <w:szCs w:val="20"/>
          <w:color w:val="auto"/>
        </w:rPr>
      </w:pPr>
      <w:r>
        <w:rPr>
          <w:rFonts w:ascii="Arial" w:cs="Arial" w:eastAsia="Arial" w:hAnsi="Arial"/>
          <w:sz w:val="16"/>
          <w:szCs w:val="16"/>
          <w:color w:val="auto"/>
        </w:rPr>
        <w:t>Basic and diluted earnings (loss) per share is calculated using the two-class method. Basic earnings (loss) per share which is based on an earnings allocation formula that determines earnings (loss) per share for the holders of the Company’s common shares and holders of the Series B preferred stock. The Series B preferred stock shares contain participation rights in undistributed earnings, but do not share in the losses of the Company. The accumulated but undeclared dividends on the Series B preferred stock of $7.6 million for the year ended December 31, 2016 is treated as a reduction of earnings attributable to common shareholders. There were no undeclared dividends for the year ended December 31, 2018 or 2017. Diluted earnings (loss) per share includes convertible securities or common equivalent share (stock options and warrants) in addition to the Company's common shares. Common equivalent shares and treasury stock are not included in the diluted per share calculation where the effect of their inclusion would be anti-dilutive.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jc w:val="both"/>
        <w:ind w:firstLine="297"/>
        <w:spacing w:after="0" w:line="277" w:lineRule="auto"/>
        <w:rPr>
          <w:sz w:val="20"/>
          <w:szCs w:val="20"/>
          <w:color w:val="auto"/>
        </w:rPr>
      </w:pPr>
      <w:r>
        <w:rPr>
          <w:rFonts w:ascii="Arial" w:cs="Arial" w:eastAsia="Arial" w:hAnsi="Arial"/>
          <w:sz w:val="18"/>
          <w:szCs w:val="18"/>
          <w:color w:val="auto"/>
        </w:rPr>
        <w:t>The Company’s financial instruments include receivables for which the current carrying amounts approximate market value based upon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Warrants that could be cash settled or have anti-dilution price protection provisions are recorded as liabilities at their estimated fair value at the date of issuance, with subsequent changes in estimated fair value recorded in other income (expense) in our statement of operations in each subsequent period. Warrants that meet the requirements for equity classification are recorded at fair value with no subsequent remeasurement. In general, warrants are measured using the Black-Scholes valuation model. The methodology is based, in part, upon inputs for which there is little or no observable market data, requiring the Company to develop its own assumptions. The assumptions used in calculating the estimated fair value of the warrants represent our best estimates; however, these estimates involve inherent uncertainties and the application of management judgment. As a result, if factors change and different assumptions are used, the change in estimated fair value of the warrant liability for those warrants that could be cash settled or have anti-dilution price protection provisions, could be materially different.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67" w:name="page68"/>
    <w:bookmarkEnd w:id="67"/>
    <w:p>
      <w:pPr>
        <w:ind w:left="240" w:right="8440" w:hanging="232"/>
        <w:spacing w:after="0" w:line="613" w:lineRule="auto"/>
        <w:tabs>
          <w:tab w:leader="none" w:pos="190"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Pronouncements Revenue Recognition</w:t>
      </w:r>
    </w:p>
    <w:p>
      <w:pPr>
        <w:spacing w:after="0" w:line="1" w:lineRule="exact"/>
        <w:rPr>
          <w:sz w:val="20"/>
          <w:szCs w:val="20"/>
          <w:color w:val="auto"/>
        </w:rPr>
      </w:pPr>
    </w:p>
    <w:p>
      <w:pPr>
        <w:jc w:val="both"/>
        <w:ind w:firstLine="230"/>
        <w:spacing w:after="0" w:line="310" w:lineRule="auto"/>
        <w:rPr>
          <w:sz w:val="20"/>
          <w:szCs w:val="20"/>
          <w:color w:val="auto"/>
        </w:rPr>
      </w:pPr>
      <w:r>
        <w:rPr>
          <w:rFonts w:ascii="Arial" w:cs="Arial" w:eastAsia="Arial" w:hAnsi="Arial"/>
          <w:sz w:val="16"/>
          <w:szCs w:val="16"/>
          <w:color w:val="auto"/>
        </w:rPr>
        <w:t xml:space="preserve">In May 2014, the Financial Accounting Standards Board (FASB) issued authoritative guidance requiring entities to apply a new model for recognizing revenue from contracts with customers and the reporting of principal versus agent considerations. The guidance superseded the then-applicable revenue recognition guidance and requires entities to evaluate their revenue recognition arrangements using a five step model to determine when a customer obtains control of a transferred good or service. The new revenue standard </w:t>
      </w:r>
      <w:r>
        <w:rPr>
          <w:rFonts w:ascii="Arial" w:cs="Arial" w:eastAsia="Arial" w:hAnsi="Arial"/>
          <w:sz w:val="17"/>
          <w:szCs w:val="17"/>
          <w:color w:val="auto"/>
        </w:rPr>
        <w:t>A</w:t>
      </w:r>
      <w:r>
        <w:rPr>
          <w:rFonts w:ascii="Arial" w:cs="Arial" w:eastAsia="Arial" w:hAnsi="Arial"/>
          <w:sz w:val="16"/>
          <w:szCs w:val="16"/>
          <w:color w:val="auto"/>
        </w:rPr>
        <w:t>ccounting Standards Codification 606, Revenue Recognition, (ASC 606), became effective for the Company on January 1, 2018, and was adopted using the modified retrospective method. See note 4 for further discussion.</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Accounting for Leases</w:t>
      </w:r>
    </w:p>
    <w:p>
      <w:pPr>
        <w:spacing w:after="0" w:line="22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FASB issued guidance to increase transparency and comparability among organizations by recognizing lease assets and lease liabilities on the balance sheet and disclosing key information about leasing arrangements. In accordance with the updated guidance, lessees are required to recognize the right of use assets and lease liabilities arising from operating leases on the balance sheet. The guidance is effective for annual reporting periods beginning after December 15, 2018, including interim periods within 2019. The Company has evaluated its leasing arrangements under the issued guidance and determined all leases are classified as operating leases and will be recognized as assets and future payments as liabilities on the balance sheet. Based on the Company's evaluation to date, the Company expects that the adoption of the new leasing standards will result in the recognition of material right-to-use assets and liabilities in the Company's consolidated balance sheet. The adoption of the new leasing standards is not expected to have a material impact to the Company's consolidated statements of income. The Company elected to utilize the practical expedients when adopting the standard.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Non-Employee Share Based Payment Arrangements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FASB issued guidance to expand the scope of stock compensation guidance to include stock compensation granted to nonemployees. Previously, stock compensation granted to nonemployees was subject to vesting date, as opposed to grant date, fair value principles that required companies to re-measure fair value at each reporting period until settlement for equity classified awards. The guidance for non-employee stock compensation accounting for equity-classified awards was updated, and these awards are now subject to fixed grant date fair value principles which eliminates the variable mark-to-market accounting. The non-employee stock awards granted by the Company have a service condition but no performance condition, each of which is measured using the Black-Scholes valuation model. The guidance was adopted early and applied as of July 1, 2018 and reflected in the Company's financial statements. The impact upon adoption was not material and no cumulative adjustment was recorded.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Measuring Credit Losses on Financial Instruments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FASB issued updated guidance on measuring credit losses on financial instruments. The guidance removes the thresholds that companies apply to measure credit losses on financial instruments measured at amortized cost, such as loans, receivables, and held-to-maturity debt securities. Prior to the updated guidance, credit losses are recognized when it is probable that the loss has been incurred. The revised guidance removes all recognition thresholds and requires companies to recognize an allowance for credit losses for the difference between the amortized cost basis of a financial instrument and the amount of amortized cost that a company expected to collect over the instrument’s contractual life. The guidance is effective for annual reporting periods beginning after December 15, 2019. The Company is currently in the process of evaluating the impact to its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Net Product Sales</w:t>
      </w:r>
    </w:p>
    <w:p>
      <w:pPr>
        <w:spacing w:after="0" w:line="17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disclosed in note 2, the Company recognizes product revenue from sales of MACI Kits, MACI implants and Epicel grafts following the five step model in ASC 606.</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MACI Kits</w:t>
      </w:r>
    </w:p>
    <w:p>
      <w:pPr>
        <w:spacing w:after="0" w:line="33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MACI (and previously Carticel) kits are sold directly to hospitals based on contracted rates in the approved contract or sales order. The Company recognizes MACI (or Carticel) kit revenue upon delivery of the biopsy kit at which time the customer (the doctor) is in control of the kit. The kit provides the doctor the ability to biopsy a sampling of cells to provide to the Company that can be used later to manufacture the implant. The ordering of the kit does not obligate the Company to manufacture an implant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0" w:right="239" w:bottom="1440" w:gutter="0" w:footer="0" w:header="0"/>
        </w:sectPr>
      </w:pPr>
    </w:p>
    <w:bookmarkStart w:id="68" w:name="page69"/>
    <w:bookmarkEnd w:id="68"/>
    <w:p>
      <w:pPr>
        <w:jc w:val="both"/>
        <w:spacing w:after="0" w:line="277" w:lineRule="auto"/>
        <w:rPr>
          <w:sz w:val="20"/>
          <w:szCs w:val="20"/>
          <w:color w:val="auto"/>
        </w:rPr>
      </w:pPr>
      <w:r>
        <w:rPr>
          <w:rFonts w:ascii="Arial" w:cs="Arial" w:eastAsia="Arial" w:hAnsi="Arial"/>
          <w:sz w:val="18"/>
          <w:szCs w:val="18"/>
          <w:color w:val="auto"/>
        </w:rPr>
        <w:t>nor does the receipt of the cell tissue. The customer’s order of an implant is separate from the process of ordering the kit. Therefore, the sale of the kit and any subsequent sale of an implant are distinct contracts and are accounted for separately.</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MACI Implants</w:t>
      </w:r>
    </w:p>
    <w:p>
      <w:pPr>
        <w:spacing w:after="0" w:line="333"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Company recognizes product revenues from sales of MACI (and previously Carticel) implants upon delivery at which time the customer is in control of the implant and the claim is billable. Prior authorization or confirmation of coverage level by the patient’s private insurance plan, hospital or government payer is a prerequisite to the shipment of product to a patient. Depending upon the type of contract and whom the payer is for the MACI implant, the Company's net product revenues are based on contracted rates or estimated based on expected payments from the insurance provider, hospital or patient. The estimates of such payment amounts vary by customer and payer and are based on either contracted rates, publicly available rates or past payer precedents. Changes in estimates are recorded through revenue in the period such change occurs. Net product revenues from sales to distributors may include a prompt pay discount.</w:t>
      </w:r>
    </w:p>
    <w:p>
      <w:pPr>
        <w:spacing w:after="0" w:line="297"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On July 25, 2018 and August 10, 2018, the Company entered into amendments to its distribution agreement with Orsini Pharmaceutical Services, Inc. (Orsini). The amendments modified certain payment terms for surgeries after June 15, 2018. In addition, under the revised agreement, the parties agreed to eliminate Orsini's right to serve as the Company's exclusive distributor for MACI as the Company moves to a limited expanded network of distributors. Orsini remains the exclusive pharmacy supplying MACI for only an enumerated list of payers. The amended agreement includes a provision whereby the Company retains the credit and collection risk from the end customer on implants after June 15, 2018. Orsini performs the collection activities. The net product revenues for these cases are based on expected payments from the insurance provider, hospital or patient. The estimates of such payment amounts vary by customer and payer and are based on either contracted rates, publicly available rates or past payer precedents. Changes in estimates are recorded through revenue in the period such change occurs. Pursuant to the revised arrangement, the Company pays Orsini a dispensing fee on a per implant basis.</w:t>
      </w:r>
    </w:p>
    <w:p>
      <w:pPr>
        <w:spacing w:after="0" w:line="27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addition, in consideration of Orsini’s future administrative services related to the amendment, the Company has agreed to pay Orsini an incremental service fee based on a fixed number of MACI cases subsequent to the date of amendment of approximately$1.3 million which is fully expensed as of December 31, 2018.</w:t>
      </w:r>
    </w:p>
    <w:p>
      <w:pPr>
        <w:spacing w:after="0" w:line="20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July 26, 2018, the Company entered into a Dispensing Agreement (Dispensing Agreement) with AllCare Plus Pharmacy, Inc. (AllCare). Pursuant to the Dispensing Agreement, the Company appoints AllCare as a non-exclusive specialty pharmacy provider of MACI. The Company pays AllCare a fee for each patient to whom MACI is dispensed. Under the Dispensing Agreement, the Company retains the credit and collection risk from the end customer on all implants. The net product revenues for these cases are based on contracted rates stated in the approved contract or other documentation with the insurance provider, hospital or patient.</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Epicel</w:t>
      </w:r>
    </w:p>
    <w:p>
      <w:pPr>
        <w:spacing w:after="0" w:line="333"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The Company sells Epicel directly to hospitals based on contracted rates stated in the approved contract or purchase order. Similar to MACI, there is no obligation to manufacture skin grafts upon receipt of a skin biopsy, and Vericel has no contractual right to receive payment until the product is delivered to the hospital. The Company recognizes product revenues from sales of Epicel upon delivery to the hospital at which time the customer is in control of the skin grafts and the claim is billable to the hospital.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Product and Customer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and description below shows the products from which the Company generated its revenue:</w:t>
      </w:r>
    </w:p>
    <w:p>
      <w:pPr>
        <w:spacing w:after="0" w:line="200" w:lineRule="exact"/>
        <w:rPr>
          <w:sz w:val="20"/>
          <w:szCs w:val="20"/>
          <w:color w:val="auto"/>
        </w:rPr>
      </w:pPr>
    </w:p>
    <w:p>
      <w:pPr>
        <w:spacing w:after="0" w:line="273"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Borders>
              <w:bottom w:val="single" w:sz="8" w:color="auto"/>
            </w:tcBorders>
          </w:tcPr>
          <w:p>
            <w:pPr>
              <w:spacing w:after="0"/>
              <w:rPr>
                <w:sz w:val="16"/>
                <w:szCs w:val="16"/>
                <w:color w:val="auto"/>
              </w:rPr>
            </w:pPr>
          </w:p>
        </w:tc>
      </w:tr>
      <w:tr>
        <w:trPr>
          <w:trHeight w:val="264"/>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 by product (in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r>
      <w:tr>
        <w:trPr>
          <w:trHeight w:val="250"/>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MACI and Carticel implants and kits</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gridSpan w:val="2"/>
          </w:tcPr>
          <w:p>
            <w:pPr>
              <w:ind w:left="260"/>
              <w:spacing w:after="0"/>
              <w:rPr>
                <w:sz w:val="20"/>
                <w:szCs w:val="20"/>
                <w:color w:val="auto"/>
              </w:rPr>
            </w:pPr>
            <w:r>
              <w:rPr>
                <w:rFonts w:ascii="Arial" w:cs="Arial" w:eastAsia="Arial" w:hAnsi="Arial"/>
                <w:sz w:val="18"/>
                <w:szCs w:val="18"/>
                <w:color w:val="auto"/>
              </w:rPr>
              <w:t>Implants - based on contracted rate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40,830</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30,366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17,027</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Implants - based on third party reimbursement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20,299</w:t>
            </w:r>
          </w:p>
        </w:tc>
      </w:tr>
      <w:tr>
        <w:trPr>
          <w:trHeight w:val="243"/>
        </w:trPr>
        <w:tc>
          <w:tcPr>
            <w:tcW w:w="6120" w:type="dxa"/>
            <w:vAlign w:val="bottom"/>
            <w:gridSpan w:val="2"/>
          </w:tcPr>
          <w:p>
            <w:pPr>
              <w:ind w:left="260"/>
              <w:spacing w:after="0"/>
              <w:rPr>
                <w:sz w:val="20"/>
                <w:szCs w:val="20"/>
                <w:color w:val="auto"/>
              </w:rPr>
            </w:pPr>
            <w:r>
              <w:rPr>
                <w:rFonts w:ascii="Arial" w:cs="Arial" w:eastAsia="Arial" w:hAnsi="Arial"/>
                <w:sz w:val="18"/>
                <w:szCs w:val="18"/>
                <w:color w:val="auto"/>
              </w:rPr>
              <w:t>Biopsy kits - direct bill</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1,545</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Change in estimates related to prior periods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Epicel</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Direct bill (hospital)</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15,512</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License Revenue</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90,857</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63,924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54,383</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747" w:right="2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Revenue Recognition for License Grants, Milestone and Royalty Payments</w:t>
      </w:r>
    </w:p>
    <w:p>
      <w:pPr>
        <w:spacing w:after="0" w:line="33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recognizes other revenue from contracts with customers related to license grants, milestone related payments and royalty based payments by following the five step model described above.</w:t>
      </w:r>
    </w:p>
    <w:p>
      <w:pPr>
        <w:spacing w:after="0" w:line="11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May 10, 2017, the Company announced that it has entered into a License Agreement (License Agreement) with ICT, a leading cell therapy company and developer of CAR-T cell therapy for cancer treatment, for the development, manufacturing and commercialization of the Company's product portfolio in Greater China, South Korea, Singapore, and other countries in Asia. ICT acquired an exclusive license to certain patent rights, know-how and intellectual property relating to Carticel, MACI, ixmyelocel-T, and Epicel for the purpose of developing, manufacturing and commercializing the Company's products in the territory described above. The initiation of the technology transfer, the license grants in the License Agreement and the warrant purchase were contingent upon the Company’s receipt of the upfront payment. ICT will be responsible for funding the development of the programs and manufacturing of the products for commercialization in China and the rest of the territory. On December 21, 2017, the Company received $5.2 million (gross of withholding tax), of which $4.0 million was allocated to the warrant based on the fair value on the date of grant as described in note 12 and the remaining $1.2 million was recognized as described below.</w:t>
      </w:r>
    </w:p>
    <w:p>
      <w:pPr>
        <w:spacing w:after="0" w:line="197"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Upon adoption of ASC 606</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reassessed the accounting for its license agreement with Innovative Cellular Therapeutics CO., LTD. (ICT). The Company identified its performance obligations under the agreement, which include the license, a training obligation, and supply of certain raw materials for technology transfer. Based on its assessment of this agreement under the new revenue standard the Company determined that the license is distinct and provides ICT with the right to use the Company's technology and accordingly revenue should be recognized at the point in time at which the Company delivered the license (December 2017). This evaluation was based on 1) the rights provided to ICT under the license, including the ability to sublicense, 2) the nature of the technology (primarily rights to technology already commercially approved in the US) and 3) ICT's ability to benefit from the license on its own including using its own existing resources as a manufacturer of autologous cell therapies. The transaction price was determined to be $1.2 million. No milestones or royalties are included in the transaction price as the criteria for including these variable payments have not yet been met. The Company assessed the allocation of arrangement consideration noting no differences in allocation from that determined under ASC 605. The license was delivered in December 2017, and revenue of $1.2 million was recorded in 2017 under the then applicable revenue accounting standard ASC 605. Based upon the Company's evaluation under ASC 606 there was no change in amount or timing of revenue recognized for the agreement, and therefore no cumulative change adjustment was recorded upon adoption of the new revenue standard on January 1, 2018. The Company has no significant performance obligations remaining under the agreement.</w:t>
      </w:r>
    </w:p>
    <w:p>
      <w:pPr>
        <w:spacing w:after="0" w:line="188"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ICT license agreement provides for future milestone payments due to the Company upon the achievement of certain developmental and commercial events. The Company evaluates these milestones under the new revenue recognition standard at contract inception and at each reporting period date. Based on the Company’s evaluations to date, the Company has not included any of the future milestones in its determination of the transaction price because the criteria for including these variable payments have not yet been met. This evaluation was based on 1) the pace and eventual achievement of the milestones are largely dependent on ICT’s performance of its contractual obligations and the Company has no prior experience to determine the likelihood of ICT performing those obligations, and 2) the transfer of the funds for each of the milestone payments by ICT to the Company, if achieved, is subject to approval by the State Administration of Foreign Exchange of the People's Republic of China. The Company does not anticipate receiving any milestone payments in the near-term. Furthermore, there can be no assurance that the Company will receive any such milestone or receive any such transfer of funds from ICT ever.</w:t>
      </w:r>
    </w:p>
    <w:p>
      <w:pPr>
        <w:spacing w:after="0" w:line="382"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The ICT license agreement contains future sales-based royalties to the Company in the low-to-mid double digits. These royalties meet the exception for sales-based or usage-based royalties because they predominantly relate to the license and will be recognized when and if the subsequent sales occur. However, there can be no assurance that the Company will receive any such royalties or receive any such transfer of funds from ICT ever.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From July 2016 through June 2017, the Company utilized a direct sales model and contracted with Dohmen Life Science Services, LLC (DLSS) to provide administrative services associated with case management and reimbursement support and to provide billing and collection services for MACI. The Company also utilized Vital Care, Inc. (Vital Care) to provide similar billing and collection services for a subset of insurance payers and patients. In the second quarter of 2017, the Company and DLSS mutually terminated their agreement effective June 30, 2017. On May 15, 2017, the Company entered into a distribution agreement with Orsini Pharmaceutical Services, Inc. as a specialty pharmacy distributor of MACI and has engaged a third party services provider to provide the patient support program previously provided by DLSS and to manage patient cases for MACI. The Company’s receivables risk and credit risk became more concentrated from June 30, 2017 through June 15, 2018 due to the shift from DLSS to Orsini. Beginning June 16, 2018, the concentration of risk decreased because the Company retains the credit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46"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collection risk from the end customer on implants after June 15, 2018. The Company sells Epicel directly to hospitals and not through a distributor.</w:t>
      </w:r>
    </w:p>
    <w:p>
      <w:pPr>
        <w:spacing w:after="0" w:line="237"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Company's total revenue and accounts receivable balances were comprised of the following concentrations from its largest customers of Carticel, MACI and Epicel, as follows:</w:t>
      </w:r>
    </w:p>
    <w:p>
      <w:pPr>
        <w:spacing w:after="0" w:line="351"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Revenue Concentration</w:t>
            </w: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Accounts Receivable Concentration</w:t>
            </w:r>
          </w:p>
        </w:tc>
      </w:tr>
      <w:tr>
        <w:trPr>
          <w:trHeight w:val="53"/>
        </w:trPr>
        <w:tc>
          <w:tcPr>
            <w:tcW w:w="31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80" w:type="dxa"/>
            <w:vAlign w:val="bottom"/>
            <w:tcBorders>
              <w:bottom w:val="single" w:sz="8" w:color="auto"/>
            </w:tcBorders>
            <w:gridSpan w:val="3"/>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31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4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Borders>
              <w:bottom w:val="single" w:sz="8" w:color="auto"/>
            </w:tcBorders>
            <w:gridSpan w:val="3"/>
          </w:tcPr>
          <w:p>
            <w:pPr>
              <w:jc w:val="center"/>
              <w:ind w:left="921"/>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21"/>
                <w:szCs w:val="21"/>
                <w:color w:val="auto"/>
              </w:rPr>
            </w:pPr>
          </w:p>
        </w:tc>
      </w:tr>
      <w:tr>
        <w:trPr>
          <w:trHeight w:val="264"/>
        </w:trPr>
        <w:tc>
          <w:tcPr>
            <w:tcW w:w="31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Carticel and MACI</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Epicel</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702"/>
        </w:trPr>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gridSpan w:val="2"/>
          </w:tcPr>
          <w:p>
            <w:pPr>
              <w:jc w:val="right"/>
              <w:ind w:right="708"/>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5. Selected Balance Sheet Components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Inventory as of December 31, 2018 and 2017:</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Inventory</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7"/>
        </w:trPr>
        <w:tc>
          <w:tcPr>
            <w:tcW w:w="8120" w:type="dxa"/>
            <w:vAlign w:val="bottom"/>
            <w:gridSpan w:val="2"/>
            <w:vMerge w:val="restart"/>
          </w:tcPr>
          <w:p>
            <w:pPr>
              <w:ind w:left="260"/>
              <w:spacing w:after="0"/>
              <w:rPr>
                <w:sz w:val="20"/>
                <w:szCs w:val="20"/>
                <w:color w:val="auto"/>
              </w:rPr>
            </w:pPr>
            <w:r>
              <w:rPr>
                <w:rFonts w:ascii="Arial" w:cs="Arial" w:eastAsia="Arial" w:hAnsi="Arial"/>
                <w:sz w:val="18"/>
                <w:szCs w:val="18"/>
                <w:i w:val="1"/>
                <w:iCs w:val="1"/>
                <w:color w:val="auto"/>
              </w:rPr>
              <w:t>Property and Equipment</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net as of December 31, 2018 and 2017:</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4,587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13,411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10,692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5,906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Depreciation expense for the years ended December 31, 2018, 2017 and 2016 were $1.4 million, $1.6 million and $1.6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December 31, 2018 and 2017:</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Bonus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Employee related accruals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2,389</w:t>
            </w:r>
          </w:p>
        </w:tc>
      </w:tr>
      <w:tr>
        <w:trPr>
          <w:trHeight w:val="27"/>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Accrued expenses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6,930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5,573</w:t>
            </w:r>
          </w:p>
        </w:tc>
      </w:tr>
      <w:tr>
        <w:trPr>
          <w:trHeight w:val="20"/>
        </w:trPr>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December 19, 2018, the Company prepaid in full all outstanding indebtedness under, and terminated, the Loan and Security Agreement dated as of September 9, 2016, by and between the Company, Silicon Valley Bank as Agent and Silicon Valley Bank, MidCap Financial Trust, MidCap Funding III Trust and other lenders listed therein as lenders (SVB Loan Agreement), as amended December 30, 2016, May 9, 2017 and December 6, 2017, which termination was effective December 19, 2018. The debt financing consisted of a $15.0 million term loan which was drawn at the closing and up to $10.0 million of a revolving line of credit. The term loans were interest only (indexed to Wall Street Journal (WSJ) Prime plus 4.25%) until December 1, 2018 followed by 36 equal monthly payments of principal plus interest maturing December 6, 2021. Under the terms of the agreement, the revolving credit was limited to a borrowing base calculated using eligible accounts receivable and maturing December 6, 2021 with an interest rate indexed to WSJ Prime plus 1.25%. Warrants were issued to SVB and MidCap in conjunction with the modified debt agreement as discussed in note 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0" w:right="239" w:bottom="1440" w:gutter="0" w:footer="0" w:header="0"/>
        </w:sectPr>
      </w:pPr>
    </w:p>
    <w:bookmarkStart w:id="72" w:name="page73"/>
    <w:bookmarkEnd w:id="72"/>
    <w:p>
      <w:pPr>
        <w:jc w:val="both"/>
        <w:ind w:firstLine="324"/>
        <w:spacing w:after="0" w:line="264" w:lineRule="auto"/>
        <w:rPr>
          <w:sz w:val="20"/>
          <w:szCs w:val="20"/>
          <w:color w:val="auto"/>
        </w:rPr>
      </w:pPr>
      <w:r>
        <w:rPr>
          <w:rFonts w:ascii="Arial" w:cs="Arial" w:eastAsia="Arial" w:hAnsi="Arial"/>
          <w:sz w:val="18"/>
          <w:szCs w:val="18"/>
          <w:color w:val="auto"/>
        </w:rPr>
        <w:t>On the date of termination, the Company paid in full $17.1 million in outstanding borrowings at the time of termination. In connection with the termination of the SVB Loan Agreement, the Company paid an additional prepayment premium of 1.5% in the amount of $0.2 million and a final payment of 3.6% in the amount of $0.5 million.</w:t>
      </w:r>
    </w:p>
    <w:p>
      <w:pPr>
        <w:spacing w:after="0" w:line="4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prepayment of the debt in 2018 and the debt modification in 2017 were accounted for as debt extinguishments. The Company considered whether creditors remained the same or changed and whether the changes in debt terms were substantial. After performing the assessment in accordance with accounting guidance for the modification of debt arrangements, the term loan portion was determined to be accounted for as a debt extinguishment under the modified terms in 2017 and the repayment of both the term loans and revolving credit agreement in 2018 was also accounted for as a debt extinguishment. As a result, the unamortized deferred financing costs, prepayment penalty and the accelerated payment of the final payment was recognized as a loss on extinguishment of debt of $0.8 million for the year ended December 31, 2018. The unamortized deferred financing costs, lender fees and warrant issuance costs allocated to the term loan under the modified terms were recognized as a loss on extinguishment of debt of $0.9 million for the year-ended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 and Investments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the year ended December 31, 2018, the Company purchased marketable debt securities, which are classified as available-for-sale and carried at fair value in the accompanying consolidated balance sheets on a settlement date basis. The following tables summarize the gross unrealized gains and losses of the Company’s marketable securities as of December 31, 2018:</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ind w:left="860"/>
              <w:spacing w:after="0"/>
              <w:rPr>
                <w:sz w:val="20"/>
                <w:szCs w:val="20"/>
                <w:color w:val="auto"/>
              </w:rPr>
            </w:pPr>
            <w:r>
              <w:rPr>
                <w:rFonts w:ascii="Arial" w:cs="Arial" w:eastAsia="Arial" w:hAnsi="Arial"/>
                <w:sz w:val="14"/>
                <w:szCs w:val="14"/>
                <w:b w:val="1"/>
                <w:bCs w:val="1"/>
                <w:color w:val="auto"/>
                <w:w w:val="97"/>
              </w:rPr>
              <w:t>Gross Unrealized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76"/>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5"/>
              </w:rPr>
              <w:t>Losses</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5,838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5,838</w:t>
            </w:r>
          </w:p>
        </w:tc>
      </w:tr>
      <w:tr>
        <w:trPr>
          <w:trHeight w:val="27"/>
        </w:trPr>
        <w:tc>
          <w:tcPr>
            <w:tcW w:w="3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5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Repurchase agreements</w:t>
            </w:r>
          </w:p>
        </w:tc>
        <w:tc>
          <w:tcPr>
            <w:tcW w:w="24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BFE4FF"/>
            </w:tcBorders>
            <w:gridSpan w:val="2"/>
            <w:shd w:val="clear" w:color="auto" w:fill="BFE4FF"/>
          </w:tcPr>
          <w:p>
            <w:pPr>
              <w:ind w:left="10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30,710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30,710</w:t>
            </w:r>
          </w:p>
        </w:tc>
      </w:tr>
      <w:tr>
        <w:trPr>
          <w:trHeight w:val="27"/>
        </w:trPr>
        <w:tc>
          <w:tcPr>
            <w:tcW w:w="3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5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Corporate notes</w:t>
            </w:r>
          </w:p>
        </w:tc>
        <w:tc>
          <w:tcPr>
            <w:tcW w:w="24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13,168</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BFE4FF"/>
            </w:tcBorders>
            <w:gridSpan w:val="2"/>
            <w:shd w:val="clear" w:color="auto" w:fill="BFE4FF"/>
          </w:tcPr>
          <w:p>
            <w:pPr>
              <w:ind w:left="10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13,144</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10,167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10,166</w:t>
            </w:r>
          </w:p>
        </w:tc>
      </w:tr>
      <w:tr>
        <w:trPr>
          <w:trHeight w:val="27"/>
        </w:trPr>
        <w:tc>
          <w:tcPr>
            <w:tcW w:w="3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5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U.S. asset-backed securities</w:t>
            </w:r>
          </w:p>
        </w:tc>
        <w:tc>
          <w:tcPr>
            <w:tcW w:w="240" w:type="dxa"/>
            <w:vAlign w:val="bottom"/>
            <w:tcBorders>
              <w:bottom w:val="single" w:sz="8" w:color="BFE4FF"/>
            </w:tcBorders>
            <w:shd w:val="clear" w:color="auto" w:fill="BFE4FF"/>
          </w:tcPr>
          <w:p>
            <w:pPr>
              <w:spacing w:after="0"/>
              <w:rPr>
                <w:sz w:val="23"/>
                <w:szCs w:val="23"/>
                <w:color w:val="auto"/>
              </w:rPr>
            </w:pP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10,632</w:t>
            </w:r>
          </w:p>
        </w:tc>
        <w:tc>
          <w:tcPr>
            <w:tcW w:w="100" w:type="dxa"/>
            <w:vAlign w:val="bottom"/>
            <w:tcBorders>
              <w:bottom w:val="single" w:sz="8" w:color="BFE4FF"/>
            </w:tcBorders>
            <w:shd w:val="clear" w:color="auto" w:fill="BFE4FF"/>
          </w:tcPr>
          <w:p>
            <w:pPr>
              <w:spacing w:after="0"/>
              <w:rPr>
                <w:sz w:val="23"/>
                <w:szCs w:val="23"/>
                <w:color w:val="auto"/>
              </w:rPr>
            </w:pPr>
          </w:p>
        </w:tc>
        <w:tc>
          <w:tcPr>
            <w:tcW w:w="400" w:type="dxa"/>
            <w:vAlign w:val="bottom"/>
            <w:tcBorders>
              <w:bottom w:val="single" w:sz="8" w:color="BFE4FF"/>
            </w:tcBorders>
            <w:shd w:val="clear" w:color="auto" w:fill="BFE4FF"/>
          </w:tcPr>
          <w:p>
            <w:pPr>
              <w:spacing w:after="0"/>
              <w:rPr>
                <w:sz w:val="23"/>
                <w:szCs w:val="23"/>
                <w:color w:val="auto"/>
              </w:rPr>
            </w:pPr>
          </w:p>
        </w:tc>
        <w:tc>
          <w:tcPr>
            <w:tcW w:w="1440" w:type="dxa"/>
            <w:vAlign w:val="bottom"/>
            <w:tcBorders>
              <w:bottom w:val="single" w:sz="8" w:color="BFE4FF"/>
            </w:tcBorders>
            <w:gridSpan w:val="2"/>
            <w:shd w:val="clear" w:color="auto" w:fill="BFE4FF"/>
          </w:tcPr>
          <w:p>
            <w:pPr>
              <w:ind w:left="10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3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10,618</w:t>
            </w:r>
          </w:p>
        </w:tc>
      </w:tr>
      <w:tr>
        <w:trPr>
          <w:trHeight w:val="237"/>
        </w:trPr>
        <w:tc>
          <w:tcPr>
            <w:tcW w:w="35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75,515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75,476</w:t>
            </w:r>
          </w:p>
        </w:tc>
      </w:tr>
      <w:tr>
        <w:trPr>
          <w:trHeight w:val="67"/>
        </w:trPr>
        <w:tc>
          <w:tcPr>
            <w:tcW w:w="3580" w:type="dxa"/>
            <w:vAlign w:val="bottom"/>
            <w:tcBorders>
              <w:bottom w:val="single" w:sz="8" w:color="BFE4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35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Classified as:</w:t>
            </w:r>
          </w:p>
        </w:tc>
        <w:tc>
          <w:tcPr>
            <w:tcW w:w="240" w:type="dxa"/>
            <w:vAlign w:val="bottom"/>
            <w:tcBorders>
              <w:bottom w:val="single" w:sz="8" w:color="BFE4FF"/>
            </w:tcBorders>
            <w:shd w:val="clear" w:color="auto" w:fill="BFE4FF"/>
          </w:tcPr>
          <w:p>
            <w:pPr>
              <w:spacing w:after="0"/>
              <w:rPr>
                <w:sz w:val="20"/>
                <w:szCs w:val="20"/>
                <w:color w:val="auto"/>
              </w:rPr>
            </w:pPr>
          </w:p>
        </w:tc>
        <w:tc>
          <w:tcPr>
            <w:tcW w:w="148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400" w:type="dxa"/>
            <w:vAlign w:val="bottom"/>
            <w:tcBorders>
              <w:bottom w:val="single" w:sz="8" w:color="BFE4FF"/>
            </w:tcBorders>
            <w:shd w:val="clear" w:color="auto" w:fill="BFE4FF"/>
          </w:tcPr>
          <w:p>
            <w:pPr>
              <w:spacing w:after="0"/>
              <w:rPr>
                <w:sz w:val="20"/>
                <w:szCs w:val="20"/>
                <w:color w:val="auto"/>
              </w:rPr>
            </w:pPr>
          </w:p>
        </w:tc>
        <w:tc>
          <w:tcPr>
            <w:tcW w:w="132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560" w:type="dxa"/>
            <w:vAlign w:val="bottom"/>
            <w:tcBorders>
              <w:bottom w:val="single" w:sz="8" w:color="BFE4FF"/>
            </w:tcBorders>
            <w:shd w:val="clear" w:color="auto" w:fill="BFE4FF"/>
          </w:tcPr>
          <w:p>
            <w:pPr>
              <w:spacing w:after="0"/>
              <w:rPr>
                <w:sz w:val="20"/>
                <w:szCs w:val="20"/>
                <w:color w:val="auto"/>
              </w:rPr>
            </w:pPr>
          </w:p>
        </w:tc>
        <w:tc>
          <w:tcPr>
            <w:tcW w:w="114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BFE4FF"/>
            </w:tcBorders>
            <w:shd w:val="clear" w:color="auto" w:fill="BFE4FF"/>
          </w:tcPr>
          <w:p>
            <w:pPr>
              <w:spacing w:after="0"/>
              <w:rPr>
                <w:sz w:val="20"/>
                <w:szCs w:val="20"/>
                <w:color w:val="auto"/>
              </w:rPr>
            </w:pPr>
          </w:p>
        </w:tc>
        <w:tc>
          <w:tcPr>
            <w:tcW w:w="1380" w:type="dxa"/>
            <w:vAlign w:val="bottom"/>
            <w:tcBorders>
              <w:bottom w:val="single" w:sz="8" w:color="BFE4FF"/>
            </w:tcBorders>
            <w:shd w:val="clear" w:color="auto" w:fill="BFE4FF"/>
          </w:tcPr>
          <w:p>
            <w:pPr>
              <w:spacing w:after="0"/>
              <w:rPr>
                <w:sz w:val="20"/>
                <w:szCs w:val="20"/>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10,838</w:t>
            </w:r>
          </w:p>
        </w:tc>
      </w:tr>
      <w:tr>
        <w:trPr>
          <w:trHeight w:val="27"/>
        </w:trPr>
        <w:tc>
          <w:tcPr>
            <w:tcW w:w="3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5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BFE4FF"/>
            </w:tcBorders>
            <w:shd w:val="clear" w:color="auto" w:fill="BFE4FF"/>
          </w:tcPr>
          <w:p>
            <w:pPr>
              <w:spacing w:after="0"/>
              <w:rPr>
                <w:sz w:val="23"/>
                <w:szCs w:val="23"/>
                <w:color w:val="auto"/>
              </w:rPr>
            </w:pPr>
          </w:p>
        </w:tc>
        <w:tc>
          <w:tcPr>
            <w:tcW w:w="148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400" w:type="dxa"/>
            <w:vAlign w:val="bottom"/>
            <w:tcBorders>
              <w:bottom w:val="single" w:sz="8" w:color="BFE4FF"/>
            </w:tcBorders>
            <w:shd w:val="clear" w:color="auto" w:fill="BFE4FF"/>
          </w:tcPr>
          <w:p>
            <w:pPr>
              <w:spacing w:after="0"/>
              <w:rPr>
                <w:sz w:val="23"/>
                <w:szCs w:val="23"/>
                <w:color w:val="auto"/>
              </w:rPr>
            </w:pPr>
          </w:p>
        </w:tc>
        <w:tc>
          <w:tcPr>
            <w:tcW w:w="132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56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3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64,638</w:t>
            </w:r>
          </w:p>
        </w:tc>
      </w:tr>
      <w:tr>
        <w:trPr>
          <w:trHeight w:val="237"/>
        </w:trPr>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75,476</w:t>
            </w:r>
          </w:p>
        </w:tc>
      </w:tr>
      <w:tr>
        <w:trPr>
          <w:trHeight w:val="27"/>
        </w:trPr>
        <w:tc>
          <w:tcPr>
            <w:tcW w:w="3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3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the year ended December 31, 2018, the Company invested $5.0 million in overnight repurchase agreement securities classified as cash equivalents on the balance sheet.</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There were no marketable securities that the Company considers to be other-than-temporarily impaired as of December 31, 2018. The Company's investment strategy is to buy short-duration marketable securities with a high credit rating. As of December 31, 2018, all marketable securities held by the Company had remaining contractual maturities of one year or less.</w:t>
      </w:r>
    </w:p>
    <w:p>
      <w:pPr>
        <w:spacing w:after="0" w:line="7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any adjustment to fair value reflects a decline in the value of the investment, the Company considers all available evidence to evaluate the extent to which the decline is “other than temporary,” including the Company's intention to sell and, if so, mark the investment to market through a charge to our consolidated statement of operations. There have been no impairments of the Company’s assets measured and carried at fair value for the year ended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and Equity Incentive Plans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has historically had various stock incentive plans and agreements that provide for the issuance of nonqualified and incentive stock options as well as other equity awards. Such awards may be granted by the Company’s Board of Directors to certain of the Company’s employees, directors and consultants. Options granted under these plans expire no later than ten years from the date of grant, and other than those granted to non-employee directors, generally become exercisable over a four year period, under a graded-vesting methodology, following the date of grant. The Company generally issues new shares upon the exercise of stock options.</w:t>
      </w:r>
    </w:p>
    <w:p>
      <w:pPr>
        <w:spacing w:after="0" w:line="188" w:lineRule="exact"/>
        <w:rPr>
          <w:sz w:val="20"/>
          <w:szCs w:val="20"/>
          <w:color w:val="auto"/>
        </w:rPr>
      </w:pPr>
    </w:p>
    <w:p>
      <w:pPr>
        <w:jc w:val="both"/>
        <w:ind w:right="20" w:firstLine="387"/>
        <w:spacing w:after="0" w:line="277" w:lineRule="auto"/>
        <w:rPr>
          <w:sz w:val="20"/>
          <w:szCs w:val="20"/>
          <w:color w:val="auto"/>
        </w:rPr>
      </w:pPr>
      <w:r>
        <w:rPr>
          <w:rFonts w:ascii="Arial" w:cs="Arial" w:eastAsia="Arial" w:hAnsi="Arial"/>
          <w:sz w:val="18"/>
          <w:szCs w:val="18"/>
          <w:color w:val="auto"/>
        </w:rPr>
        <w:t>For certain non-employee consultants, stock option awards continue to vest post-termination. The guidance for non-employee stock compensation accounting for equity-classified awards was updated, and these awards are now subject to fixed grant date</w:t>
      </w:r>
    </w:p>
    <w:p>
      <w:pPr>
        <w:sectPr>
          <w:pgSz w:w="11900" w:h="16838" w:orient="portrait"/>
          <w:cols w:equalWidth="0" w:num="1">
            <w:col w:w="11420"/>
          </w:cols>
          <w:pgMar w:left="240" w:top="66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665" w:right="2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color w:val="auto"/>
        </w:rPr>
        <w:t>fair value principles which eliminates the variable mark-to-market accounting. The options were valued as of the adoption date July 1, 2018.</w:t>
      </w:r>
    </w:p>
    <w:p>
      <w:pPr>
        <w:spacing w:after="0" w:line="22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2017 Omnibus Incentive Plan (2017 Plan) was approved by the Company's shareholders on May 3, 2017 at the annual meeting of shareholders. The 2017 Plan provides incentives through the grant of stock options, stock appreciation rights, restricted stock awards and restricted stock units. The exercise price of stock options granted under the 2017 Plan shall not be less than the fair market value of the Company’s common stock on the date of grant. The 2017 Plan replaced the 1992 Stock Option Plan, the 2001 Stock Option Plan, the Amended and Restated 2004 Equity Incentive Plan and the 2009 Second Amended and Restated Omnibus Incentive Plan (Prior Plans), and no new awards have been granted under the Prior Plans. However, the expiration or forfeiture of options previously granted under the Prior Plans will increase the awards available for issuance under the 2017 Plan.</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2018, there were 2,983,774 shares available for future grant under the 2017 Plan.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Employees are able to purchase stock under the Vericel Corporation Employee Stock Purchase Plan (ESPP). The ESPP allows for the issuance of an aggregate of 1,000,000 shares of common stock of which 526,020 have been granted since the inception of the benefit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 In January 2019, employees purchased 18,407 shares resulting in proceeds from the sale of common stock of $0.2 million under the ESPP for the fourth quarter of 2018. The total share-based compensation expense for the ESPP for the years ended December 31, 2018, 2017, and 2016 was approximately $0.3 million, $0.2 million, and $0.2 million, respectively.</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Service-Based Stock Options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the year ended December 31, 2018, the Company granted 1,644,160 service-based options to purchase common stock. The exercise price of the options is the fair market value per share of common stock on the grant date, generally vest over four years (other than 105,000 non-employee director options which vest over one year) and have a term of ten years. The weighted average grant-date fair value of service-based options granted during the years ended December 31, 2018, 2017, and 2016 was $6.96, $1.99 and $2.15, respectively.</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net compensation costs recorded for the service-based stock options related to employees and directors (including the impact of forfeitures) for the years ended December 31, 2018, 2017, and 2016 were $6.9 million, $2.5 million and $2.3 million,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Compensation Expense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Non-cash stock-based compensation expense (employee stock purchase plan and service-based stock options) is summarized in the following table: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2016</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497</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selling and administrative</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1,575</w:t>
            </w:r>
          </w:p>
        </w:tc>
      </w:tr>
      <w:tr>
        <w:trPr>
          <w:trHeight w:val="237"/>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7,223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2,499</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894"/>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right="894"/>
              <w:spacing w:after="0"/>
              <w:rPr>
                <w:sz w:val="20"/>
                <w:szCs w:val="20"/>
                <w:color w:val="auto"/>
              </w:rPr>
            </w:pPr>
            <w:r>
              <w:rPr>
                <w:rFonts w:ascii="Arial" w:cs="Arial" w:eastAsia="Arial" w:hAnsi="Arial"/>
                <w:sz w:val="18"/>
                <w:szCs w:val="18"/>
                <w:color w:val="auto"/>
                <w:w w:val="93"/>
              </w:rPr>
              <w:t>—%</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82.3-88.3%</w:t>
            </w:r>
          </w:p>
        </w:tc>
        <w:tc>
          <w:tcPr>
            <w:tcW w:w="10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79.7 – 88.2%</w:t>
            </w:r>
          </w:p>
        </w:tc>
        <w:tc>
          <w:tcPr>
            <w:tcW w:w="980" w:type="dxa"/>
            <w:vAlign w:val="bottom"/>
          </w:tcPr>
          <w:p>
            <w:pPr>
              <w:jc w:val="right"/>
              <w:spacing w:after="0"/>
              <w:rPr>
                <w:sz w:val="20"/>
                <w:szCs w:val="20"/>
                <w:color w:val="auto"/>
              </w:rPr>
            </w:pPr>
            <w:r>
              <w:rPr>
                <w:rFonts w:ascii="Arial" w:cs="Arial" w:eastAsia="Arial" w:hAnsi="Arial"/>
                <w:sz w:val="18"/>
                <w:szCs w:val="18"/>
                <w:color w:val="auto"/>
              </w:rPr>
              <w:t>78.7</w:t>
            </w:r>
          </w:p>
        </w:tc>
        <w:tc>
          <w:tcPr>
            <w:tcW w:w="1300" w:type="dxa"/>
            <w:vAlign w:val="bottom"/>
          </w:tcPr>
          <w:p>
            <w:pPr>
              <w:ind w:left="40"/>
              <w:spacing w:after="0"/>
              <w:rPr>
                <w:sz w:val="20"/>
                <w:szCs w:val="20"/>
                <w:color w:val="auto"/>
              </w:rPr>
            </w:pPr>
            <w:r>
              <w:rPr>
                <w:rFonts w:ascii="Arial" w:cs="Arial" w:eastAsia="Arial" w:hAnsi="Arial"/>
                <w:sz w:val="18"/>
                <w:szCs w:val="18"/>
                <w:color w:val="auto"/>
              </w:rPr>
              <w:t>– 92.2%</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2.4-3.1%</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1.39 – 2.3%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2.1%</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5.3 - 6.3</w:t>
            </w:r>
          </w:p>
        </w:tc>
        <w:tc>
          <w:tcPr>
            <w:tcW w:w="1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5.5 - 6.3</w:t>
            </w:r>
          </w:p>
        </w:tc>
        <w:tc>
          <w:tcPr>
            <w:tcW w:w="120" w:type="dxa"/>
            <w:vAlign w:val="bottom"/>
          </w:tcPr>
          <w:p>
            <w:pPr>
              <w:spacing w:after="0"/>
              <w:rPr>
                <w:sz w:val="21"/>
                <w:szCs w:val="21"/>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91"/>
              </w:rPr>
              <w:t>5.5 – 6.3</w:t>
            </w:r>
          </w:p>
        </w:tc>
      </w:tr>
      <w:tr>
        <w:trPr>
          <w:trHeight w:val="486"/>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jc w:val="right"/>
              <w:ind w:right="75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74" w:name="page75"/>
    <w:bookmarkEnd w:id="74"/>
    <w:p>
      <w:pPr>
        <w:ind w:left="260"/>
        <w:spacing w:after="0"/>
        <w:rPr>
          <w:sz w:val="20"/>
          <w:szCs w:val="20"/>
          <w:color w:val="auto"/>
        </w:rPr>
      </w:pPr>
      <w:r>
        <w:rPr>
          <w:rFonts w:ascii="Arial" w:cs="Arial" w:eastAsia="Arial" w:hAnsi="Arial"/>
          <w:sz w:val="18"/>
          <w:szCs w:val="18"/>
          <w:color w:val="auto"/>
        </w:rPr>
        <w:t>The following table summarizes the activity for service-based stock options for the indicated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3"/>
              </w:rPr>
              <w:t>Weighted Average</w:t>
            </w:r>
          </w:p>
        </w:tc>
        <w:tc>
          <w:tcPr>
            <w:tcW w:w="120" w:type="dxa"/>
            <w:vAlign w:val="bottom"/>
          </w:tcPr>
          <w:p>
            <w:pPr>
              <w:spacing w:after="0"/>
              <w:rPr>
                <w:sz w:val="14"/>
                <w:szCs w:val="14"/>
                <w:color w:val="auto"/>
              </w:rPr>
            </w:pPr>
          </w:p>
        </w:tc>
        <w:tc>
          <w:tcPr>
            <w:tcW w:w="1520" w:type="dxa"/>
            <w:vAlign w:val="bottom"/>
          </w:tcPr>
          <w:p>
            <w:pPr>
              <w:jc w:val="center"/>
              <w:ind w:left="228"/>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1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20" w:type="dxa"/>
            <w:vAlign w:val="bottom"/>
            <w:vMerge w:val="restart"/>
          </w:tcPr>
          <w:p>
            <w:pPr>
              <w:spacing w:after="0"/>
              <w:rPr>
                <w:sz w:val="12"/>
                <w:szCs w:val="12"/>
                <w:color w:val="auto"/>
              </w:rPr>
            </w:pPr>
          </w:p>
        </w:tc>
        <w:tc>
          <w:tcPr>
            <w:tcW w:w="184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Options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4"/>
              </w:rPr>
              <w:t>Contractual Term</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4,528,426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10,776,000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1,644,160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(1,180,815)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Expired</w:t>
            </w:r>
          </w:p>
        </w:tc>
        <w:tc>
          <w:tcPr>
            <w:tcW w:w="1840" w:type="dxa"/>
            <w:vAlign w:val="bottom"/>
          </w:tcPr>
          <w:p>
            <w:pPr>
              <w:jc w:val="right"/>
              <w:spacing w:after="0"/>
              <w:rPr>
                <w:sz w:val="20"/>
                <w:szCs w:val="20"/>
                <w:color w:val="auto"/>
              </w:rPr>
            </w:pPr>
            <w:r>
              <w:rPr>
                <w:rFonts w:ascii="Arial" w:cs="Arial" w:eastAsia="Arial" w:hAnsi="Arial"/>
                <w:sz w:val="18"/>
                <w:szCs w:val="18"/>
                <w:color w:val="auto"/>
              </w:rPr>
              <w:t>(12,862)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Outstanding at December 31, 2018</w:t>
            </w:r>
          </w:p>
        </w:tc>
        <w:tc>
          <w:tcPr>
            <w:tcW w:w="1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4,790,683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11,407</w:t>
            </w:r>
          </w:p>
        </w:tc>
        <w:tc>
          <w:tcPr>
            <w:tcW w:w="0" w:type="dxa"/>
            <w:vAlign w:val="bottom"/>
          </w:tcPr>
          <w:p>
            <w:pPr>
              <w:spacing w:after="0"/>
              <w:rPr>
                <w:sz w:val="1"/>
                <w:szCs w:val="1"/>
                <w:color w:val="auto"/>
              </w:rPr>
            </w:pPr>
          </w:p>
        </w:tc>
      </w:tr>
      <w:tr>
        <w:trPr>
          <w:trHeight w:val="251"/>
        </w:trPr>
        <w:tc>
          <w:tcPr>
            <w:tcW w:w="42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December 31, 2018</w:t>
            </w: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2,292,065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December 31, 2018, 4,481,963 shares are vested and expected to vest. As of December 31, 2018 there was approximately $7.2 million, of total unrecognized compensation cost related to non-vested service-based stock options granted under the 2017 Plan and the Prior Plans. That cost is expected to be recognized over a weighted-average period of 3.0 years.</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total intrinsic value of stock options exercised for the years ended December 31, 2018, 2017, and 2016 was $10.3 million, $0.7 million and $0.1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Shareholders’ Equity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Sales Agreement</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October 10, 2016, the Company entered into an at-the-market sales agreement with Cowen (ATM Agreement), pursuant to which the Company sold shares of its common stock through Cowen, as sales agent, in registered transactions from the Company's shelf registration statement filed in June 2015. Shares of common stock were sold under the ATM at market prices. The Company paid 3% of the gross proceeds to Cowen as a commission. A total of 2,340,879 shares of common stock were sold under the ATM Agreement for proceeds of $8.0 million (net of $0.3 million in commission and issuance costs). There were no shares sold under the ATM Agreement during 2018. Effective May 29, 2018, the Company terminated the ATM Agreement and no further sales pursuant to the ATM Agreement will be made following such date of termination</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Public Equity Offering</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June 2018, the Company sold 5,750,000 shares of its common stock in an underwritten public offering at a price of $13.00 per share. The Company received proceeds of $70.1 million, net of $4.7 million of underwriters’ discount and issuance costs consisting primarily of legal and accounting fees. The Company recorded these proceeds as a common stock issuance.</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cash dividends have been declared or paid by the Company since its inception.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March 9, 2012, the Company completed the sale of 12,308 shares of Series B-1 Non-Voting Convertible Preferred Stock (Series B-1 preferred stock) at an offering price of $3,250 per share. In addition to the Series B-1 preferred stock, which was issued at the closing, the Company also authorized Series B-2 Voting Convertible preferred Stock (Series B-2 preferred stock). The Series B-1 preferred stock and Series B-2 preferred stock collectively are referred to as the Series B preferred stock. The Series B preferred stock is convertible, at the option of the holder thereof at any time after the 5 year anniversary of the closing of the offering, into shares of common stock at a conversion price of $3.25 per share of common stock, at a conversion ratio of one share of preferred stock for 50 shares of common stock.</w:t>
      </w:r>
    </w:p>
    <w:p>
      <w:pPr>
        <w:spacing w:after="0" w:line="19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February 10, 2017, the Company sent notice to Eastern Capital Limited (Eastern), the holder of shares of the Company’s Series B-1 Non-Voting Convertible Preferred Stock or Series B-2 Voting Convertible Preferred Stock (Preferred Stock), informing Eastern of the Company's election to convert all 12,308 of the outstanding shares of Preferred Stock held by Eastern, plus 9,570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801" w:right="239" w:bottom="1440" w:gutter="0" w:footer="0" w:header="0"/>
        </w:sectPr>
      </w:pPr>
    </w:p>
    <w:bookmarkStart w:id="75" w:name="page76"/>
    <w:bookmarkEnd w:id="75"/>
    <w:p>
      <w:pPr>
        <w:jc w:val="both"/>
        <w:spacing w:after="0" w:line="259" w:lineRule="auto"/>
        <w:rPr>
          <w:sz w:val="20"/>
          <w:szCs w:val="20"/>
          <w:color w:val="auto"/>
        </w:rPr>
      </w:pPr>
      <w:r>
        <w:rPr>
          <w:rFonts w:ascii="Arial" w:cs="Arial" w:eastAsia="Arial" w:hAnsi="Arial"/>
          <w:sz w:val="18"/>
          <w:szCs w:val="18"/>
          <w:color w:val="auto"/>
        </w:rPr>
        <w:t>shares of Preferred Stock in accumulated but undeclared dividends thereon, into 1,093,892 shares of the Company's common stock pursuant to the terms of the Amended and Restated Certificate of Designations, Preferences and Rights of Series B-1 Non-Voting Preferred Stock and Series B-2 Voting Preferred Stock of the Company (Mandatory Conversion). After the Mandatory Conversion on March 9, 2017, no shares of Preferred Stock of the Company remain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Common Share</w:t>
      </w:r>
    </w:p>
    <w:p>
      <w:pPr>
        <w:spacing w:after="0" w:line="229"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(8,137)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(17,286)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(19,566)</w:t>
            </w: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earnings attributable to convertible preferred stock</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7,579</w:t>
            </w:r>
          </w:p>
        </w:tc>
      </w:tr>
      <w:tr>
        <w:trPr>
          <w:trHeight w:val="237"/>
        </w:trPr>
        <w:tc>
          <w:tcPr>
            <w:tcW w:w="6220" w:type="dxa"/>
            <w:vAlign w:val="bottom"/>
            <w:gridSpan w:val="2"/>
          </w:tcPr>
          <w:p>
            <w:pPr>
              <w:ind w:left="380"/>
              <w:spacing w:after="0"/>
              <w:rPr>
                <w:sz w:val="20"/>
                <w:szCs w:val="20"/>
                <w:color w:val="auto"/>
              </w:rPr>
            </w:pPr>
            <w:r>
              <w:rPr>
                <w:rFonts w:ascii="Arial" w:cs="Arial" w:eastAsia="Arial" w:hAnsi="Arial"/>
                <w:sz w:val="18"/>
                <w:szCs w:val="18"/>
                <w:color w:val="auto"/>
              </w:rPr>
              <w:t>Numerator of basic and diluted EPS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(27,145)</w:t>
            </w: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9"/>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Denominator for basic and diluted EPS: weighted-average common shares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outstanding</w:t>
            </w:r>
          </w:p>
        </w:tc>
        <w:tc>
          <w:tcPr>
            <w:tcW w:w="3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40,242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33,355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23,093</w:t>
            </w: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7"/>
              </w:rPr>
              <w:t>Net loss per share attributable to common shareholders (basic and 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Common equivalent shares and treasury stock are not included in the diluted per share calculation where the effect of their inclusion would be anti-dilutive. The aggregate number of common equivalent shares (related to options, warrants, and preferred stock) that have been excluded from the computations of diluted net loss per common share for the years ended December 31, 2018, 2017 and 2016 was 4.8 million, 5.4 million and 5.3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Purchase Warrants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has historically issued warrants to purchase shares of the Company’s common stock in connection with certain of its common stock offerings and in September 2016 and December 2017 the Company issued warrants in connection with the amended SVB Loan Agreement discussed in note 6 (collectively the Debt Warrants) classified in equity. The warrants issued in August 2013 (August 2013 Warrants) expired in August 2018, and included anti-dilution price protection provisions that required cash settlement of the warrants and accordingly required the warrants to be recorded as liabilities of the Company at the estimated fair value at the balance sheet date, with changes in estimated fair value recorded as income or expense (non-cash) in the Company’s statement of operations in each subsequent period. The following table describes the outstanding warrants as of December 31, 2018:</w:t>
      </w:r>
    </w:p>
    <w:p>
      <w:pPr>
        <w:spacing w:after="0" w:line="170" w:lineRule="exact"/>
        <w:rPr>
          <w:sz w:val="20"/>
          <w:szCs w:val="20"/>
          <w:color w:val="auto"/>
        </w:rPr>
      </w:pPr>
    </w:p>
    <w:tbl>
      <w:tblPr>
        <w:tblLayout w:type="fixed"/>
        <w:tblInd w:w="3060" w:type="dxa"/>
        <w:tblCellMar>
          <w:top w:w="0" w:type="dxa"/>
          <w:left w:w="0" w:type="dxa"/>
          <w:bottom w:w="0" w:type="dxa"/>
          <w:right w:w="0" w:type="dxa"/>
        </w:tblCellMar>
      </w:tblPr>
      <w:tr>
        <w:trPr>
          <w:trHeight w:val="192"/>
        </w:trPr>
        <w:tc>
          <w:tcPr>
            <w:tcW w:w="314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December 2017 Warrants</w:t>
            </w: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218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rPr>
              <w:t>$4.27</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Expiration date</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December 6, 2023</w:t>
            </w:r>
          </w:p>
        </w:tc>
      </w:tr>
      <w:tr>
        <w:trPr>
          <w:trHeight w:val="27"/>
        </w:trPr>
        <w:tc>
          <w:tcPr>
            <w:tcW w:w="31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shares issuable on exercise</w:t>
            </w:r>
          </w:p>
        </w:tc>
        <w:tc>
          <w:tcPr>
            <w:tcW w:w="218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rPr>
              <w:t>26,951</w:t>
            </w:r>
          </w:p>
        </w:tc>
      </w:tr>
      <w:tr>
        <w:trPr>
          <w:trHeight w:val="27"/>
        </w:trPr>
        <w:tc>
          <w:tcPr>
            <w:tcW w:w="31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the year ended December 31, 2018, the Company issued 565,895 shares of common stock upon the exercise of August 2013 Warrants with an exercise price of $4.80. As of December 31, 2018, the unexercised August 2013 Warrants expired by their terms. In addition, SVB and MidCap's assignee exercised all 117,074 of the September 2016 Warrants with an exercise price of $2.25 and 26,951 of the December 2017 Warrants with an exercise price of $4.27, in each case via cashless exercise in exchange for 95,335 and 19,750 shares of the Company's common stock, respectively. As of December 31, 2018 no August 2013 or September 2016 warrants are outstanding.</w:t>
      </w:r>
    </w:p>
    <w:p>
      <w:pPr>
        <w:spacing w:after="0" w:line="1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fair value of the warrants described in the table above is measured using the Black-Scholes valuation model. Inherent in the Black-Scholes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84" w:right="239" w:bottom="1440" w:gutter="0" w:footer="0" w:header="0"/>
        </w:sectPr>
      </w:pPr>
    </w:p>
    <w:bookmarkStart w:id="76" w:name="page77"/>
    <w:bookmarkEnd w:id="76"/>
    <w:p>
      <w:pPr>
        <w:ind w:left="260"/>
        <w:spacing w:after="0"/>
        <w:rPr>
          <w:sz w:val="20"/>
          <w:szCs w:val="20"/>
          <w:color w:val="auto"/>
        </w:rPr>
      </w:pPr>
      <w:r>
        <w:rPr>
          <w:rFonts w:ascii="Arial" w:cs="Arial" w:eastAsia="Arial" w:hAnsi="Arial"/>
          <w:sz w:val="18"/>
          <w:szCs w:val="18"/>
          <w:color w:val="auto"/>
        </w:rPr>
        <w:t>The assumptions used by the Company are summarized in the following table: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2017 Warrants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December 6, 2017</w:t>
            </w:r>
          </w:p>
        </w:tc>
      </w:tr>
      <w:tr>
        <w:trPr>
          <w:trHeight w:val="250"/>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5.10</w:t>
            </w:r>
          </w:p>
        </w:tc>
      </w:tr>
      <w:tr>
        <w:trPr>
          <w:trHeight w:val="243"/>
        </w:trPr>
        <w:tc>
          <w:tcPr>
            <w:tcW w:w="940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43"/>
        </w:trPr>
        <w:tc>
          <w:tcPr>
            <w:tcW w:w="940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9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9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3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6.00</w:t>
            </w:r>
          </w:p>
        </w:tc>
      </w:tr>
      <w:tr>
        <w:trPr>
          <w:trHeight w:val="27"/>
        </w:trPr>
        <w:tc>
          <w:tcPr>
            <w:tcW w:w="9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ICT Warrants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December 21, 2017, the Company received $5.2 million (gross of withholding tax) from Innovative Cellular Therapeutics CO., LTD. (ICT), of which $4.0 million was allocated to the purchase of a warrant for 818,424 shares of the Company's common stock based on the fair value on the date of grant and the remaining $1.2 million was allocated as consideration for the license agreement described in note 4. The fair value of the warrant was based on the closing price as of December 6, 2017 of $4.90 at an exercise price of $0.01 per share. On December 27, 2017, ICT exercised the warrant via a cashless exercise in exchange for 816,850 shares of the Company’s common stock. There were no warrants issued to ICT outstanding as of December 31,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Level 1: Unadjusted quoted prices in active markets that are accessible at the measurement date for identical, unrestricted assets or liabilities;</w:t>
      </w:r>
    </w:p>
    <w:p>
      <w:pPr>
        <w:spacing w:after="0" w:line="34"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ind w:left="660" w:right="2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There was no movement between Level 1 and Level 2 or between Level 2 and Level 3. Assets and liabilities measured at fair value are classified in their entirety based on the lowest level of input that is significant to the fair value measurement. The commercial paper, corporate notes, government securities and asset-backed securities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following table summarizes the valuation of the Company’s financial instruments that are measured at fair value on a recurring basis:</w:t>
      </w:r>
    </w:p>
    <w:p>
      <w:pPr>
        <w:sectPr>
          <w:pgSz w:w="11900" w:h="16838" w:orient="portrait"/>
          <w:cols w:equalWidth="0" w:num="1">
            <w:col w:w="11420"/>
          </w:cols>
          <w:pgMar w:left="240" w:top="800" w:right="239" w:bottom="1440" w:gutter="0" w:footer="0" w:header="0"/>
        </w:sectPr>
      </w:pPr>
    </w:p>
    <w:p>
      <w:pPr>
        <w:spacing w:after="0" w:line="400"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23495</wp:posOffset>
            </wp:positionV>
            <wp:extent cx="274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03" w:lineRule="exact"/>
        <w:rPr>
          <w:sz w:val="20"/>
          <w:szCs w:val="20"/>
          <w:color w:val="auto"/>
        </w:rPr>
      </w:pPr>
    </w:p>
    <w:p>
      <w:pPr>
        <w:ind w:left="416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38100</wp:posOffset>
            </wp:positionV>
            <wp:extent cx="2040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-1005205</wp:posOffset>
            </wp:positionH>
            <wp:positionV relativeFrom="paragraph">
              <wp:posOffset>23495</wp:posOffset>
            </wp:positionV>
            <wp:extent cx="274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38100</wp:posOffset>
            </wp:positionV>
            <wp:extent cx="2040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7760" w:space="720"/>
            <w:col w:w="2940"/>
          </w:cols>
          <w:pgMar w:left="240" w:top="800" w:right="239" w:bottom="1440" w:gutter="0" w:footer="0" w:header="0"/>
          <w:type w:val="continuous"/>
        </w:sectPr>
      </w:pPr>
    </w:p>
    <w:tbl>
      <w:tblPr>
        <w:tblLayout w:type="fixed"/>
        <w:tblInd w:w="220" w:type="dxa"/>
        <w:tblCellMar>
          <w:top w:w="0" w:type="dxa"/>
          <w:left w:w="0" w:type="dxa"/>
          <w:bottom w:w="0" w:type="dxa"/>
          <w:right w:w="0" w:type="dxa"/>
        </w:tblCellMar>
      </w:tblPr>
      <w:tr>
        <w:trPr>
          <w:trHeight w:val="192"/>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2240" w:type="dxa"/>
            <w:vAlign w:val="bottom"/>
            <w:gridSpan w:val="2"/>
          </w:tcPr>
          <w:p>
            <w:pPr>
              <w:ind w:left="16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5,838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Repurchase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43"/>
        </w:trPr>
        <w:tc>
          <w:tcPr>
            <w:tcW w:w="2240" w:type="dxa"/>
            <w:vAlign w:val="bottom"/>
            <w:gridSpan w:val="2"/>
          </w:tcPr>
          <w:p>
            <w:pPr>
              <w:ind w:left="16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30,710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Corporate notes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43"/>
        </w:trPr>
        <w:tc>
          <w:tcPr>
            <w:tcW w:w="2240" w:type="dxa"/>
            <w:vAlign w:val="bottom"/>
            <w:gridSpan w:val="2"/>
          </w:tcPr>
          <w:p>
            <w:pPr>
              <w:ind w:left="160"/>
              <w:spacing w:after="0"/>
              <w:rPr>
                <w:sz w:val="20"/>
                <w:szCs w:val="20"/>
                <w:color w:val="auto"/>
              </w:rPr>
            </w:pPr>
            <w:r>
              <w:rPr>
                <w:rFonts w:ascii="Arial" w:cs="Arial" w:eastAsia="Arial" w:hAnsi="Arial"/>
                <w:sz w:val="18"/>
                <w:szCs w:val="18"/>
                <w:color w:val="auto"/>
                <w:w w:val="95"/>
              </w:rPr>
              <w:t>U.S. government securities</w:t>
            </w: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10,166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10,166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asset-backed</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2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37"/>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75,476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5,838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69,638</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2240" w:type="dxa"/>
            <w:vAlign w:val="bottom"/>
            <w:gridSpan w:val="2"/>
          </w:tcPr>
          <w:p>
            <w:pPr>
              <w:ind w:left="160"/>
              <w:spacing w:after="0"/>
              <w:rPr>
                <w:sz w:val="20"/>
                <w:szCs w:val="20"/>
                <w:color w:val="auto"/>
              </w:rPr>
            </w:pPr>
            <w:r>
              <w:rPr>
                <w:rFonts w:ascii="Arial" w:cs="Arial" w:eastAsia="Arial" w:hAnsi="Arial"/>
                <w:sz w:val="18"/>
                <w:szCs w:val="18"/>
                <w:color w:val="auto"/>
              </w:rPr>
              <w:t>Warrant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702"/>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gridSpan w:val="3"/>
          </w:tcPr>
          <w:p>
            <w:pPr>
              <w:jc w:val="right"/>
              <w:ind w:right="90"/>
              <w:spacing w:after="0"/>
              <w:rPr>
                <w:sz w:val="20"/>
                <w:szCs w:val="20"/>
                <w:color w:val="auto"/>
              </w:rPr>
            </w:pPr>
            <w:r>
              <w:rPr>
                <w:rFonts w:ascii="Arial" w:cs="Arial" w:eastAsia="Arial" w:hAnsi="Arial"/>
                <w:sz w:val="18"/>
                <w:szCs w:val="18"/>
                <w:color w:val="auto"/>
                <w:w w:val="89"/>
              </w:rPr>
              <w:t>77</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type w:val="continuous"/>
        </w:sectPr>
      </w:pPr>
    </w:p>
    <w:bookmarkStart w:id="77" w:name="page78"/>
    <w:bookmarkEnd w:id="77"/>
    <w:p>
      <w:pPr>
        <w:ind w:firstLine="243"/>
        <w:spacing w:after="0" w:line="274" w:lineRule="auto"/>
        <w:rPr>
          <w:sz w:val="20"/>
          <w:szCs w:val="20"/>
          <w:color w:val="auto"/>
        </w:rPr>
      </w:pPr>
      <w:r>
        <w:rPr>
          <w:rFonts w:ascii="Arial" w:cs="Arial" w:eastAsia="Arial" w:hAnsi="Arial"/>
          <w:sz w:val="17"/>
          <w:szCs w:val="17"/>
          <w:color w:val="auto"/>
        </w:rPr>
        <w:t>The fair values of the cash equivalents and marketable securities are based on observable market prices. Accrued interest of $0.1 million is included in the fair value measurements above and currently classified as an other asset on the consolidated balance sheet as of December 31, 2018.</w:t>
      </w:r>
    </w:p>
    <w:p>
      <w:pPr>
        <w:ind w:firstLine="243"/>
        <w:spacing w:after="0" w:line="261" w:lineRule="auto"/>
        <w:rPr>
          <w:sz w:val="20"/>
          <w:szCs w:val="20"/>
          <w:color w:val="auto"/>
        </w:rPr>
      </w:pPr>
      <w:r>
        <w:rPr>
          <w:rFonts w:ascii="Arial" w:cs="Arial" w:eastAsia="Arial" w:hAnsi="Arial"/>
          <w:sz w:val="18"/>
          <w:szCs w:val="18"/>
          <w:color w:val="auto"/>
        </w:rPr>
        <w:t>The fair values of the warrants are measured using the Black-Scholes valuation model. See note 12 for further discussion of the significant observable inputs use to measure the warrant liabilities.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change in the estimated fair value of the Company’s warrant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Warrant Liabilities (In thousands)</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Increase in fair value</w:t>
            </w:r>
          </w:p>
        </w:tc>
        <w:tc>
          <w:tcPr>
            <w:tcW w:w="6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9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Increase in fair value (net of expired warrants)</w:t>
            </w:r>
          </w:p>
        </w:tc>
        <w:tc>
          <w:tcPr>
            <w:tcW w:w="6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2,524</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 exercise</w:t>
            </w: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r>
      <w:tr>
        <w:trPr>
          <w:trHeight w:val="237"/>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Balance at December 31, 2018</w:t>
            </w: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9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Income (loss) before income taxes for U.S and non-U.S operations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loss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(19,302)</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Non U.S. loss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57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 reconciliation of income taxes computed using the federal statutory rate to the taxes reported in the consolidated statements of operations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(17,286)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(19,566)</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Federal statutory rate</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Taxes computed at federal statutory rate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(5,877)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State taxes (net of federal benefit)</w:t>
            </w:r>
          </w:p>
        </w:tc>
        <w:tc>
          <w:tcPr>
            <w:tcW w:w="44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(1,106)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Nondeductible stock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563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Federal and State Rate Change</w:t>
            </w:r>
          </w:p>
        </w:tc>
        <w:tc>
          <w:tcPr>
            <w:tcW w:w="44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11,749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w:t>
            </w:r>
          </w:p>
        </w:tc>
        <w:tc>
          <w:tcPr>
            <w:tcW w:w="44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(5,445)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7,677</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Reported income taxes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Arial" w:cs="Arial" w:eastAsia="Arial" w:hAnsi="Arial"/>
                <w:sz w:val="18"/>
                <w:szCs w:val="18"/>
                <w:color w:val="auto"/>
              </w:rPr>
              <w:t>Deferred tax assets consist of the following:</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right"/>
              <w:ind w:right="97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10,487</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Employee benefits and stock compensation</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2,798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7"/>
        </w:trPr>
        <w:tc>
          <w:tcPr>
            <w:tcW w:w="55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8,275</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Fixed assets</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55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Inventory reserve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24,248</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Valuation allowance</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(25,936)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(24,248)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4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584" w:right="239" w:bottom="1440" w:gutter="0" w:footer="0" w:header="0"/>
          <w:type w:val="continuous"/>
        </w:sectPr>
      </w:pPr>
    </w:p>
    <w:bookmarkStart w:id="78" w:name="page79"/>
    <w:bookmarkEnd w:id="78"/>
    <w:p>
      <w:pPr>
        <w:jc w:val="both"/>
        <w:ind w:firstLine="230"/>
        <w:spacing w:after="0" w:line="273" w:lineRule="auto"/>
        <w:rPr>
          <w:sz w:val="20"/>
          <w:szCs w:val="20"/>
          <w:color w:val="auto"/>
        </w:rPr>
      </w:pPr>
      <w:r>
        <w:rPr>
          <w:rFonts w:ascii="Arial" w:cs="Arial" w:eastAsia="Arial" w:hAnsi="Arial"/>
          <w:sz w:val="17"/>
          <w:szCs w:val="17"/>
          <w:color w:val="auto"/>
        </w:rPr>
        <w:t>As of December 31, 2018, the Company’s U.S. federal and state tax net operating loss carryforwards available to offset future profits, after considering the annual Section 382 limit described below, are $44.6 million and $25.2 million, respectively. These net operating loss carryforwards will expire between 2019 and 2038 with the exception of the federal net operating loss generated in 2018. The federal net operating loss of $1.3 million generated in 2018 can be carried forward indefinitely. The projected annual limitation on the use of the net operating losses that existed prior to September 17, 2014 as a result of our change in control in 2014 per Section 382 of the Internal Revenue Code is $0.8 million. As a result, a significant portion of the net operating losses and tax credit carryforwards will expire prior to their utilization, regardless of the level of future profitability.</w:t>
      </w:r>
    </w:p>
    <w:p>
      <w:pPr>
        <w:spacing w:after="0" w:line="17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accordance with the accounting guidance for income taxes, the Company estimated whether recoverability of its deferred tax assets is “more likely than not,” based on forecasts of taxable income in the related tax jurisdictions. In this estimate, the Company uses historical results, projected future operating results based upon approved business plans, eligible carry forward periods, tax planning opportunities and other relevant considerations. Based on these factors, including historical losses incurred by the Company, a full valuation allowance for the deferred tax assets, including the deferred tax assets for the aforementioned net operating losses and credits, has been provided since they are not more likely than not to be realized. If the Company achieves profitability, these deferred tax assets may be available to offset future income taxes. The change in the valuation allowance was an increase of $1.7 million and a decrease of $5.4 million for the years ended December 31, 2018 and 2017, respectively.</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assesses uncertain tax positions in accordance with the guidance for accounting for uncertain tax positions. This pronouncement prescribes a recognition threshold and measurement methodology for recording within the financial statements uncertain tax positions taken, or expected to be taken, in the Company’s income tax returns. To the extent the uncertain tax positions do not meet the “more likely than not” threshold, the Company has derecognized such positions. To the extent the uncertain tax positions meet the “more likely than not” threshold, the Company has measured and recorded the highest probable benefit, and have established appropriate reserves for benefits that exceed the amount likely to be sustained upon examination. The Company currently has not recorded any uncertain tax positions and does not anticipate that the unrecognized tax benefits will significantly increase or decrease within the next twelve months.</w:t>
      </w:r>
    </w:p>
    <w:p>
      <w:pPr>
        <w:spacing w:after="0" w:line="18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Company files U.S. federal and state income tax returns with varying statute of limitations. Due to the Company’s net operating loss carryforwards, federal income tax returns from incorporation are still subject to examination. Michigan tax returns for the year ended December 31, 2013 and forward are subject to examination. Massachusetts tax returns for the year ended December 31, 2015 and forward are subject to examination.</w:t>
      </w:r>
    </w:p>
    <w:p>
      <w:pPr>
        <w:spacing w:after="0" w:line="14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December 22, 2017 the Tax Cuts and Jobs Act (Tax Act) was enacted. The Tax Act contains significant changes to corporate taxation, including the reduction of the corporate tax rate from 35 percent to 21 percent, increased deductions for capital spending, limitations on interest expense deductions, implementation of a territorial tax system, and imposition of a tax on deemed repatriated earnings of foreign subsidiaries. The Company remeasured the deferred taxes based on the enacted rate of 21 percent which resulted in an increase to tax expense of $11.7 million, which was recorded in 2017. The increase to tax expense was offset by the reversal of the valuation allowance. Our final determination of the Tax Act impact and the remeasurement of our deferred assets and liabilities was completed prior to the deadline of one year from enactment of the Tax Act. For the year ended December 31, 2018, there were no material changes to our analysis originally performed as of December 31, 2017.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Savings Plan</w:t>
      </w:r>
    </w:p>
    <w:p>
      <w:pPr>
        <w:spacing w:after="0" w:line="229" w:lineRule="exact"/>
        <w:rPr>
          <w:sz w:val="20"/>
          <w:szCs w:val="20"/>
          <w:color w:val="auto"/>
        </w:rPr>
      </w:pPr>
    </w:p>
    <w:p>
      <w:pPr>
        <w:ind w:right="180" w:firstLine="243"/>
        <w:spacing w:after="0" w:line="264" w:lineRule="auto"/>
        <w:rPr>
          <w:sz w:val="20"/>
          <w:szCs w:val="20"/>
          <w:color w:val="auto"/>
        </w:rPr>
      </w:pPr>
      <w:r>
        <w:rPr>
          <w:rFonts w:ascii="Arial" w:cs="Arial" w:eastAsia="Arial" w:hAnsi="Arial"/>
          <w:sz w:val="18"/>
          <w:szCs w:val="18"/>
          <w:color w:val="auto"/>
        </w:rPr>
        <w:t>The Company has a 401(k) savings plan that allows participating employees to contribute a portion of their salary, subject to annual limits and minimum qualifications. The Board may, at its sole discretion, approve Company matching contributions to the plan. The Company made contributions of $0.6 million, $0.6 million and $0.6 million for the years ended December 31, 2018, 2017 and 2016, respectively.</w:t>
      </w:r>
    </w:p>
    <w:p>
      <w:pPr>
        <w:spacing w:after="0" w:line="177" w:lineRule="exact"/>
        <w:rPr>
          <w:sz w:val="20"/>
          <w:szCs w:val="20"/>
          <w:color w:val="auto"/>
        </w:rPr>
      </w:pPr>
    </w:p>
    <w:p>
      <w:pPr>
        <w:ind w:left="260" w:right="8120" w:hanging="252"/>
        <w:spacing w:after="0" w:line="566" w:lineRule="auto"/>
        <w:tabs>
          <w:tab w:leader="none" w:pos="287"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Manufacturing and Supply Agreements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Matricel — </w:t>
      </w:r>
      <w:r>
        <w:rPr>
          <w:rFonts w:ascii="Arial" w:cs="Arial" w:eastAsia="Arial" w:hAnsi="Arial"/>
          <w:sz w:val="18"/>
          <w:szCs w:val="18"/>
          <w:color w:val="auto"/>
        </w:rPr>
        <w:t>In October 2015, the Company signed a long-term supply agreement with Matricel GmbH for the ACI-Maix collagen membrane used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 of MACI. Matricel supplied ACI-Maix membranes used in the production of MACI when it was previously marketed outside the U.S. by Genzyme Corporation, a Sanofi company. The Company and Matricel amended the agreement on March 17, 2018. Under the agreement, the Company has committed to purchase annually approximately $0.6 million per year. For the years ended December 31, 2016, 2017 and 2018, the Company has fulfilled this commitment.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800" w:right="239" w:bottom="1440" w:gutter="0" w:footer="0" w:header="0"/>
        </w:sectPr>
      </w:pPr>
    </w:p>
    <w:bookmarkStart w:id="79" w:name="page80"/>
    <w:bookmarkEnd w:id="79"/>
    <w:p>
      <w:pPr>
        <w:jc w:val="both"/>
        <w:spacing w:after="0" w:line="277" w:lineRule="auto"/>
        <w:rPr>
          <w:sz w:val="20"/>
          <w:szCs w:val="20"/>
          <w:color w:val="auto"/>
        </w:rPr>
      </w:pPr>
      <w:r>
        <w:rPr>
          <w:rFonts w:ascii="Arial" w:cs="Arial" w:eastAsia="Arial" w:hAnsi="Arial"/>
          <w:sz w:val="18"/>
          <w:szCs w:val="18"/>
          <w:color w:val="auto"/>
        </w:rPr>
        <w:t>agreement is effective until December 31, 2022 and contains a 5-year renewal option by the Company and an additional 5-year automatic renewal, unless otherwise terminated.</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Manufacture, Supply and Other Agreements — </w:t>
      </w:r>
      <w:r>
        <w:rPr>
          <w:rFonts w:ascii="Arial" w:cs="Arial" w:eastAsia="Arial" w:hAnsi="Arial"/>
          <w:sz w:val="18"/>
          <w:szCs w:val="18"/>
          <w:color w:val="auto"/>
        </w:rPr>
        <w:t>The Company has entered into various agreements relating to the manufacture of its products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supply of certain components. If the manufacturing or supply agreements expire or are otherwise terminated, the Company may not be able to identify and obtain ancillary materials that are necessary to develop its products and such expiration and termination could have a material effect on the Company’s business.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 leases facilities in Ann Arbor, Michigan and Cambridge, Massachusetts. In March 2016, the Company amended its current lease in Cambridge to extend the terms until February 2022 and have the right to extend until February 2027, subject to certain conditions. The Cambridge facilities include clean rooms, laboratories for MACI and Epicel manufacturing and office space. It is probable the Company will exercise its right to extend the lease. Under the amendment, the landlord will contribute approximately $2.0 million toward the cost of tenant improvements. The contribution toward the cost of tenant improvements is recorded as deferred rent on the Company's consolidated balance sheet and is amortized to our consolidated statement of operations as reductions to rent expense over the lease term. Through December 31, 2018, the Company has recorded tenant improvements of $1.9 million. In addition to the property leases, the Company also pays for use of an offsite warehouse space, and leases various vehicles and computer equipment.</w:t>
      </w:r>
    </w:p>
    <w:p>
      <w:pPr>
        <w:spacing w:after="0" w:line="16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Future minimum payments related to our operating and capital leases, and contractual obligations including interest on outstanding term loans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8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15,386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Purchase commitments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18,352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Rent expense for the years ended December 31, 2018, 2017 and 2016, was $5.5 million, $5.6 million and $4.8 million, respectively.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Supplementary Quarterly Financial Information (unaudited)</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Quarterly earnings per share amounts may not sum to the totals for each of the years, since quarterly computations are based on weighted average common shares outstanding during each quarter.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First Quarter</w:t>
            </w: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Second Quarter</w:t>
            </w: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Third Quarter</w:t>
            </w:r>
          </w:p>
        </w:tc>
        <w:tc>
          <w:tcPr>
            <w:tcW w:w="1340" w:type="dxa"/>
            <w:vAlign w:val="bottom"/>
            <w:gridSpan w:val="3"/>
          </w:tcPr>
          <w:p>
            <w:pPr>
              <w:ind w:left="60"/>
              <w:spacing w:after="0"/>
              <w:rPr>
                <w:sz w:val="20"/>
                <w:szCs w:val="20"/>
                <w:color w:val="auto"/>
              </w:rPr>
            </w:pPr>
            <w:r>
              <w:rPr>
                <w:rFonts w:ascii="Arial" w:cs="Arial" w:eastAsia="Arial" w:hAnsi="Arial"/>
                <w:sz w:val="16"/>
                <w:szCs w:val="16"/>
                <w:b w:val="1"/>
                <w:bCs w:val="1"/>
                <w:color w:val="auto"/>
              </w:rPr>
              <w:t>Fourth Quarter</w:t>
            </w:r>
          </w:p>
        </w:tc>
        <w:tc>
          <w:tcPr>
            <w:tcW w:w="30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Year</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18,027</w:t>
            </w:r>
          </w:p>
        </w:tc>
        <w:tc>
          <w:tcPr>
            <w:tcW w:w="12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19,011</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22,484</w:t>
            </w:r>
          </w:p>
        </w:tc>
        <w:tc>
          <w:tcPr>
            <w:tcW w:w="12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31,335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90,857</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58,697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Profit (loss) from operations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5,995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(3,909)</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profit per share (Basic)</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profit per share (Diluted)</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84"/>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9,361</w:t>
            </w:r>
          </w:p>
        </w:tc>
        <w:tc>
          <w:tcPr>
            <w:tcW w:w="12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16,953</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14,260</w:t>
            </w:r>
          </w:p>
        </w:tc>
        <w:tc>
          <w:tcPr>
            <w:tcW w:w="12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23,350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63,924</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33,570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(14,984)</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profit per share (Basic and Diluted)</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(0.52)</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are none to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Management of the Company, with the participation of its certifying officers, evaluated the effectiveness of the Company’s disclosure controls and procedures as defined in Rules 13a-15(e) and 15d-15(e) under the Exchange Act. Based on the evaluation as of December 31, 2018, the Company's Certifying Officers concluded that the Company’s disclosure controls and procedures were effective.</w:t>
      </w:r>
    </w:p>
    <w:p>
      <w:pPr>
        <w:spacing w:after="0" w:line="181"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the Commission’s rules and forms, and that such information is accumulated and communicated to management</w:t>
      </w:r>
    </w:p>
    <w:p>
      <w:pPr>
        <w:sectPr>
          <w:pgSz w:w="11900" w:h="16838" w:orient="portrait"/>
          <w:cols w:equalWidth="0" w:num="1">
            <w:col w:w="11420"/>
          </w:cols>
          <w:pgMar w:left="240" w:top="584" w:right="239" w:bottom="0" w:gutter="0" w:footer="0" w:header="0"/>
        </w:sectPr>
      </w:pPr>
    </w:p>
    <w:bookmarkStart w:id="80" w:name="page81"/>
    <w:bookmarkEnd w:id="80"/>
    <w:p>
      <w:pPr>
        <w:jc w:val="both"/>
        <w:spacing w:after="0" w:line="277" w:lineRule="auto"/>
        <w:rPr>
          <w:sz w:val="20"/>
          <w:szCs w:val="20"/>
          <w:color w:val="auto"/>
        </w:rPr>
      </w:pPr>
      <w:r>
        <w:rPr>
          <w:rFonts w:ascii="Arial" w:cs="Arial" w:eastAsia="Arial" w:hAnsi="Arial"/>
          <w:sz w:val="18"/>
          <w:szCs w:val="18"/>
          <w:color w:val="auto"/>
        </w:rPr>
        <w:t>of the Company, with the participation of its Chief Executive Officer and Chief Financial Officer (its “Certifying Officers”), as appropriate, to allow timely decisions regarding required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216"/>
        <w:spacing w:after="0" w:line="273"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Rules 13a-15(f) and 15d-15(f) under the Exchange Act). Our internal control over financial reporting is a process designed under the supervision of our CEO and CFO to provide reasonable assurance regarding the reliability of financial reporting and the preparation of our financial statements for external purposes in accordance with generally accepted accounting principles. Management evaluated the effectiveness of our internal control over financial reporting using the criteria set forth by the Committee of Sponsoring Organizations of the Treadway Commission (COSO)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 </w:t>
      </w:r>
      <w:r>
        <w:rPr>
          <w:rFonts w:ascii="Arial" w:cs="Arial" w:eastAsia="Arial" w:hAnsi="Arial"/>
          <w:sz w:val="17"/>
          <w:szCs w:val="17"/>
          <w:i w:val="1"/>
          <w:iCs w:val="1"/>
          <w:color w:val="auto"/>
        </w:rPr>
        <w:t>Integrated Framework</w:t>
      </w:r>
      <w:r>
        <w:rPr>
          <w:rFonts w:ascii="Arial" w:cs="Arial" w:eastAsia="Arial" w:hAnsi="Arial"/>
          <w:sz w:val="17"/>
          <w:szCs w:val="17"/>
          <w:color w:val="auto"/>
        </w:rPr>
        <w:t xml:space="preserve"> (2013). Management concluded our internal control over financial reporting was effective as of December 31, 2018.</w:t>
      </w:r>
    </w:p>
    <w:p>
      <w:pPr>
        <w:spacing w:after="0" w:line="178" w:lineRule="exact"/>
        <w:rPr>
          <w:sz w:val="20"/>
          <w:szCs w:val="20"/>
          <w:color w:val="auto"/>
        </w:rPr>
      </w:pPr>
    </w:p>
    <w:p>
      <w:pPr>
        <w:jc w:val="both"/>
        <w:ind w:right="20" w:firstLine="230"/>
        <w:spacing w:after="0" w:line="308" w:lineRule="auto"/>
        <w:rPr>
          <w:sz w:val="20"/>
          <w:szCs w:val="20"/>
          <w:color w:val="auto"/>
        </w:rPr>
      </w:pPr>
      <w:r>
        <w:rPr>
          <w:rFonts w:ascii="Arial" w:cs="Arial" w:eastAsia="Arial" w:hAnsi="Arial"/>
          <w:sz w:val="17"/>
          <w:szCs w:val="17"/>
          <w:color w:val="auto"/>
        </w:rPr>
        <w:t>The effectiveness of the Company’s internal control over financial reporting as of December 31, 2018 has been audited by PricewaterhouseCoopers LLP, an independent registered public accounting firm, as stated in their report which appears in Item 8 of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December 31, 2018, there were no material changes made in our internal control over financial reporting (as such term is defined in Rules 13a-15(f) and 15d-15(f) of the Exchange Act).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Certain information required by Part III is omitted from this Annual Report on Form 10-K, and is incorporated by reference to our definitive Proxy Statement to be filed with the Securities and Exchange Commission pursuant to Regulation 14A in connection with our 2019 Annual Meeting of Shareholders scheduled for May 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color w:val="auto"/>
        </w:rPr>
        <w:t>The information relating to our directors is incorporated by reference to the Proxy Statement as set forth under the caption “Election of Directors.” Information relating to our executive officers is set forth in Part I of this Report under the caption “Executive Officers.”</w:t>
      </w:r>
    </w:p>
    <w:p>
      <w:pPr>
        <w:spacing w:after="0" w:line="170"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Information with respect to delinquent filings pursuant to Item 405 of Regulation S-K is incorporated by reference to the Proxy Statement as set forth under the caption “Section 16(a) Beneficial Ownership Reporting Compliance.”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ind w:right="160" w:firstLine="243"/>
        <w:spacing w:after="0" w:line="277" w:lineRule="auto"/>
        <w:rPr>
          <w:sz w:val="20"/>
          <w:szCs w:val="20"/>
          <w:color w:val="auto"/>
        </w:rPr>
      </w:pPr>
      <w:r>
        <w:rPr>
          <w:rFonts w:ascii="Arial" w:cs="Arial" w:eastAsia="Arial" w:hAnsi="Arial"/>
          <w:sz w:val="18"/>
          <w:szCs w:val="18"/>
          <w:color w:val="auto"/>
        </w:rPr>
        <w:t>The information relating to executive compensation is incorporated by reference to the Proxy Statement under the caption “Executive Compensation and Related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information relating to ownership of our equity securities by certain beneficial owners and management is incorporated by reference to the Proxy Statement as set forth under the caption “Stock Ownership of Certain Beneficial Owners and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information relating to certain relationships and related person transactions is incorporated by reference to the Proxy Statement under the caption “Certain Relationships and Related 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information relating to principal accountant fees and services is incorporated by reference to the Proxy Statement under the caption “Ratification of Appointment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80" w:right="239" w:bottom="1440" w:gutter="0" w:footer="0" w:header="0"/>
        </w:sectPr>
      </w:pPr>
    </w:p>
    <w:bookmarkStart w:id="82" w:name="page83"/>
    <w:bookmarkEnd w:id="82"/>
    <w:p>
      <w:pPr>
        <w:ind w:left="5340"/>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11" w:lineRule="exact"/>
        <w:rPr>
          <w:sz w:val="20"/>
          <w:szCs w:val="20"/>
          <w:color w:val="auto"/>
        </w:rPr>
      </w:pPr>
    </w:p>
    <w:p>
      <w:pPr>
        <w:ind w:left="500" w:hanging="249"/>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following documents are filed as part of this Annual Report on Form 10-K:</w:t>
      </w:r>
    </w:p>
    <w:p>
      <w:pPr>
        <w:spacing w:after="0" w:line="248" w:lineRule="exact"/>
        <w:rPr>
          <w:rFonts w:ascii="Arial" w:cs="Arial" w:eastAsia="Arial" w:hAnsi="Arial"/>
          <w:sz w:val="16"/>
          <w:szCs w:val="16"/>
          <w:color w:val="auto"/>
        </w:rPr>
      </w:pPr>
    </w:p>
    <w:p>
      <w:pPr>
        <w:ind w:left="840" w:hanging="170"/>
        <w:spacing w:after="0"/>
        <w:tabs>
          <w:tab w:leader="none" w:pos="8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Financial Statements (see Item 8).</w:t>
      </w:r>
    </w:p>
    <w:p>
      <w:pPr>
        <w:spacing w:after="0" w:line="23" w:lineRule="exact"/>
        <w:rPr>
          <w:rFonts w:ascii="Arial" w:cs="Arial" w:eastAsia="Arial" w:hAnsi="Arial"/>
          <w:sz w:val="18"/>
          <w:szCs w:val="18"/>
          <w:color w:val="auto"/>
        </w:rPr>
      </w:pPr>
    </w:p>
    <w:p>
      <w:pPr>
        <w:ind w:left="840" w:hanging="170"/>
        <w:spacing w:after="0"/>
        <w:tabs>
          <w:tab w:leader="none" w:pos="8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information is included in the Financial Statements or Notes thereto.</w:t>
      </w:r>
    </w:p>
    <w:p>
      <w:pPr>
        <w:spacing w:after="0" w:line="20" w:lineRule="exact"/>
        <w:rPr>
          <w:rFonts w:ascii="Arial" w:cs="Arial" w:eastAsia="Arial" w:hAnsi="Arial"/>
          <w:sz w:val="17"/>
          <w:szCs w:val="17"/>
          <w:color w:val="auto"/>
        </w:rPr>
      </w:pPr>
    </w:p>
    <w:p>
      <w:pPr>
        <w:ind w:left="840" w:hanging="170"/>
        <w:spacing w:after="0"/>
        <w:tabs>
          <w:tab w:leader="none" w:pos="8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Exhibits: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Annual Report on Form 10-K does not include a summary.</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219"/>
          </w:cols>
          <w:pgMar w:left="240" w:top="580"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0" w:type="dxa"/>
            <w:vAlign w:val="bottom"/>
            <w:gridSpan w:val="11"/>
          </w:tcPr>
          <w:p>
            <w:pPr>
              <w:ind w:left="800"/>
              <w:spacing w:after="0"/>
              <w:rPr>
                <w:sz w:val="20"/>
                <w:szCs w:val="20"/>
                <w:color w:val="auto"/>
              </w:rPr>
            </w:pPr>
            <w:r>
              <w:rPr>
                <w:rFonts w:ascii="Arial" w:cs="Arial" w:eastAsia="Arial" w:hAnsi="Arial"/>
                <w:sz w:val="18"/>
                <w:szCs w:val="18"/>
                <w:b w:val="1"/>
                <w:bCs w:val="1"/>
                <w:color w:val="auto"/>
              </w:rPr>
              <w:t>EXHIBIT INDEX</w:t>
            </w:r>
          </w:p>
        </w:tc>
      </w:tr>
      <w:tr>
        <w:trPr>
          <w:trHeight w:val="548"/>
        </w:trPr>
        <w:tc>
          <w:tcPr>
            <w:tcW w:w="18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24"/>
                <w:szCs w:val="24"/>
                <w:color w:val="auto"/>
              </w:rPr>
            </w:pPr>
          </w:p>
        </w:tc>
        <w:tc>
          <w:tcPr>
            <w:tcW w:w="9540" w:type="dxa"/>
            <w:vAlign w:val="bottom"/>
            <w:gridSpan w:val="12"/>
          </w:tcPr>
          <w:p>
            <w:pPr>
              <w:spacing w:after="0"/>
              <w:rPr>
                <w:sz w:val="20"/>
                <w:szCs w:val="20"/>
                <w:color w:val="auto"/>
              </w:rPr>
            </w:pPr>
            <w:r>
              <w:rPr>
                <w:rFonts w:ascii="Arial" w:cs="Arial" w:eastAsia="Arial" w:hAnsi="Arial"/>
                <w:sz w:val="14"/>
                <w:szCs w:val="14"/>
                <w:b w:val="1"/>
                <w:bCs w:val="1"/>
                <w:color w:val="auto"/>
              </w:rPr>
              <w:t>Description</w:t>
            </w:r>
          </w:p>
        </w:tc>
      </w:tr>
      <w:tr>
        <w:trPr>
          <w:trHeight w:val="472"/>
        </w:trPr>
        <w:tc>
          <w:tcPr>
            <w:tcW w:w="1380" w:type="dxa"/>
            <w:vAlign w:val="bottom"/>
            <w:tcBorders>
              <w:top w:val="single" w:sz="8" w:color="auto"/>
            </w:tcBorders>
          </w:tcPr>
          <w:p>
            <w:pPr>
              <w:jc w:val="center"/>
              <w:ind w:left="171"/>
              <w:spacing w:after="0"/>
              <w:rPr>
                <w:sz w:val="20"/>
                <w:szCs w:val="20"/>
                <w:color w:val="auto"/>
              </w:rPr>
            </w:pPr>
            <w:r>
              <w:rPr>
                <w:rFonts w:ascii="Arial" w:cs="Arial" w:eastAsia="Arial" w:hAnsi="Arial"/>
                <w:sz w:val="18"/>
                <w:szCs w:val="18"/>
                <w:color w:val="auto"/>
                <w:w w:val="95"/>
              </w:rPr>
              <w:t>3.1</w:t>
            </w:r>
          </w:p>
        </w:tc>
        <w:tc>
          <w:tcPr>
            <w:tcW w:w="4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520" w:type="dxa"/>
            <w:vAlign w:val="bottom"/>
            <w:tcBorders>
              <w:top w:val="single" w:sz="8" w:color="auto"/>
              <w:bottom w:val="single" w:sz="8" w:color="0000FF"/>
            </w:tcBorders>
            <w:gridSpan w:val="11"/>
          </w:tcPr>
          <w:p>
            <w:pPr>
              <w:spacing w:after="0"/>
              <w:rPr>
                <w:rFonts w:ascii="Arial" w:cs="Arial" w:eastAsia="Arial" w:hAnsi="Arial"/>
                <w:sz w:val="18"/>
                <w:szCs w:val="18"/>
                <w:color w:val="0000FF"/>
                <w:w w:val="95"/>
              </w:rPr>
            </w:pPr>
            <w:hyperlink r:id="rId21">
              <w:r>
                <w:rPr>
                  <w:rFonts w:ascii="Arial" w:cs="Arial" w:eastAsia="Arial" w:hAnsi="Arial"/>
                  <w:sz w:val="18"/>
                  <w:szCs w:val="18"/>
                  <w:color w:val="0000FF"/>
                  <w:w w:val="95"/>
                </w:rPr>
                <w:t>Restated Articles of Incorporation of the Company, filed as Exhibit 4.1 to the Company’s Current Report on Form 8-K filed on</w:t>
              </w:r>
            </w:hyperlink>
          </w:p>
        </w:tc>
        <w:tc>
          <w:tcPr>
            <w:tcW w:w="20" w:type="dxa"/>
            <w:vAlign w:val="bottom"/>
            <w:tcBorders>
              <w:top w:val="single" w:sz="8" w:color="auto"/>
            </w:tcBorders>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2"/>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December 17, 2009, incorporated herein by reference</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3.2</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1"/>
          </w:tcPr>
          <w:p>
            <w:pPr>
              <w:spacing w:after="0"/>
              <w:rPr>
                <w:rFonts w:ascii="Arial" w:cs="Arial" w:eastAsia="Arial" w:hAnsi="Arial"/>
                <w:sz w:val="18"/>
                <w:szCs w:val="18"/>
                <w:color w:val="0000FF"/>
                <w:w w:val="92"/>
              </w:rPr>
            </w:pPr>
            <w:hyperlink r:id="rId22">
              <w:r>
                <w:rPr>
                  <w:rFonts w:ascii="Arial" w:cs="Arial" w:eastAsia="Arial" w:hAnsi="Arial"/>
                  <w:sz w:val="18"/>
                  <w:szCs w:val="18"/>
                  <w:color w:val="0000FF"/>
                  <w:w w:val="92"/>
                </w:rPr>
                <w:t>Certificate of Amendment to Restated Articles of Incorporation of the Company dated February 9, 2010, filed as Exhibit 3.2 to the</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2"/>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Company’s Post-Effective Amendment No. 1 to Form S-1 filed on March 31, 2010, incorporated herein by reference</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3.3</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1"/>
          </w:tcPr>
          <w:p>
            <w:pPr>
              <w:spacing w:after="0"/>
              <w:rPr>
                <w:rFonts w:ascii="Arial" w:cs="Arial" w:eastAsia="Arial" w:hAnsi="Arial"/>
                <w:sz w:val="18"/>
                <w:szCs w:val="18"/>
                <w:color w:val="0000FF"/>
                <w:w w:val="93"/>
              </w:rPr>
            </w:pPr>
            <w:hyperlink r:id="rId23">
              <w:r>
                <w:rPr>
                  <w:rFonts w:ascii="Arial" w:cs="Arial" w:eastAsia="Arial" w:hAnsi="Arial"/>
                  <w:sz w:val="18"/>
                  <w:szCs w:val="18"/>
                  <w:color w:val="0000FF"/>
                  <w:w w:val="93"/>
                </w:rPr>
                <w:t>Certificate of Amendment to Restated Articles of Incorporation of the Company dated March 22, 2011, attached as Exhibit 3.1 to</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2"/>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the Company’s Current Report on Form 8-K filed on March 25, 2011, incorporated herein by reference</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3.4</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1"/>
          </w:tcPr>
          <w:p>
            <w:pPr>
              <w:spacing w:after="0"/>
              <w:rPr>
                <w:rFonts w:ascii="Arial" w:cs="Arial" w:eastAsia="Arial" w:hAnsi="Arial"/>
                <w:sz w:val="18"/>
                <w:szCs w:val="18"/>
                <w:color w:val="0000FF"/>
                <w:w w:val="97"/>
              </w:rPr>
            </w:pPr>
            <w:hyperlink r:id="rId24">
              <w:r>
                <w:rPr>
                  <w:rFonts w:ascii="Arial" w:cs="Arial" w:eastAsia="Arial" w:hAnsi="Arial"/>
                  <w:sz w:val="18"/>
                  <w:szCs w:val="18"/>
                  <w:color w:val="0000FF"/>
                  <w:w w:val="97"/>
                </w:rPr>
                <w:t>Certificate of Amendment to the Restated Articles of Incorporation of the Company, dated November 21, 2014, attached as</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2"/>
          </w:tcPr>
          <w:p>
            <w:pPr>
              <w:spacing w:after="0" w:line="196" w:lineRule="exact"/>
              <w:rPr>
                <w:rFonts w:ascii="Arial" w:cs="Arial" w:eastAsia="Arial" w:hAnsi="Arial"/>
                <w:sz w:val="18"/>
                <w:szCs w:val="18"/>
                <w:color w:val="0000FF"/>
                <w:w w:val="99"/>
              </w:rPr>
            </w:pPr>
            <w:hyperlink r:id="rId24">
              <w:r>
                <w:rPr>
                  <w:rFonts w:ascii="Arial" w:cs="Arial" w:eastAsia="Arial" w:hAnsi="Arial"/>
                  <w:sz w:val="18"/>
                  <w:szCs w:val="18"/>
                  <w:color w:val="0000FF"/>
                  <w:w w:val="99"/>
                </w:rPr>
                <w:t>Exhibit 3.1 to the Company’s Current Report on Form 8-K filed on November 24, 2014, incorporated herein by reference</w:t>
              </w:r>
              <w:r>
                <w:rPr>
                  <w:rFonts w:ascii="Arial" w:cs="Arial" w:eastAsia="Arial" w:hAnsi="Arial"/>
                  <w:sz w:val="18"/>
                  <w:szCs w:val="18"/>
                  <w:color w:val="000000"/>
                  <w:w w:val="99"/>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3.5</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1"/>
          </w:tcPr>
          <w:p>
            <w:pPr>
              <w:spacing w:after="0"/>
              <w:rPr>
                <w:rFonts w:ascii="Arial" w:cs="Arial" w:eastAsia="Arial" w:hAnsi="Arial"/>
                <w:sz w:val="18"/>
                <w:szCs w:val="18"/>
                <w:color w:val="0000FF"/>
                <w:w w:val="93"/>
              </w:rPr>
            </w:pPr>
            <w:hyperlink r:id="rId25">
              <w:r>
                <w:rPr>
                  <w:rFonts w:ascii="Arial" w:cs="Arial" w:eastAsia="Arial" w:hAnsi="Arial"/>
                  <w:sz w:val="18"/>
                  <w:szCs w:val="18"/>
                  <w:color w:val="0000FF"/>
                  <w:w w:val="93"/>
                </w:rPr>
                <w:t>Certificate of Designations, Preferences and Rights and Limitations of Series A Convertible Preferred Stock (incorporated herein</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2"/>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by reference as Exhibit 3.7 to the Company's Annual Report on Form 10-K, filed March 14, 2016)</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3.6</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1"/>
          </w:tcPr>
          <w:p>
            <w:pPr>
              <w:spacing w:after="0"/>
              <w:rPr>
                <w:rFonts w:ascii="Arial" w:cs="Arial" w:eastAsia="Arial" w:hAnsi="Arial"/>
                <w:sz w:val="18"/>
                <w:szCs w:val="18"/>
                <w:color w:val="0000FF"/>
                <w:w w:val="98"/>
              </w:rPr>
            </w:pPr>
            <w:hyperlink r:id="rId26">
              <w:r>
                <w:rPr>
                  <w:rFonts w:ascii="Arial" w:cs="Arial" w:eastAsia="Arial" w:hAnsi="Arial"/>
                  <w:sz w:val="18"/>
                  <w:szCs w:val="18"/>
                  <w:color w:val="0000FF"/>
                  <w:w w:val="98"/>
                </w:rPr>
                <w:t>Bylaws, as amended, attached as Exhibit 3.1 to the Company’s Current Report on Form 8-K filed on November 12, 2010,</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2"/>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incorporated herein by reference</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4.1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1"/>
          </w:tcPr>
          <w:p>
            <w:pPr>
              <w:spacing w:after="0"/>
              <w:rPr>
                <w:rFonts w:ascii="Arial" w:cs="Arial" w:eastAsia="Arial" w:hAnsi="Arial"/>
                <w:sz w:val="18"/>
                <w:szCs w:val="18"/>
                <w:color w:val="0000FF"/>
                <w:w w:val="94"/>
              </w:rPr>
            </w:pPr>
            <w:hyperlink r:id="rId27">
              <w:r>
                <w:rPr>
                  <w:rFonts w:ascii="Arial" w:cs="Arial" w:eastAsia="Arial" w:hAnsi="Arial"/>
                  <w:sz w:val="18"/>
                  <w:szCs w:val="18"/>
                  <w:color w:val="0000FF"/>
                  <w:w w:val="94"/>
                </w:rPr>
                <w:t>Form of Senior Indenture for Senior Debt Securities, filed as Exhibit 4.2 to the Company’s Registration Statement on Form S-3</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2"/>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filed on August 16, 2018 and incorporated herein by reference</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4.2</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1"/>
          </w:tcPr>
          <w:p>
            <w:pPr>
              <w:spacing w:after="0"/>
              <w:rPr>
                <w:rFonts w:ascii="Arial" w:cs="Arial" w:eastAsia="Arial" w:hAnsi="Arial"/>
                <w:sz w:val="18"/>
                <w:szCs w:val="18"/>
                <w:color w:val="0000FF"/>
                <w:w w:val="94"/>
              </w:rPr>
            </w:pPr>
            <w:hyperlink r:id="rId28">
              <w:r>
                <w:rPr>
                  <w:rFonts w:ascii="Arial" w:cs="Arial" w:eastAsia="Arial" w:hAnsi="Arial"/>
                  <w:sz w:val="18"/>
                  <w:szCs w:val="18"/>
                  <w:color w:val="0000FF"/>
                  <w:w w:val="94"/>
                </w:rPr>
                <w:t>Form of Indenture for Subordinated Debt Securities, filed as Exhibit 4.3 to the Company’s Registration Statement on Form S-3</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2"/>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filed on August 16, 2018 and incorporated herein by reference</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4.3</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1"/>
          </w:tcPr>
          <w:p>
            <w:pPr>
              <w:spacing w:after="0"/>
              <w:rPr>
                <w:rFonts w:ascii="Arial" w:cs="Arial" w:eastAsia="Arial" w:hAnsi="Arial"/>
                <w:sz w:val="18"/>
                <w:szCs w:val="18"/>
                <w:color w:val="0000FF"/>
                <w:w w:val="96"/>
              </w:rPr>
            </w:pPr>
            <w:hyperlink r:id="rId29">
              <w:r>
                <w:rPr>
                  <w:rFonts w:ascii="Arial" w:cs="Arial" w:eastAsia="Arial" w:hAnsi="Arial"/>
                  <w:sz w:val="18"/>
                  <w:szCs w:val="18"/>
                  <w:color w:val="0000FF"/>
                  <w:w w:val="96"/>
                </w:rPr>
                <w:t>Shareholder Rights Agreement, dated as of August 11, 2011, between the Company and Continental Stock Transfer &amp; Trust</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tcBorders>
              <w:bottom w:val="single" w:sz="8" w:color="0000FF"/>
            </w:tcBorders>
            <w:gridSpan w:val="12"/>
          </w:tcPr>
          <w:p>
            <w:pPr>
              <w:spacing w:after="0" w:line="196" w:lineRule="exact"/>
              <w:rPr>
                <w:rFonts w:ascii="Arial" w:cs="Arial" w:eastAsia="Arial" w:hAnsi="Arial"/>
                <w:sz w:val="18"/>
                <w:szCs w:val="18"/>
                <w:color w:val="0000FF"/>
                <w:w w:val="96"/>
              </w:rPr>
            </w:pPr>
            <w:hyperlink r:id="rId29">
              <w:r>
                <w:rPr>
                  <w:rFonts w:ascii="Arial" w:cs="Arial" w:eastAsia="Arial" w:hAnsi="Arial"/>
                  <w:sz w:val="18"/>
                  <w:szCs w:val="18"/>
                  <w:color w:val="0000FF"/>
                  <w:w w:val="96"/>
                </w:rPr>
                <w:t>Company, as Rights Agent, attached as Exhibit 4.3 to the Company’s Current Report on Form 8-A filed on August 12, 2011,</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2"/>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incorporated herein by reference</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4.4</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1"/>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Amendment to Shareholder Rights Agreement, dated as of March 9, 2012, between the Company and Continental Stock Transfer &amp;</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30">
              <w:r>
                <w:rPr>
                  <w:rFonts w:ascii="Arial" w:cs="Arial" w:eastAsia="Arial" w:hAnsi="Arial"/>
                  <w:sz w:val="18"/>
                  <w:szCs w:val="18"/>
                  <w:color w:val="0000FF"/>
                  <w:w w:val="93"/>
                </w:rPr>
                <w:t>Trust Company, as Rights Agent, attached as Exhibit 4.1 to the Company’s Current Report on Form 8-K filed on March 9, 2012,</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2"/>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incorporated herein by reference</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10.1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tcBorders>
              <w:bottom w:val="single" w:sz="8" w:color="0000FF"/>
            </w:tcBorders>
            <w:gridSpan w:val="10"/>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2004 Equity Incentive Plan, attached as Exhibit 10.82 to Amendment No. 1 to the Company’s Quarterly Report on Form 10-Q/A</w:t>
              </w:r>
            </w:hyperlink>
          </w:p>
        </w:tc>
        <w:tc>
          <w:tcPr>
            <w:tcW w:w="4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2"/>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for the quarter ended September 30, 2004, incorporated herein by reference</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1640" w:type="dxa"/>
            <w:vAlign w:val="bottom"/>
            <w:tcBorders>
              <w:left w:val="single" w:sz="8" w:color="0000FF"/>
            </w:tcBorders>
            <w:gridSpan w:val="2"/>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10.2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1"/>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Form of Option and Restricted Stock Award Agreements for Grants under 2004 Equity Incentive Plan, attached as Exhibit 10.84 to</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2"/>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the Company’s Annual Report on Form 10-K for the year ended June 30, 2005, incorporated herein by reference</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4320" w:type="dxa"/>
            <w:vAlign w:val="bottom"/>
            <w:tcBorders>
              <w:left w:val="single" w:sz="8" w:color="0000FF"/>
            </w:tcBorders>
            <w:gridSpan w:val="5"/>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10.3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1"/>
          </w:tcPr>
          <w:p>
            <w:pPr>
              <w:spacing w:after="0"/>
              <w:rPr>
                <w:rFonts w:ascii="Arial" w:cs="Arial" w:eastAsia="Arial" w:hAnsi="Arial"/>
                <w:sz w:val="18"/>
                <w:szCs w:val="18"/>
                <w:color w:val="0000FF"/>
                <w:w w:val="98"/>
              </w:rPr>
            </w:pPr>
            <w:hyperlink r:id="rId33">
              <w:r>
                <w:rPr>
                  <w:rFonts w:ascii="Arial" w:cs="Arial" w:eastAsia="Arial" w:hAnsi="Arial"/>
                  <w:sz w:val="18"/>
                  <w:szCs w:val="18"/>
                  <w:color w:val="0000FF"/>
                  <w:w w:val="98"/>
                </w:rPr>
                <w:t>2004 Equity Incentive Plan, as amended, attached as Exhibit 99.1 to the Company’s Current Report on Form 8-K filed on</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2"/>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November 8, 2006, incorporated herein by reference</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10.4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2"/>
          </w:tcPr>
          <w:p>
            <w:pPr>
              <w:spacing w:after="0"/>
              <w:rPr>
                <w:rFonts w:ascii="Arial" w:cs="Arial" w:eastAsia="Arial" w:hAnsi="Arial"/>
                <w:sz w:val="18"/>
                <w:szCs w:val="18"/>
                <w:color w:val="0000FF"/>
                <w:w w:val="97"/>
              </w:rPr>
            </w:pPr>
            <w:hyperlink r:id="rId34">
              <w:r>
                <w:rPr>
                  <w:rFonts w:ascii="Arial" w:cs="Arial" w:eastAsia="Arial" w:hAnsi="Arial"/>
                  <w:sz w:val="18"/>
                  <w:szCs w:val="18"/>
                  <w:color w:val="0000FF"/>
                  <w:w w:val="97"/>
                </w:rPr>
                <w:t>Forms of Grant Notice and Stock Option Agreement for Grants under 2004 Equity Incentive Plan, as amended, attached as</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0"/>
          </w:tcPr>
          <w:p>
            <w:pPr>
              <w:spacing w:after="0" w:line="196" w:lineRule="exact"/>
              <w:rPr>
                <w:rFonts w:ascii="Arial" w:cs="Arial" w:eastAsia="Arial" w:hAnsi="Arial"/>
                <w:sz w:val="18"/>
                <w:szCs w:val="18"/>
                <w:color w:val="0000FF"/>
                <w:w w:val="98"/>
              </w:rPr>
            </w:pPr>
            <w:hyperlink r:id="rId34">
              <w:r>
                <w:rPr>
                  <w:rFonts w:ascii="Arial" w:cs="Arial" w:eastAsia="Arial" w:hAnsi="Arial"/>
                  <w:sz w:val="18"/>
                  <w:szCs w:val="18"/>
                  <w:color w:val="0000FF"/>
                  <w:w w:val="98"/>
                </w:rPr>
                <w:t>Exhibit 99.2 to the Company’s Current Report on Form 8-K filed on November 8, 2006, incorporated herein by reference</w:t>
              </w:r>
              <w:r>
                <w:rPr>
                  <w:rFonts w:ascii="Arial" w:cs="Arial" w:eastAsia="Arial" w:hAnsi="Arial"/>
                  <w:sz w:val="18"/>
                  <w:szCs w:val="18"/>
                  <w:color w:val="000000"/>
                  <w:w w:val="98"/>
                </w:rPr>
                <w:t>.</w:t>
              </w:r>
            </w:hyperlink>
          </w:p>
        </w:tc>
        <w:tc>
          <w:tcPr>
            <w:tcW w:w="40" w:type="dxa"/>
            <w:vAlign w:val="bottom"/>
            <w:gridSpan w:val="2"/>
          </w:tcPr>
          <w:p>
            <w:pPr>
              <w:spacing w:after="0"/>
              <w:rPr>
                <w:sz w:val="17"/>
                <w:szCs w:val="17"/>
                <w:color w:val="auto"/>
              </w:rPr>
            </w:pPr>
          </w:p>
        </w:tc>
      </w:tr>
      <w:tr>
        <w:trPr>
          <w:trHeight w:val="777"/>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tcBorders>
              <w:top w:val="single" w:sz="8" w:color="0000FF"/>
            </w:tcBorders>
            <w:gridSpan w:val="3"/>
          </w:tcPr>
          <w:p>
            <w:pPr>
              <w:ind w:left="3740"/>
              <w:spacing w:after="0"/>
              <w:rPr>
                <w:sz w:val="20"/>
                <w:szCs w:val="20"/>
                <w:color w:val="auto"/>
              </w:rPr>
            </w:pPr>
            <w:r>
              <w:rPr>
                <w:rFonts w:ascii="Arial" w:cs="Arial" w:eastAsia="Arial" w:hAnsi="Arial"/>
                <w:sz w:val="18"/>
                <w:szCs w:val="18"/>
                <w:color w:val="auto"/>
              </w:rPr>
              <w:t>83</w:t>
            </w:r>
          </w:p>
        </w:tc>
        <w:tc>
          <w:tcPr>
            <w:tcW w:w="940" w:type="dxa"/>
            <w:vAlign w:val="bottom"/>
            <w:tcBorders>
              <w:top w:val="single" w:sz="8" w:color="0000FF"/>
            </w:tcBorders>
          </w:tcPr>
          <w:p>
            <w:pPr>
              <w:spacing w:after="0"/>
              <w:rPr>
                <w:sz w:val="24"/>
                <w:szCs w:val="24"/>
                <w:color w:val="auto"/>
              </w:rPr>
            </w:pPr>
          </w:p>
        </w:tc>
        <w:tc>
          <w:tcPr>
            <w:tcW w:w="16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6"/>
                <w:szCs w:val="16"/>
                <w:color w:val="auto"/>
              </w:rPr>
            </w:pPr>
          </w:p>
        </w:tc>
        <w:tc>
          <w:tcPr>
            <w:tcW w:w="9540" w:type="dxa"/>
            <w:vAlign w:val="bottom"/>
            <w:gridSpan w:val="22"/>
          </w:tcPr>
          <w:p>
            <w:pPr>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380" w:type="dxa"/>
            <w:vAlign w:val="bottom"/>
            <w:tcBorders>
              <w:top w:val="single" w:sz="8" w:color="auto"/>
            </w:tcBorders>
          </w:tcPr>
          <w:p>
            <w:pPr>
              <w:jc w:val="center"/>
              <w:ind w:left="171"/>
              <w:spacing w:after="0" w:line="202" w:lineRule="exact"/>
              <w:rPr>
                <w:sz w:val="20"/>
                <w:szCs w:val="20"/>
                <w:color w:val="auto"/>
              </w:rPr>
            </w:pPr>
            <w:r>
              <w:rPr>
                <w:rFonts w:ascii="Arial" w:cs="Arial" w:eastAsia="Arial" w:hAnsi="Arial"/>
                <w:sz w:val="18"/>
                <w:szCs w:val="18"/>
                <w:color w:val="auto"/>
                <w:w w:val="87"/>
              </w:rPr>
              <w:t>10.5 #</w:t>
            </w:r>
          </w:p>
        </w:tc>
        <w:tc>
          <w:tcPr>
            <w:tcW w:w="4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540" w:type="dxa"/>
            <w:vAlign w:val="bottom"/>
            <w:tcBorders>
              <w:top w:val="single" w:sz="8" w:color="auto"/>
            </w:tcBorders>
            <w:gridSpan w:val="22"/>
          </w:tcPr>
          <w:p>
            <w:pPr>
              <w:spacing w:after="0" w:line="202" w:lineRule="exact"/>
              <w:rPr>
                <w:rFonts w:ascii="Arial" w:cs="Arial" w:eastAsia="Arial" w:hAnsi="Arial"/>
                <w:sz w:val="18"/>
                <w:szCs w:val="18"/>
                <w:color w:val="0000FF"/>
                <w:w w:val="93"/>
              </w:rPr>
            </w:pPr>
            <w:hyperlink r:id="rId35">
              <w:r>
                <w:rPr>
                  <w:rFonts w:ascii="Arial" w:cs="Arial" w:eastAsia="Arial" w:hAnsi="Arial"/>
                  <w:sz w:val="18"/>
                  <w:szCs w:val="18"/>
                  <w:color w:val="0000FF"/>
                  <w:w w:val="93"/>
                </w:rPr>
                <w:t>Form of Indemnification Agreement entered into between the Company and each of its directors, attached as Exhibit 10.1 to the</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Company’s Current Report on Form 8-K filed on August 31, 2010, incorporated herein by reference</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10.6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5"/>
              </w:rPr>
            </w:pPr>
            <w:hyperlink r:id="rId36">
              <w:r>
                <w:rPr>
                  <w:rFonts w:ascii="Arial" w:cs="Arial" w:eastAsia="Arial" w:hAnsi="Arial"/>
                  <w:sz w:val="18"/>
                  <w:szCs w:val="18"/>
                  <w:color w:val="0000FF"/>
                  <w:w w:val="95"/>
                </w:rPr>
                <w:t>Senior Executive Incentive Bonus Plan (incorporated herein by reference to Exhibit 10.3 to the Company’s Current Report on</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Form 8-K, filed on March 25, 2011)</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10.7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21"/>
          </w:tcPr>
          <w:p>
            <w:pPr>
              <w:spacing w:after="0"/>
              <w:rPr>
                <w:rFonts w:ascii="Arial" w:cs="Arial" w:eastAsia="Arial" w:hAnsi="Arial"/>
                <w:sz w:val="18"/>
                <w:szCs w:val="18"/>
                <w:color w:val="0000FF"/>
                <w:w w:val="95"/>
              </w:rPr>
            </w:pPr>
            <w:hyperlink r:id="rId37">
              <w:r>
                <w:rPr>
                  <w:rFonts w:ascii="Arial" w:cs="Arial" w:eastAsia="Arial" w:hAnsi="Arial"/>
                  <w:sz w:val="18"/>
                  <w:szCs w:val="18"/>
                  <w:color w:val="0000FF"/>
                  <w:w w:val="95"/>
                </w:rPr>
                <w:t>Executive Employment Agreement, executed March 4, 2013 and effective March 1, 2013, by and between the Company and</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Dominick C. Colangelo (incorporated herein by reference to Exhibit 10.1 to the Company’s Report on Form 8-K, filed on March 8,</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40" w:type="dxa"/>
            <w:vAlign w:val="bottom"/>
            <w:gridSpan w:val="3"/>
          </w:tcPr>
          <w:p>
            <w:pPr>
              <w:ind w:left="40"/>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2013)</w:t>
              </w:r>
              <w:r>
                <w:rPr>
                  <w:rFonts w:ascii="Arial" w:cs="Arial" w:eastAsia="Arial" w:hAnsi="Arial"/>
                  <w:sz w:val="18"/>
                  <w:szCs w:val="18"/>
                  <w:color w:val="000000"/>
                </w:rPr>
                <w:t>.</w:t>
              </w:r>
            </w:hyperlink>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1"/>
              </w:rPr>
              <w:t>10.8</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Asset Purchase Agreement, dated as of April 19, 2014, by and between the Company and Sanofi (incorporated herein by reference</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to Exhibit 2.1 to the Company’s Current Report on Form 8-K filed on April 23, 2014)</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10.9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21"/>
          </w:tcPr>
          <w:p>
            <w:pPr>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Second Amended and Restated 2009 Omnibus Incentive Plan (previously filed as Appendix II to the Company’s definitive proxy</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statement on Schedule 14A, filed on October 21, 2014 and incorporated herein by reference)</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10.10</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8"/>
              </w:rPr>
            </w:pPr>
            <w:hyperlink r:id="rId40">
              <w:r>
                <w:rPr>
                  <w:rFonts w:ascii="Arial" w:cs="Arial" w:eastAsia="Arial" w:hAnsi="Arial"/>
                  <w:sz w:val="18"/>
                  <w:szCs w:val="18"/>
                  <w:color w:val="0000FF"/>
                  <w:w w:val="98"/>
                </w:rPr>
                <w:t>Lease Agreement, dated November 30, 2005, by and between the Company and Up 64 Sidney Street, LLC, as amended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20"/>
          </w:tcPr>
          <w:p>
            <w:pPr>
              <w:spacing w:after="0" w:line="196" w:lineRule="exact"/>
              <w:rPr>
                <w:rFonts w:ascii="Arial" w:cs="Arial" w:eastAsia="Arial" w:hAnsi="Arial"/>
                <w:sz w:val="18"/>
                <w:szCs w:val="18"/>
                <w:color w:val="0000FF"/>
                <w:w w:val="98"/>
              </w:rPr>
            </w:pPr>
            <w:hyperlink r:id="rId40">
              <w:r>
                <w:rPr>
                  <w:rFonts w:ascii="Arial" w:cs="Arial" w:eastAsia="Arial" w:hAnsi="Arial"/>
                  <w:sz w:val="18"/>
                  <w:szCs w:val="18"/>
                  <w:color w:val="0000FF"/>
                  <w:w w:val="98"/>
                </w:rPr>
                <w:t>(incorporated herein by reference as Exhibit 10.57 to the Company's Annual Report on Form 10-K, filed March 14, 2016)</w:t>
              </w:r>
              <w:r>
                <w:rPr>
                  <w:rFonts w:ascii="Arial" w:cs="Arial" w:eastAsia="Arial" w:hAnsi="Arial"/>
                  <w:sz w:val="18"/>
                  <w:szCs w:val="18"/>
                  <w:color w:val="000000"/>
                  <w:w w:val="98"/>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Lease Agreement, dated January 23, 2008, by and between the Company and Up 64 Sidney Street, LLC, as amended (incorporated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herein by reference as Exhibit 10.58 to the Company's Annual Report on Form 10-K, filed March 14, 2016)</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10.12</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21"/>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Vericel Corporation 2015 Employee Stock Purchase Plan (incorporated herein by reference to Appendix I of the Company’s Proxy</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Statement on Schedule 14A for the fiscal year ended December 31, 2014, filed on March 25, 2015)</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10.13</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Services Agreement, dated April 5, 2016 between the Company and Dohmen Life Science Services, LLC (incorporated herein by</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reference to Exhibit 10.2 of the Company’s Quarterly Report on Form 10-Q filed with the SEC on May 10, 2016)</w:t>
              </w:r>
              <w:r>
                <w:rPr>
                  <w:rFonts w:ascii="Arial" w:cs="Arial" w:eastAsia="Arial" w:hAnsi="Arial"/>
                  <w:sz w:val="18"/>
                  <w:szCs w:val="18"/>
                  <w:color w:val="000000"/>
                </w:rPr>
                <w:t>.</w:t>
              </w:r>
            </w:hyperlink>
          </w:p>
        </w:tc>
        <w:tc>
          <w:tcPr>
            <w:tcW w:w="220" w:type="dxa"/>
            <w:vAlign w:val="bottom"/>
            <w:gridSpan w:val="5"/>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10.14</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0" w:type="dxa"/>
            <w:vAlign w:val="bottom"/>
            <w:tcBorders>
              <w:bottom w:val="single" w:sz="8" w:color="0000FF"/>
            </w:tcBorders>
            <w:gridSpan w:val="19"/>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First Amendment to the Services Agreement, dated April 5, 2016 between the Company and Dohmen Life Science Services, LLC,</w:t>
              </w:r>
            </w:hyperlink>
          </w:p>
        </w:tc>
        <w:tc>
          <w:tcPr>
            <w:tcW w:w="14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dated May 31, 2016 (incorporated herein by reference to Exhibit 10.2 of the Company’s Quarterly Report on Form 10-Q filed with</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the SEC on August 8, 2016)</w:t>
              </w:r>
              <w:r>
                <w:rPr>
                  <w:rFonts w:ascii="Arial" w:cs="Arial" w:eastAsia="Arial" w:hAnsi="Arial"/>
                  <w:sz w:val="18"/>
                  <w:szCs w:val="18"/>
                  <w:color w:val="000000"/>
                </w:rPr>
                <w:t>.</w:t>
              </w:r>
            </w:hyperlink>
          </w:p>
        </w:tc>
        <w:tc>
          <w:tcPr>
            <w:tcW w:w="140" w:type="dxa"/>
            <w:vAlign w:val="bottom"/>
            <w:gridSpan w:val="3"/>
          </w:tcPr>
          <w:p>
            <w:pPr>
              <w:spacing w:after="0"/>
              <w:rPr>
                <w:sz w:val="17"/>
                <w:szCs w:val="17"/>
                <w:color w:val="auto"/>
              </w:rPr>
            </w:pP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10.15 †</w:t>
            </w:r>
          </w:p>
        </w:tc>
        <w:tc>
          <w:tcPr>
            <w:tcW w:w="40" w:type="dxa"/>
            <w:vAlign w:val="bottom"/>
          </w:tcPr>
          <w:p>
            <w:pPr>
              <w:spacing w:after="0"/>
              <w:rPr>
                <w:sz w:val="24"/>
                <w:szCs w:val="24"/>
                <w:color w:val="auto"/>
              </w:rPr>
            </w:pPr>
          </w:p>
        </w:tc>
        <w:tc>
          <w:tcPr>
            <w:tcW w:w="9180" w:type="dxa"/>
            <w:vAlign w:val="bottom"/>
            <w:tcBorders>
              <w:bottom w:val="single" w:sz="8" w:color="0000FF"/>
            </w:tcBorders>
            <w:gridSpan w:val="15"/>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Second Amendment to the Services Agreement, dated April 5, 2016 between the Company and Dohmen Life Science Services,</w:t>
              </w:r>
            </w:hyperlink>
          </w:p>
        </w:tc>
        <w:tc>
          <w:tcPr>
            <w:tcW w:w="360" w:type="dxa"/>
            <w:vAlign w:val="bottom"/>
            <w:gridSpan w:val="7"/>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6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LLC, dated July 1, 2016 (incorporated herein by reference to Exhibit 10.3 of the Company’s Quarterly Report on Form 10-Q filed</w:t>
              </w:r>
            </w:hyperlink>
          </w:p>
        </w:tc>
        <w:tc>
          <w:tcPr>
            <w:tcW w:w="18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with the SEC on August 8, 2016)</w:t>
              </w:r>
              <w:r>
                <w:rPr>
                  <w:rFonts w:ascii="Arial" w:cs="Arial" w:eastAsia="Arial" w:hAnsi="Arial"/>
                  <w:sz w:val="18"/>
                  <w:szCs w:val="18"/>
                  <w:color w:val="000000"/>
                </w:rPr>
                <w:t>.</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10.16 †</w:t>
            </w:r>
          </w:p>
        </w:tc>
        <w:tc>
          <w:tcPr>
            <w:tcW w:w="40" w:type="dxa"/>
            <w:vAlign w:val="bottom"/>
          </w:tcPr>
          <w:p>
            <w:pPr>
              <w:spacing w:after="0"/>
              <w:rPr>
                <w:sz w:val="24"/>
                <w:szCs w:val="24"/>
                <w:color w:val="auto"/>
              </w:rPr>
            </w:pPr>
          </w:p>
        </w:tc>
        <w:tc>
          <w:tcPr>
            <w:tcW w:w="9000" w:type="dxa"/>
            <w:vAlign w:val="bottom"/>
            <w:tcBorders>
              <w:bottom w:val="single" w:sz="8" w:color="0000FF"/>
            </w:tcBorders>
            <w:gridSpan w:val="13"/>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Form of Warrants issued by the Company to the Lenders (incorporated herein by reference to Exhibit 10.1 on Form 8-K filed</w:t>
              </w:r>
            </w:hyperlink>
          </w:p>
        </w:tc>
        <w:tc>
          <w:tcPr>
            <w:tcW w:w="54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September 14, 2016, as amended on December 30, 2016)</w:t>
              </w:r>
              <w:r>
                <w:rPr>
                  <w:rFonts w:ascii="Arial" w:cs="Arial" w:eastAsia="Arial" w:hAnsi="Arial"/>
                  <w:sz w:val="18"/>
                  <w:szCs w:val="18"/>
                  <w:color w:val="000000"/>
                </w:rPr>
                <w:t>.</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10.17 †</w:t>
            </w:r>
          </w:p>
        </w:tc>
        <w:tc>
          <w:tcPr>
            <w:tcW w:w="40" w:type="dxa"/>
            <w:vAlign w:val="bottom"/>
          </w:tcPr>
          <w:p>
            <w:pPr>
              <w:spacing w:after="0"/>
              <w:rPr>
                <w:sz w:val="24"/>
                <w:szCs w:val="24"/>
                <w:color w:val="auto"/>
              </w:rPr>
            </w:pPr>
          </w:p>
        </w:tc>
        <w:tc>
          <w:tcPr>
            <w:tcW w:w="8940" w:type="dxa"/>
            <w:vAlign w:val="bottom"/>
            <w:tcBorders>
              <w:bottom w:val="single" w:sz="8" w:color="0000FF"/>
            </w:tcBorders>
            <w:gridSpan w:val="12"/>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Third Amendment to Services Agreement, dated October 12, 2016, by and between the Company and Dohmen Life Science</w:t>
              </w:r>
            </w:hyperlink>
          </w:p>
        </w:tc>
        <w:tc>
          <w:tcPr>
            <w:tcW w:w="600" w:type="dxa"/>
            <w:vAlign w:val="bottom"/>
            <w:gridSpan w:val="10"/>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Services, LLC (incorporated herein by reference to Exhibit 10.4 of the Company’s Quarterly Report on Form 10-Q filed with the</w:t>
              </w:r>
            </w:hyperlink>
          </w:p>
        </w:tc>
        <w:tc>
          <w:tcPr>
            <w:tcW w:w="26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SEC on November 7, 2016)</w:t>
              </w:r>
              <w:r>
                <w:rPr>
                  <w:rFonts w:ascii="Arial" w:cs="Arial" w:eastAsia="Arial" w:hAnsi="Arial"/>
                  <w:sz w:val="18"/>
                  <w:szCs w:val="18"/>
                  <w:color w:val="000000"/>
                </w:rPr>
                <w:t>.</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7160" w:type="dxa"/>
            <w:vAlign w:val="bottom"/>
            <w:gridSpan w:val="1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10.18 †</w:t>
            </w:r>
          </w:p>
        </w:tc>
        <w:tc>
          <w:tcPr>
            <w:tcW w:w="40" w:type="dxa"/>
            <w:vAlign w:val="bottom"/>
          </w:tcPr>
          <w:p>
            <w:pPr>
              <w:spacing w:after="0"/>
              <w:rPr>
                <w:sz w:val="24"/>
                <w:szCs w:val="24"/>
                <w:color w:val="auto"/>
              </w:rPr>
            </w:pPr>
          </w:p>
        </w:tc>
        <w:tc>
          <w:tcPr>
            <w:tcW w:w="9160" w:type="dxa"/>
            <w:vAlign w:val="bottom"/>
            <w:tcBorders>
              <w:bottom w:val="single" w:sz="8" w:color="0000FF"/>
            </w:tcBorders>
            <w:gridSpan w:val="14"/>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Fourth Amendment, dated November 19, 2016 to Services Agreement by and between the Company and Dohmen Life Science</w:t>
              </w:r>
            </w:hyperlink>
          </w:p>
        </w:tc>
        <w:tc>
          <w:tcPr>
            <w:tcW w:w="380" w:type="dxa"/>
            <w:vAlign w:val="bottom"/>
            <w:gridSpan w:val="8"/>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Services, LLC, dated April 5, 2016, as amended (incorporated herein by reference to Exhibit 10.2 on Form 8-K filed November 25,</w:t>
              </w:r>
            </w:hyperlink>
          </w:p>
        </w:tc>
        <w:tc>
          <w:tcPr>
            <w:tcW w:w="4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40" w:type="dxa"/>
            <w:vAlign w:val="bottom"/>
            <w:gridSpan w:val="3"/>
          </w:tcPr>
          <w:p>
            <w:pPr>
              <w:ind w:left="40"/>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2016)</w:t>
              </w:r>
              <w:r>
                <w:rPr>
                  <w:rFonts w:ascii="Arial" w:cs="Arial" w:eastAsia="Arial" w:hAnsi="Arial"/>
                  <w:sz w:val="18"/>
                  <w:szCs w:val="18"/>
                  <w:color w:val="000000"/>
                </w:rPr>
                <w:t>.</w:t>
              </w:r>
            </w:hyperlink>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31"/>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700" w:type="dxa"/>
            <w:vAlign w:val="bottom"/>
            <w:gridSpan w:val="4"/>
          </w:tcPr>
          <w:p>
            <w:pPr>
              <w:jc w:val="right"/>
              <w:ind w:right="200"/>
              <w:spacing w:after="0"/>
              <w:rPr>
                <w:sz w:val="20"/>
                <w:szCs w:val="20"/>
                <w:color w:val="auto"/>
              </w:rPr>
            </w:pPr>
            <w:r>
              <w:rPr>
                <w:rFonts w:ascii="Arial" w:cs="Arial" w:eastAsia="Arial" w:hAnsi="Arial"/>
                <w:sz w:val="18"/>
                <w:szCs w:val="18"/>
                <w:color w:val="auto"/>
              </w:rPr>
              <w:t>84</w:t>
            </w:r>
          </w:p>
        </w:tc>
        <w:tc>
          <w:tcPr>
            <w:tcW w:w="2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540" w:type="dxa"/>
            <w:vAlign w:val="bottom"/>
            <w:tcBorders>
              <w:bottom w:val="single" w:sz="8" w:color="auto"/>
            </w:tcBorders>
            <w:gridSpan w:val="22"/>
          </w:tcPr>
          <w:p>
            <w:pPr>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8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89"/>
              </w:rPr>
              <w:t>10.19 †</w:t>
            </w:r>
          </w:p>
        </w:tc>
        <w:tc>
          <w:tcPr>
            <w:tcW w:w="40" w:type="dxa"/>
            <w:vAlign w:val="bottom"/>
          </w:tcPr>
          <w:p>
            <w:pPr>
              <w:spacing w:after="0"/>
              <w:rPr>
                <w:sz w:val="17"/>
                <w:szCs w:val="17"/>
                <w:color w:val="auto"/>
              </w:rPr>
            </w:pPr>
          </w:p>
        </w:tc>
        <w:tc>
          <w:tcPr>
            <w:tcW w:w="9020" w:type="dxa"/>
            <w:vAlign w:val="bottom"/>
            <w:tcBorders>
              <w:bottom w:val="single" w:sz="8" w:color="0000FF"/>
            </w:tcBorders>
            <w:gridSpan w:val="12"/>
          </w:tcPr>
          <w:p>
            <w:pPr>
              <w:spacing w:after="0" w:line="202"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Form of Warrant issued by the Company to ICT (incorporated herein by reference to Exhibit 10.1 on Form 8-K filed May 15,</w:t>
              </w:r>
            </w:hyperlink>
          </w:p>
        </w:tc>
        <w:tc>
          <w:tcPr>
            <w:tcW w:w="52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ind w:left="40"/>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2017)</w:t>
              </w:r>
              <w:r>
                <w:rPr>
                  <w:rFonts w:ascii="Arial" w:cs="Arial" w:eastAsia="Arial" w:hAnsi="Arial"/>
                  <w:sz w:val="18"/>
                  <w:szCs w:val="18"/>
                  <w:color w:val="000000"/>
                </w:rPr>
                <w:t>.</w:t>
              </w:r>
            </w:hyperlink>
          </w:p>
        </w:tc>
        <w:tc>
          <w:tcPr>
            <w:tcW w:w="2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10.20 †</w:t>
            </w:r>
          </w:p>
        </w:tc>
        <w:tc>
          <w:tcPr>
            <w:tcW w:w="40" w:type="dxa"/>
            <w:vAlign w:val="bottom"/>
          </w:tcPr>
          <w:p>
            <w:pPr>
              <w:spacing w:after="0"/>
              <w:rPr>
                <w:sz w:val="24"/>
                <w:szCs w:val="24"/>
                <w:color w:val="auto"/>
              </w:rPr>
            </w:pPr>
          </w:p>
        </w:tc>
        <w:tc>
          <w:tcPr>
            <w:tcW w:w="9400" w:type="dxa"/>
            <w:vAlign w:val="bottom"/>
            <w:tcBorders>
              <w:bottom w:val="single" w:sz="8" w:color="0000FF"/>
            </w:tcBorders>
            <w:gridSpan w:val="19"/>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Distribution Agreement by and between Orsini Pharmaceutical Services, Inc. and the Company, dated May 15, 2017 (incorporated</w:t>
              </w:r>
            </w:hyperlink>
          </w:p>
        </w:tc>
        <w:tc>
          <w:tcPr>
            <w:tcW w:w="14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herein by reference to Exhibit 10.1 on Form 8-K/A filed June 2, 2017)</w:t>
              </w:r>
              <w:r>
                <w:rPr>
                  <w:rFonts w:ascii="Arial" w:cs="Arial" w:eastAsia="Arial" w:hAnsi="Arial"/>
                  <w:sz w:val="18"/>
                  <w:szCs w:val="18"/>
                  <w:color w:val="000000"/>
                </w:rPr>
                <w:t>.</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10.21 †</w:t>
            </w: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6"/>
              </w:rPr>
            </w:pPr>
            <w:hyperlink r:id="rId51">
              <w:r>
                <w:rPr>
                  <w:rFonts w:ascii="Arial" w:cs="Arial" w:eastAsia="Arial" w:hAnsi="Arial"/>
                  <w:sz w:val="18"/>
                  <w:szCs w:val="18"/>
                  <w:color w:val="0000FF"/>
                  <w:w w:val="96"/>
                </w:rPr>
                <w:t>Fifth Amendment, dated May 15, 2017, to the Services Agreement by and between the Company and Dohmen Life Science</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2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Services, LLC, dated April 5, 2016, as amended (incorporated herein by reference to Exhibit 10.2 on Form 8-K/A filed June 2,</w:t>
              </w:r>
            </w:hyperlink>
          </w:p>
        </w:tc>
        <w:tc>
          <w:tcPr>
            <w:tcW w:w="42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ind w:left="40"/>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2017)</w:t>
              </w:r>
              <w:r>
                <w:rPr>
                  <w:rFonts w:ascii="Arial" w:cs="Arial" w:eastAsia="Arial" w:hAnsi="Arial"/>
                  <w:sz w:val="18"/>
                  <w:szCs w:val="18"/>
                  <w:color w:val="000000"/>
                </w:rPr>
                <w:t>.</w:t>
              </w:r>
            </w:hyperlink>
          </w:p>
        </w:tc>
        <w:tc>
          <w:tcPr>
            <w:tcW w:w="2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10.22 †</w:t>
            </w:r>
          </w:p>
        </w:tc>
        <w:tc>
          <w:tcPr>
            <w:tcW w:w="40" w:type="dxa"/>
            <w:vAlign w:val="bottom"/>
          </w:tcPr>
          <w:p>
            <w:pPr>
              <w:spacing w:after="0"/>
              <w:rPr>
                <w:sz w:val="24"/>
                <w:szCs w:val="24"/>
                <w:color w:val="auto"/>
              </w:rPr>
            </w:pPr>
          </w:p>
        </w:tc>
        <w:tc>
          <w:tcPr>
            <w:tcW w:w="9040" w:type="dxa"/>
            <w:vAlign w:val="bottom"/>
            <w:tcBorders>
              <w:bottom w:val="single" w:sz="8" w:color="0000FF"/>
            </w:tcBorders>
            <w:gridSpan w:val="13"/>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License Agreement between the Company and Innovative Cellular Therapeutics CO., LTD., dated May 9, 2017 (incorporated</w:t>
              </w:r>
            </w:hyperlink>
          </w:p>
        </w:tc>
        <w:tc>
          <w:tcPr>
            <w:tcW w:w="50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herein by reference to Exhibit 10.2 on Form 8-K/A filed June 2, 2017)</w:t>
              </w:r>
              <w:r>
                <w:rPr>
                  <w:rFonts w:ascii="Arial" w:cs="Arial" w:eastAsia="Arial" w:hAnsi="Arial"/>
                  <w:sz w:val="18"/>
                  <w:szCs w:val="18"/>
                  <w:color w:val="000000"/>
                </w:rPr>
                <w:t>.</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10.23 †</w:t>
            </w:r>
          </w:p>
        </w:tc>
        <w:tc>
          <w:tcPr>
            <w:tcW w:w="40" w:type="dxa"/>
            <w:vAlign w:val="bottom"/>
          </w:tcPr>
          <w:p>
            <w:pPr>
              <w:spacing w:after="0"/>
              <w:rPr>
                <w:sz w:val="24"/>
                <w:szCs w:val="24"/>
                <w:color w:val="auto"/>
              </w:rPr>
            </w:pPr>
          </w:p>
        </w:tc>
        <w:tc>
          <w:tcPr>
            <w:tcW w:w="9160" w:type="dxa"/>
            <w:vAlign w:val="bottom"/>
            <w:tcBorders>
              <w:bottom w:val="single" w:sz="8" w:color="0000FF"/>
            </w:tcBorders>
            <w:gridSpan w:val="17"/>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Side Letter between the Company and Innovative Cellular Therapeutics CO., LTD., dated May 9, 2017 (incorporated herein by</w:t>
              </w:r>
            </w:hyperlink>
          </w:p>
        </w:tc>
        <w:tc>
          <w:tcPr>
            <w:tcW w:w="380" w:type="dxa"/>
            <w:vAlign w:val="bottom"/>
            <w:gridSpan w:val="5"/>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reference to Exhibit 10.3 on Form 8-K/A filed June 2, 2017)</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10.24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9"/>
              </w:rPr>
            </w:pPr>
            <w:hyperlink r:id="rId54">
              <w:r>
                <w:rPr>
                  <w:rFonts w:ascii="Arial" w:cs="Arial" w:eastAsia="Arial" w:hAnsi="Arial"/>
                  <w:sz w:val="18"/>
                  <w:szCs w:val="18"/>
                  <w:color w:val="0000FF"/>
                  <w:w w:val="99"/>
                </w:rPr>
                <w:t>First Amendment to Executive Employment Agreement by and between Dominick C. Colangelo and the Company, dated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740" w:type="dxa"/>
            <w:vAlign w:val="bottom"/>
            <w:tcBorders>
              <w:top w:val="single" w:sz="8" w:color="0000FF"/>
            </w:tcBorders>
            <w:gridSpan w:val="10"/>
          </w:tcPr>
          <w:p>
            <w:pPr>
              <w:spacing w:after="0" w:line="196"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September 14, 2017 (incorporated herein by reference to Exhibit 10.1 on Form 8-K filed September 19, 2017)</w:t>
              </w:r>
              <w:r>
                <w:rPr>
                  <w:rFonts w:ascii="Arial" w:cs="Arial" w:eastAsia="Arial" w:hAnsi="Arial"/>
                  <w:sz w:val="18"/>
                  <w:szCs w:val="18"/>
                  <w:color w:val="000000"/>
                  <w:w w:val="99"/>
                </w:rPr>
                <w:t>.</w:t>
              </w:r>
            </w:hyperlink>
          </w:p>
        </w:tc>
        <w:tc>
          <w:tcPr>
            <w:tcW w:w="800" w:type="dxa"/>
            <w:vAlign w:val="bottom"/>
            <w:gridSpan w:val="1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10.25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3"/>
              </w:rPr>
            </w:pPr>
            <w:hyperlink r:id="rId55">
              <w:r>
                <w:rPr>
                  <w:rFonts w:ascii="Arial" w:cs="Arial" w:eastAsia="Arial" w:hAnsi="Arial"/>
                  <w:sz w:val="18"/>
                  <w:szCs w:val="18"/>
                  <w:color w:val="0000FF"/>
                  <w:w w:val="93"/>
                </w:rPr>
                <w:t>Amended and Restated Employment Agreement by and between Daniel Orlando and the Company, dated September 14, 2017</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8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(incorporated herein by reference to Exhibit 10.2 on Form 8-K filed September 19, 2017)</w:t>
              </w:r>
              <w:r>
                <w:rPr>
                  <w:rFonts w:ascii="Arial" w:cs="Arial" w:eastAsia="Arial" w:hAnsi="Arial"/>
                  <w:sz w:val="18"/>
                  <w:szCs w:val="18"/>
                  <w:color w:val="000000"/>
                </w:rPr>
                <w:t>.</w:t>
              </w:r>
            </w:hyperlink>
          </w:p>
        </w:tc>
        <w:tc>
          <w:tcPr>
            <w:tcW w:w="460" w:type="dxa"/>
            <w:vAlign w:val="bottom"/>
            <w:gridSpan w:val="8"/>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10.26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4"/>
              </w:rPr>
            </w:pPr>
            <w:hyperlink r:id="rId56">
              <w:r>
                <w:rPr>
                  <w:rFonts w:ascii="Arial" w:cs="Arial" w:eastAsia="Arial" w:hAnsi="Arial"/>
                  <w:sz w:val="18"/>
                  <w:szCs w:val="18"/>
                  <w:color w:val="0000FF"/>
                  <w:w w:val="94"/>
                </w:rPr>
                <w:t>Amended and Restated Employment Agreement by and between Gerard Michel and the Company, dated September 15, 2017</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2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(incorporated herein by reference to Exhibit 10.3 on Form 8-K filed September 19, 2017)</w:t>
              </w:r>
              <w:r>
                <w:rPr>
                  <w:rFonts w:ascii="Arial" w:cs="Arial" w:eastAsia="Arial" w:hAnsi="Arial"/>
                  <w:sz w:val="18"/>
                  <w:szCs w:val="18"/>
                  <w:color w:val="000000"/>
                </w:rPr>
                <w:t>.</w:t>
              </w:r>
            </w:hyperlink>
          </w:p>
        </w:tc>
        <w:tc>
          <w:tcPr>
            <w:tcW w:w="520" w:type="dxa"/>
            <w:vAlign w:val="bottom"/>
            <w:gridSpan w:val="10"/>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10.27</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Amendment No. 1 to License Agreement between the Company and Innovative Cellular Therapeutics CO., LTD., dated August 3,</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2017 (incorporated herein by reference to Exhibit 10.4 on Form 10-Q filed November 7, 2017)</w:t>
              </w:r>
              <w:r>
                <w:rPr>
                  <w:rFonts w:ascii="Arial" w:cs="Arial" w:eastAsia="Arial" w:hAnsi="Arial"/>
                  <w:sz w:val="18"/>
                  <w:szCs w:val="18"/>
                  <w:color w:val="000000"/>
                </w:rPr>
                <w:t>.</w:t>
              </w:r>
            </w:hyperlink>
          </w:p>
        </w:tc>
        <w:tc>
          <w:tcPr>
            <w:tcW w:w="180" w:type="dxa"/>
            <w:vAlign w:val="bottom"/>
            <w:gridSpan w:val="4"/>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10.28</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40" w:type="dxa"/>
            <w:vAlign w:val="bottom"/>
            <w:tcBorders>
              <w:bottom w:val="single" w:sz="8" w:color="0000FF"/>
            </w:tcBorders>
            <w:gridSpan w:val="21"/>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Amendment No. 2 to License Agreement between the Company and Innovative Cellular Therapeutics CO., LTD., dated September</w:t>
              </w:r>
            </w:hyperlink>
          </w:p>
        </w:tc>
        <w:tc>
          <w:tcPr>
            <w:tcW w:w="10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5, 2017 (incorporated herein by reference to Exhibit 10.5 on Form 10-Q filed November 7, 2017)</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10.29</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4"/>
              </w:rPr>
            </w:pPr>
            <w:hyperlink r:id="rId59">
              <w:r>
                <w:rPr>
                  <w:rFonts w:ascii="Arial" w:cs="Arial" w:eastAsia="Arial" w:hAnsi="Arial"/>
                  <w:sz w:val="18"/>
                  <w:szCs w:val="18"/>
                  <w:color w:val="0000FF"/>
                  <w:w w:val="94"/>
                </w:rPr>
                <w:t>Amendment No. 1 to Side Letter between the Company and Innovative Cellular Therapeutics CO., LTD., dated August 3, 1017</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(incorporated herein by reference to Exhibit 10.6 on Form 10-Q filed November 7, 2017)</w:t>
              </w:r>
              <w:r>
                <w:rPr>
                  <w:rFonts w:ascii="Arial" w:cs="Arial" w:eastAsia="Arial" w:hAnsi="Arial"/>
                  <w:sz w:val="18"/>
                  <w:szCs w:val="18"/>
                  <w:color w:val="000000"/>
                </w:rPr>
                <w:t>.</w:t>
              </w:r>
            </w:hyperlink>
          </w:p>
        </w:tc>
        <w:tc>
          <w:tcPr>
            <w:tcW w:w="380" w:type="dxa"/>
            <w:vAlign w:val="bottom"/>
            <w:gridSpan w:val="5"/>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10.30</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20" w:type="dxa"/>
            <w:vAlign w:val="bottom"/>
            <w:tcBorders>
              <w:bottom w:val="single" w:sz="8" w:color="0000FF"/>
            </w:tcBorders>
            <w:gridSpan w:val="20"/>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Amendment No. 2 to Side Letter between the Company and Innovative Cellular Therapeutics CO., LTD., dated September 5, 2017</w:t>
              </w:r>
            </w:hyperlink>
          </w:p>
        </w:tc>
        <w:tc>
          <w:tcPr>
            <w:tcW w:w="12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incorporated herein by reference to Exhibit 10.7 on Form 10-Q filed November 7, 2017)</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10.31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40" w:type="dxa"/>
            <w:vAlign w:val="bottom"/>
            <w:tcBorders>
              <w:bottom w:val="single" w:sz="8" w:color="0000FF"/>
            </w:tcBorders>
            <w:gridSpan w:val="16"/>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First Amendment to Distribution Agreement between Orsini Pharmaceutical Services, Inc. and the Company, dated August 10,</w:t>
              </w:r>
            </w:hyperlink>
          </w:p>
        </w:tc>
        <w:tc>
          <w:tcPr>
            <w:tcW w:w="400" w:type="dxa"/>
            <w:vAlign w:val="bottom"/>
            <w:gridSpan w:val="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2017 (incorporated herein by reference to Exhibit 10.8 on Form 10-Q filed November 7, 2017)</w:t>
              </w:r>
              <w:r>
                <w:rPr>
                  <w:rFonts w:ascii="Arial" w:cs="Arial" w:eastAsia="Arial" w:hAnsi="Arial"/>
                  <w:sz w:val="18"/>
                  <w:szCs w:val="18"/>
                  <w:color w:val="000000"/>
                </w:rPr>
                <w:t>.</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4900" w:type="dxa"/>
            <w:vAlign w:val="bottom"/>
            <w:tcBorders>
              <w:right w:val="single" w:sz="8" w:color="0000FF"/>
            </w:tcBorders>
            <w:gridSpan w:val="5"/>
            <w:shd w:val="clear" w:color="auto" w:fill="0000FF"/>
          </w:tcPr>
          <w:p>
            <w:pPr>
              <w:spacing w:after="0" w:line="20" w:lineRule="exact"/>
              <w:rPr>
                <w:sz w:val="1"/>
                <w:szCs w:val="1"/>
                <w:color w:val="auto"/>
              </w:rPr>
            </w:pPr>
          </w:p>
        </w:tc>
        <w:tc>
          <w:tcPr>
            <w:tcW w:w="260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10.32 †</w:t>
            </w:r>
          </w:p>
        </w:tc>
        <w:tc>
          <w:tcPr>
            <w:tcW w:w="40" w:type="dxa"/>
            <w:vAlign w:val="bottom"/>
          </w:tcPr>
          <w:p>
            <w:pPr>
              <w:spacing w:after="0"/>
              <w:rPr>
                <w:sz w:val="24"/>
                <w:szCs w:val="24"/>
                <w:color w:val="auto"/>
              </w:rPr>
            </w:pPr>
          </w:p>
        </w:tc>
        <w:tc>
          <w:tcPr>
            <w:tcW w:w="9440" w:type="dxa"/>
            <w:vAlign w:val="bottom"/>
            <w:tcBorders>
              <w:bottom w:val="single" w:sz="8" w:color="0000FF"/>
            </w:tcBorders>
            <w:gridSpan w:val="21"/>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Form of Warrant issued by the Company to each of SVB and MidCap (incorporated herein by reference to Exhibit 10.2 on Form 8-</w:t>
              </w:r>
            </w:hyperlink>
          </w:p>
        </w:tc>
        <w:tc>
          <w:tcPr>
            <w:tcW w:w="10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K filed December 8, 2017)</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2600" w:type="dxa"/>
            <w:vAlign w:val="bottom"/>
            <w:gridSpan w:val="1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10.33</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Amendment No. 3 to License Agreement between the Company and Innovative Cellular Therapeutics CO., LTD., dated October 9,</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2017 (incorporated herein by reference to Exhibit 10.1 on Form 8-K filed December 28, 2017)</w:t>
              </w:r>
              <w:r>
                <w:rPr>
                  <w:rFonts w:ascii="Arial" w:cs="Arial" w:eastAsia="Arial" w:hAnsi="Arial"/>
                  <w:sz w:val="18"/>
                  <w:szCs w:val="18"/>
                  <w:color w:val="000000"/>
                </w:rPr>
                <w:t>.</w:t>
              </w:r>
            </w:hyperlink>
          </w:p>
        </w:tc>
        <w:tc>
          <w:tcPr>
            <w:tcW w:w="120" w:type="dxa"/>
            <w:vAlign w:val="bottom"/>
            <w:gridSpan w:val="2"/>
          </w:tcPr>
          <w:p>
            <w:pPr>
              <w:spacing w:after="0"/>
              <w:rPr>
                <w:sz w:val="17"/>
                <w:szCs w:val="17"/>
                <w:color w:val="auto"/>
              </w:rPr>
            </w:pPr>
          </w:p>
        </w:tc>
      </w:tr>
      <w:tr>
        <w:trPr>
          <w:trHeight w:val="804"/>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tcBorders>
              <w:top w:val="single" w:sz="8" w:color="0000FF"/>
            </w:tcBorders>
            <w:gridSpan w:val="3"/>
          </w:tcPr>
          <w:p>
            <w:pPr>
              <w:ind w:left="3740"/>
              <w:spacing w:after="0"/>
              <w:rPr>
                <w:sz w:val="20"/>
                <w:szCs w:val="20"/>
                <w:color w:val="auto"/>
              </w:rPr>
            </w:pPr>
            <w:r>
              <w:rPr>
                <w:rFonts w:ascii="Arial" w:cs="Arial" w:eastAsia="Arial" w:hAnsi="Arial"/>
                <w:sz w:val="18"/>
                <w:szCs w:val="18"/>
                <w:color w:val="auto"/>
              </w:rPr>
              <w:t>85</w:t>
            </w:r>
          </w:p>
        </w:tc>
        <w:tc>
          <w:tcPr>
            <w:tcW w:w="720" w:type="dxa"/>
            <w:vAlign w:val="bottom"/>
            <w:tcBorders>
              <w:top w:val="single" w:sz="8" w:color="0000FF"/>
            </w:tcBorders>
          </w:tcPr>
          <w:p>
            <w:pPr>
              <w:spacing w:after="0"/>
              <w:rPr>
                <w:sz w:val="24"/>
                <w:szCs w:val="24"/>
                <w:color w:val="auto"/>
              </w:rPr>
            </w:pPr>
          </w:p>
        </w:tc>
        <w:tc>
          <w:tcPr>
            <w:tcW w:w="1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6"/>
                <w:szCs w:val="16"/>
                <w:color w:val="auto"/>
              </w:rPr>
            </w:pPr>
          </w:p>
        </w:tc>
        <w:tc>
          <w:tcPr>
            <w:tcW w:w="9540" w:type="dxa"/>
            <w:vAlign w:val="bottom"/>
            <w:gridSpan w:val="20"/>
          </w:tcPr>
          <w:p>
            <w:pPr>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380" w:type="dxa"/>
            <w:vAlign w:val="bottom"/>
            <w:tcBorders>
              <w:top w:val="single" w:sz="8" w:color="auto"/>
            </w:tcBorders>
          </w:tcPr>
          <w:p>
            <w:pPr>
              <w:jc w:val="center"/>
              <w:ind w:left="171"/>
              <w:spacing w:after="0" w:line="202" w:lineRule="exact"/>
              <w:rPr>
                <w:sz w:val="20"/>
                <w:szCs w:val="20"/>
                <w:color w:val="auto"/>
              </w:rPr>
            </w:pPr>
            <w:r>
              <w:rPr>
                <w:rFonts w:ascii="Arial" w:cs="Arial" w:eastAsia="Arial" w:hAnsi="Arial"/>
                <w:sz w:val="18"/>
                <w:szCs w:val="18"/>
                <w:color w:val="auto"/>
                <w:w w:val="88"/>
              </w:rPr>
              <w:t>10.34</w:t>
            </w:r>
          </w:p>
        </w:tc>
        <w:tc>
          <w:tcPr>
            <w:tcW w:w="4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240" w:type="dxa"/>
            <w:vAlign w:val="bottom"/>
            <w:tcBorders>
              <w:top w:val="single" w:sz="8" w:color="auto"/>
              <w:bottom w:val="single" w:sz="8" w:color="0000FF"/>
            </w:tcBorders>
            <w:gridSpan w:val="12"/>
          </w:tcPr>
          <w:p>
            <w:pPr>
              <w:spacing w:after="0" w:line="202"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Amendment No. 3 to Side Letter between the Company and Innovative Cellular Therapeutics CO., LTD., dated October 9, 2017</w:t>
              </w:r>
            </w:hyperlink>
          </w:p>
        </w:tc>
        <w:tc>
          <w:tcPr>
            <w:tcW w:w="300" w:type="dxa"/>
            <w:vAlign w:val="bottom"/>
            <w:tcBorders>
              <w:top w:val="single" w:sz="8" w:color="auto"/>
            </w:tcBorders>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0"/>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(incorporated herein by reference to Exhibit 10.2 on Form 8-K filed December 28, 2017)</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10.35</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Amendment No. 4 to License Agreement between the Company and Innovative Cellular Therapeutics CO., LTD., dated November</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9, 2017 (incorporated herein by reference to Exhibit 10.3 on Form 8-K filed December 28, 2017)</w:t>
              </w:r>
              <w:r>
                <w:rPr>
                  <w:rFonts w:ascii="Arial" w:cs="Arial" w:eastAsia="Arial" w:hAnsi="Arial"/>
                  <w:sz w:val="18"/>
                  <w:szCs w:val="18"/>
                  <w:color w:val="000000"/>
                </w:rPr>
                <w:t>.</w:t>
              </w:r>
            </w:hyperlink>
          </w:p>
        </w:tc>
        <w:tc>
          <w:tcPr>
            <w:tcW w:w="120" w:type="dxa"/>
            <w:vAlign w:val="bottom"/>
            <w:gridSpan w:val="4"/>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10.36</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2"/>
              </w:rPr>
            </w:pPr>
            <w:hyperlink r:id="rId66">
              <w:r>
                <w:rPr>
                  <w:rFonts w:ascii="Arial" w:cs="Arial" w:eastAsia="Arial" w:hAnsi="Arial"/>
                  <w:sz w:val="18"/>
                  <w:szCs w:val="18"/>
                  <w:color w:val="0000FF"/>
                  <w:w w:val="92"/>
                </w:rPr>
                <w:t>Amendment No. 4 to Side Letter between the Company and Innovative Cellular Therapeutics CO., LTD., dated November 9, 2017</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(incorporated herein by reference to Exhibit 10.4 on Form 8-K filed December 28, 2017)</w:t>
              </w:r>
              <w:r>
                <w:rPr>
                  <w:rFonts w:ascii="Arial" w:cs="Arial" w:eastAsia="Arial" w:hAnsi="Arial"/>
                  <w:sz w:val="18"/>
                  <w:szCs w:val="18"/>
                  <w:color w:val="000000"/>
                </w:rPr>
                <w:t>.</w:t>
              </w:r>
            </w:hyperlink>
          </w:p>
        </w:tc>
        <w:tc>
          <w:tcPr>
            <w:tcW w:w="140" w:type="dxa"/>
            <w:vAlign w:val="bottom"/>
            <w:gridSpan w:val="5"/>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10.37</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Amendment No. 5 to License Agreement between the Company and Innovative Cellular Therapeutics CO., LTD., dated December</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5, 2017 (incorporated herein by reference to Exhibit 10.5 on Form 8-K filed December 28, 2017)</w:t>
              </w:r>
              <w:r>
                <w:rPr>
                  <w:rFonts w:ascii="Arial" w:cs="Arial" w:eastAsia="Arial" w:hAnsi="Arial"/>
                  <w:sz w:val="18"/>
                  <w:szCs w:val="18"/>
                  <w:color w:val="000000"/>
                </w:rPr>
                <w:t>.</w:t>
              </w:r>
            </w:hyperlink>
          </w:p>
        </w:tc>
        <w:tc>
          <w:tcPr>
            <w:tcW w:w="140" w:type="dxa"/>
            <w:vAlign w:val="bottom"/>
            <w:gridSpan w:val="5"/>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10.38</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2"/>
              </w:rPr>
            </w:pPr>
            <w:hyperlink r:id="rId68">
              <w:r>
                <w:rPr>
                  <w:rFonts w:ascii="Arial" w:cs="Arial" w:eastAsia="Arial" w:hAnsi="Arial"/>
                  <w:sz w:val="18"/>
                  <w:szCs w:val="18"/>
                  <w:color w:val="0000FF"/>
                  <w:w w:val="92"/>
                </w:rPr>
                <w:t>Amendment No. 5 to Side Letter between the Company and Innovative Cellular Therapeutics CO., LTD., dated December 5, 2017</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(incorporated herein by reference to Exhibit 10.6 on Form 8-K filed December 28, 2017)</w:t>
              </w:r>
              <w:r>
                <w:rPr>
                  <w:rFonts w:ascii="Arial" w:cs="Arial" w:eastAsia="Arial" w:hAnsi="Arial"/>
                  <w:sz w:val="18"/>
                  <w:szCs w:val="18"/>
                  <w:color w:val="000000"/>
                </w:rPr>
                <w:t>.</w:t>
              </w:r>
            </w:hyperlink>
          </w:p>
        </w:tc>
        <w:tc>
          <w:tcPr>
            <w:tcW w:w="160" w:type="dxa"/>
            <w:vAlign w:val="bottom"/>
            <w:gridSpan w:val="6"/>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10.39</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3"/>
              </w:rPr>
            </w:pPr>
            <w:hyperlink r:id="rId69">
              <w:r>
                <w:rPr>
                  <w:rFonts w:ascii="Arial" w:cs="Arial" w:eastAsia="Arial" w:hAnsi="Arial"/>
                  <w:sz w:val="18"/>
                  <w:szCs w:val="18"/>
                  <w:color w:val="0000FF"/>
                  <w:w w:val="93"/>
                </w:rPr>
                <w:t>Warrant issued by the Company to ICT (incorporated herein by reference to Exhibit 10.7 on Form 8-K filed December 28, 2017)</w:t>
              </w:r>
            </w:hyperlink>
            <w:r>
              <w:rPr>
                <w:rFonts w:ascii="Arial" w:cs="Arial" w:eastAsia="Arial" w:hAnsi="Arial"/>
                <w:sz w:val="18"/>
                <w:szCs w:val="18"/>
                <w:color w:val="000000"/>
                <w:w w:val="93"/>
              </w:rPr>
              <w:t>.</w:t>
            </w: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10.40 †</w:t>
            </w: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1"/>
              </w:rPr>
            </w:pPr>
            <w:hyperlink r:id="rId70">
              <w:r>
                <w:rPr>
                  <w:rFonts w:ascii="Arial" w:cs="Arial" w:eastAsia="Arial" w:hAnsi="Arial"/>
                  <w:sz w:val="18"/>
                  <w:szCs w:val="18"/>
                  <w:color w:val="0000FF"/>
                  <w:w w:val="91"/>
                </w:rPr>
                <w:t>Second Amendment to Distribution Agreement between Orsini Pharmaceutical Services, Inc. and the Company, dated October 13,</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2017 (incorporated herein by reference to Exhibit 10.56 on Form 10-K filed March 8, 2018)</w:t>
              </w:r>
              <w:r>
                <w:rPr>
                  <w:rFonts w:ascii="Arial" w:cs="Arial" w:eastAsia="Arial" w:hAnsi="Arial"/>
                  <w:sz w:val="18"/>
                  <w:szCs w:val="18"/>
                  <w:color w:val="000000"/>
                </w:rPr>
                <w:t>.</w:t>
              </w:r>
            </w:hyperlink>
          </w:p>
        </w:tc>
        <w:tc>
          <w:tcPr>
            <w:tcW w:w="40" w:type="dxa"/>
            <w:vAlign w:val="bottom"/>
            <w:gridSpan w:val="3"/>
          </w:tcPr>
          <w:p>
            <w:pPr>
              <w:spacing w:after="0"/>
              <w:rPr>
                <w:sz w:val="17"/>
                <w:szCs w:val="17"/>
                <w:color w:val="auto"/>
              </w:rPr>
            </w:pP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10.41 †</w:t>
            </w:r>
          </w:p>
        </w:tc>
        <w:tc>
          <w:tcPr>
            <w:tcW w:w="40" w:type="dxa"/>
            <w:vAlign w:val="bottom"/>
          </w:tcPr>
          <w:p>
            <w:pPr>
              <w:spacing w:after="0"/>
              <w:rPr>
                <w:sz w:val="24"/>
                <w:szCs w:val="24"/>
                <w:color w:val="auto"/>
              </w:rPr>
            </w:pPr>
          </w:p>
        </w:tc>
        <w:tc>
          <w:tcPr>
            <w:tcW w:w="9520" w:type="dxa"/>
            <w:vAlign w:val="bottom"/>
            <w:tcBorders>
              <w:bottom w:val="single" w:sz="8" w:color="0000FF"/>
            </w:tcBorders>
            <w:gridSpan w:val="19"/>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Third Amendment to Distribution Agreement between Orsini Pharmaceutical Services, Inc. and the Company, dated November 14,</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0"/>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2017 (incorporated herein by reference to Exhibit 10.57 on From 10-K filed March 8, 2018)</w:t>
              </w:r>
              <w:r>
                <w:rPr>
                  <w:rFonts w:ascii="Arial" w:cs="Arial" w:eastAsia="Arial" w:hAnsi="Arial"/>
                  <w:sz w:val="18"/>
                  <w:szCs w:val="18"/>
                  <w:color w:val="000000"/>
                </w:rPr>
                <w:t>.</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10.42 †</w:t>
            </w: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Fourth Amendment to Distribution Agreement between Orsini Pharmaceutical Services, Inc. and the Company, dated July 25, 2018</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(incorporated herein by reference to Exhibit 10.1 on Form 10-Q filed November 6, 2018)</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10.43 †</w:t>
            </w:r>
          </w:p>
        </w:tc>
        <w:tc>
          <w:tcPr>
            <w:tcW w:w="40" w:type="dxa"/>
            <w:vAlign w:val="bottom"/>
          </w:tcPr>
          <w:p>
            <w:pPr>
              <w:spacing w:after="0"/>
              <w:rPr>
                <w:sz w:val="24"/>
                <w:szCs w:val="24"/>
                <w:color w:val="auto"/>
              </w:rPr>
            </w:pPr>
          </w:p>
        </w:tc>
        <w:tc>
          <w:tcPr>
            <w:tcW w:w="9520" w:type="dxa"/>
            <w:vAlign w:val="bottom"/>
            <w:tcBorders>
              <w:bottom w:val="single" w:sz="8" w:color="0000FF"/>
            </w:tcBorders>
            <w:gridSpan w:val="19"/>
          </w:tcPr>
          <w:p>
            <w:pPr>
              <w:spacing w:after="0"/>
              <w:rPr>
                <w:rFonts w:ascii="Arial" w:cs="Arial" w:eastAsia="Arial" w:hAnsi="Arial"/>
                <w:sz w:val="18"/>
                <w:szCs w:val="18"/>
                <w:color w:val="0000FF"/>
                <w:w w:val="94"/>
              </w:rPr>
            </w:pPr>
            <w:hyperlink r:id="rId73">
              <w:r>
                <w:rPr>
                  <w:rFonts w:ascii="Arial" w:cs="Arial" w:eastAsia="Arial" w:hAnsi="Arial"/>
                  <w:sz w:val="18"/>
                  <w:szCs w:val="18"/>
                  <w:color w:val="0000FF"/>
                  <w:w w:val="94"/>
                </w:rPr>
                <w:t>Dispensing Agreement by and between AllCare Plus Pharmacy and the Company, dated July 26, 2018 (incorporated herein by</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0"/>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reference to Exhibit 10.2 on Form 10-Q, filed November 6, 2018)</w:t>
              </w:r>
              <w:r>
                <w:rPr>
                  <w:rFonts w:ascii="Arial" w:cs="Arial" w:eastAsia="Arial" w:hAnsi="Arial"/>
                  <w:sz w:val="18"/>
                  <w:szCs w:val="18"/>
                  <w:color w:val="000000"/>
                </w:rPr>
                <w:t>.</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10.44 †</w:t>
            </w: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3"/>
              </w:rPr>
            </w:pPr>
            <w:hyperlink r:id="rId74">
              <w:r>
                <w:rPr>
                  <w:rFonts w:ascii="Arial" w:cs="Arial" w:eastAsia="Arial" w:hAnsi="Arial"/>
                  <w:sz w:val="18"/>
                  <w:szCs w:val="18"/>
                  <w:color w:val="0000FF"/>
                  <w:w w:val="93"/>
                </w:rPr>
                <w:t>Fifth Amendment to Distribution Agreement between Orsini Pharmaceutical Services, Inc. and the Company, dated October 18,</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2018 (incorporated herein by reference to Exhibit 10.3 on Form 10-Q filed November 6, 2018)</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7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10.45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20" w:type="dxa"/>
            <w:vAlign w:val="bottom"/>
            <w:tcBorders>
              <w:bottom w:val="single" w:sz="8" w:color="0000FF"/>
            </w:tcBorders>
            <w:gridSpan w:val="11"/>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Amended and Restated Non-employee Director Compensation Guidelines (incorporated herein by reference to Exhibit 10.58 on</w:t>
              </w:r>
            </w:hyperlink>
          </w:p>
        </w:tc>
        <w:tc>
          <w:tcPr>
            <w:tcW w:w="32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0"/>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Form 10-K filed March 5, 2018)</w:t>
              </w:r>
              <w:r>
                <w:rPr>
                  <w:rFonts w:ascii="Arial" w:cs="Arial" w:eastAsia="Arial" w:hAnsi="Arial"/>
                  <w:sz w:val="18"/>
                  <w:szCs w:val="18"/>
                  <w:color w:val="000000"/>
                </w:rPr>
                <w:t>.</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10.46 †</w:t>
            </w: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5"/>
              </w:rPr>
            </w:pPr>
            <w:hyperlink r:id="rId76">
              <w:r>
                <w:rPr>
                  <w:rFonts w:ascii="Arial" w:cs="Arial" w:eastAsia="Arial" w:hAnsi="Arial"/>
                  <w:sz w:val="18"/>
                  <w:szCs w:val="18"/>
                  <w:color w:val="0000FF"/>
                  <w:w w:val="95"/>
                </w:rPr>
                <w:t>Amended and Restated ACI-Maix Supply Agreement, dated March 17, 2018, as amended, by and between the Company and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Matricel GMBH (incorporated herein by reference to Exhibit 10.1 on Form 10-Q filed May 8, 2018)</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gridSpan w:val="2"/>
            <w:shd w:val="clear" w:color="auto" w:fill="0000FF"/>
          </w:tcPr>
          <w:p>
            <w:pPr>
              <w:spacing w:after="0" w:line="20" w:lineRule="exact"/>
              <w:rPr>
                <w:sz w:val="1"/>
                <w:szCs w:val="1"/>
                <w:color w:val="auto"/>
              </w:rPr>
            </w:pPr>
          </w:p>
        </w:tc>
        <w:tc>
          <w:tcPr>
            <w:tcW w:w="27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574"/>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10.47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3"/>
              </w:rPr>
            </w:pPr>
            <w:hyperlink r:id="rId77">
              <w:r>
                <w:rPr>
                  <w:rFonts w:ascii="Arial" w:cs="Arial" w:eastAsia="Arial" w:hAnsi="Arial"/>
                  <w:sz w:val="18"/>
                  <w:szCs w:val="18"/>
                  <w:color w:val="0000FF"/>
                  <w:w w:val="93"/>
                </w:rPr>
                <w:t>2017 Omnibus Incentive Plan (previously filed as Appendix I to the Company's definitive proxy statement on Schedule 14A, filed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March 20, 2017 and incorporated herein by reference)</w:t>
              </w:r>
              <w:r>
                <w:rPr>
                  <w:rFonts w:ascii="Arial" w:cs="Arial" w:eastAsia="Arial" w:hAnsi="Arial"/>
                  <w:sz w:val="18"/>
                  <w:szCs w:val="18"/>
                  <w:color w:val="000000"/>
                </w:rPr>
                <w:t>.</w:t>
              </w:r>
            </w:hyperlink>
          </w:p>
        </w:tc>
        <w:tc>
          <w:tcPr>
            <w:tcW w:w="40" w:type="dxa"/>
            <w:vAlign w:val="bottom"/>
            <w:gridSpan w:val="3"/>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gridSpan w:val="2"/>
            <w:shd w:val="clear" w:color="auto" w:fill="0000FF"/>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00" w:type="dxa"/>
            <w:vAlign w:val="bottom"/>
            <w:gridSpan w:val="12"/>
          </w:tcPr>
          <w:p>
            <w:pPr>
              <w:spacing w:after="0" w:line="20" w:lineRule="exact"/>
              <w:rPr>
                <w:sz w:val="1"/>
                <w:szCs w:val="1"/>
                <w:color w:val="auto"/>
              </w:rPr>
            </w:pPr>
          </w:p>
        </w:tc>
      </w:tr>
      <w:tr>
        <w:trPr>
          <w:trHeight w:val="574"/>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10.48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Form of New Hire Incentive Stock Option Agreement under the 2017 Omnibus Incentive Plan.</w:t>
              </w:r>
            </w:hyperlink>
          </w:p>
        </w:tc>
      </w:tr>
      <w:tr>
        <w:trPr>
          <w:trHeight w:val="574"/>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10.49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40" w:type="dxa"/>
            <w:vAlign w:val="bottom"/>
            <w:tcBorders>
              <w:top w:val="single" w:sz="8" w:color="0000FF"/>
            </w:tcBorders>
            <w:gridSpan w:val="8"/>
          </w:tcPr>
          <w:p>
            <w:pPr>
              <w:spacing w:after="0"/>
              <w:rPr>
                <w:rFonts w:ascii="Arial" w:cs="Arial" w:eastAsia="Arial" w:hAnsi="Arial"/>
                <w:sz w:val="18"/>
                <w:szCs w:val="18"/>
                <w:color w:val="0000FF"/>
                <w:w w:val="94"/>
              </w:rPr>
            </w:pPr>
            <w:hyperlink w:anchor="page96">
              <w:r>
                <w:rPr>
                  <w:rFonts w:ascii="Arial" w:cs="Arial" w:eastAsia="Arial" w:hAnsi="Arial"/>
                  <w:sz w:val="18"/>
                  <w:szCs w:val="18"/>
                  <w:color w:val="0000FF"/>
                  <w:w w:val="94"/>
                </w:rPr>
                <w:t>Form of Incentive Stock Option Award Agreement under the 2017 Omnibus Incentive Plan.</w:t>
              </w:r>
            </w:hyperlink>
          </w:p>
        </w:tc>
        <w:tc>
          <w:tcPr>
            <w:tcW w:w="2700" w:type="dxa"/>
            <w:vAlign w:val="bottom"/>
            <w:gridSpan w:val="12"/>
          </w:tcPr>
          <w:p>
            <w:pPr>
              <w:spacing w:after="0"/>
              <w:rPr>
                <w:sz w:val="24"/>
                <w:szCs w:val="24"/>
                <w:color w:val="auto"/>
              </w:rPr>
            </w:pPr>
          </w:p>
        </w:tc>
      </w:tr>
      <w:tr>
        <w:trPr>
          <w:trHeight w:val="507"/>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20" w:type="dxa"/>
            <w:vAlign w:val="bottom"/>
            <w:tcBorders>
              <w:top w:val="single" w:sz="8" w:color="0000FF"/>
            </w:tcBorders>
            <w:gridSpan w:val="3"/>
          </w:tcPr>
          <w:p>
            <w:pPr>
              <w:ind w:left="3740"/>
              <w:spacing w:after="0"/>
              <w:rPr>
                <w:sz w:val="20"/>
                <w:szCs w:val="20"/>
                <w:color w:val="auto"/>
              </w:rPr>
            </w:pPr>
            <w:r>
              <w:rPr>
                <w:rFonts w:ascii="Arial" w:cs="Arial" w:eastAsia="Arial" w:hAnsi="Arial"/>
                <w:sz w:val="18"/>
                <w:szCs w:val="18"/>
                <w:color w:val="auto"/>
              </w:rPr>
              <w:t>86</w:t>
            </w:r>
          </w:p>
        </w:tc>
        <w:tc>
          <w:tcPr>
            <w:tcW w:w="16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6"/>
                <w:szCs w:val="16"/>
                <w:color w:val="auto"/>
              </w:rPr>
            </w:pPr>
          </w:p>
        </w:tc>
        <w:tc>
          <w:tcPr>
            <w:tcW w:w="9540" w:type="dxa"/>
            <w:vAlign w:val="bottom"/>
            <w:gridSpan w:val="14"/>
          </w:tcPr>
          <w:p>
            <w:pPr>
              <w:spacing w:after="0"/>
              <w:rPr>
                <w:sz w:val="20"/>
                <w:szCs w:val="20"/>
                <w:color w:val="auto"/>
              </w:rPr>
            </w:pPr>
            <w:r>
              <w:rPr>
                <w:rFonts w:ascii="Arial" w:cs="Arial" w:eastAsia="Arial" w:hAnsi="Arial"/>
                <w:sz w:val="14"/>
                <w:szCs w:val="14"/>
                <w:b w:val="1"/>
                <w:bCs w:val="1"/>
                <w:color w:val="auto"/>
              </w:rPr>
              <w:t>Description</w:t>
            </w:r>
          </w:p>
        </w:tc>
      </w:tr>
      <w:tr>
        <w:trPr>
          <w:trHeight w:val="526"/>
        </w:trPr>
        <w:tc>
          <w:tcPr>
            <w:tcW w:w="1380" w:type="dxa"/>
            <w:vAlign w:val="bottom"/>
            <w:tcBorders>
              <w:top w:val="single" w:sz="8" w:color="auto"/>
            </w:tcBorders>
          </w:tcPr>
          <w:p>
            <w:pPr>
              <w:jc w:val="center"/>
              <w:ind w:left="171"/>
              <w:spacing w:after="0"/>
              <w:rPr>
                <w:sz w:val="20"/>
                <w:szCs w:val="20"/>
                <w:color w:val="auto"/>
              </w:rPr>
            </w:pPr>
            <w:r>
              <w:rPr>
                <w:rFonts w:ascii="Arial" w:cs="Arial" w:eastAsia="Arial" w:hAnsi="Arial"/>
                <w:sz w:val="18"/>
                <w:szCs w:val="18"/>
                <w:color w:val="auto"/>
                <w:w w:val="97"/>
              </w:rPr>
              <w:t>10.50 #**</w:t>
            </w:r>
          </w:p>
        </w:tc>
        <w:tc>
          <w:tcPr>
            <w:tcW w:w="4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540" w:type="dxa"/>
            <w:vAlign w:val="bottom"/>
            <w:tcBorders>
              <w:top w:val="single" w:sz="8" w:color="auto"/>
            </w:tcBorders>
            <w:gridSpan w:val="14"/>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Form of Non-Employee Director Award Agreement under the 2017 Omnibus Incentive Plan.</w:t>
              </w:r>
            </w:hyperlink>
          </w:p>
        </w:tc>
      </w:tr>
      <w:tr>
        <w:trPr>
          <w:trHeight w:val="574"/>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10.51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80" w:type="dxa"/>
            <w:vAlign w:val="bottom"/>
            <w:tcBorders>
              <w:top w:val="single" w:sz="8" w:color="0000FF"/>
            </w:tcBorders>
            <w:gridSpan w:val="10"/>
          </w:tcPr>
          <w:p>
            <w:pPr>
              <w:spacing w:after="0"/>
              <w:rPr>
                <w:rFonts w:ascii="Arial" w:cs="Arial" w:eastAsia="Arial" w:hAnsi="Arial"/>
                <w:sz w:val="18"/>
                <w:szCs w:val="18"/>
                <w:color w:val="0000FF"/>
                <w:w w:val="93"/>
              </w:rPr>
            </w:pPr>
            <w:hyperlink w:anchor="page107">
              <w:r>
                <w:rPr>
                  <w:rFonts w:ascii="Arial" w:cs="Arial" w:eastAsia="Arial" w:hAnsi="Arial"/>
                  <w:sz w:val="18"/>
                  <w:szCs w:val="18"/>
                  <w:color w:val="0000FF"/>
                  <w:w w:val="93"/>
                </w:rPr>
                <w:t>Form of Restricted Stock Unit Award Agreement under the 2017 Omnibus Incentive Plan</w:t>
              </w:r>
            </w:hyperlink>
            <w:r>
              <w:rPr>
                <w:rFonts w:ascii="Arial" w:cs="Arial" w:eastAsia="Arial" w:hAnsi="Arial"/>
                <w:sz w:val="18"/>
                <w:szCs w:val="18"/>
                <w:color w:val="000000"/>
                <w:w w:val="93"/>
              </w:rPr>
              <w:t>.</w:t>
            </w:r>
          </w:p>
        </w:tc>
        <w:tc>
          <w:tcPr>
            <w:tcW w:w="2860" w:type="dxa"/>
            <w:vAlign w:val="bottom"/>
            <w:gridSpan w:val="4"/>
          </w:tcPr>
          <w:p>
            <w:pPr>
              <w:spacing w:after="0"/>
              <w:rPr>
                <w:sz w:val="24"/>
                <w:szCs w:val="24"/>
                <w:color w:val="auto"/>
              </w:rPr>
            </w:pPr>
          </w:p>
        </w:tc>
      </w:tr>
      <w:tr>
        <w:trPr>
          <w:trHeight w:val="574"/>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21.1**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40" w:type="dxa"/>
            <w:vAlign w:val="bottom"/>
            <w:tcBorders>
              <w:top w:val="single" w:sz="8" w:color="0000FF"/>
            </w:tcBorders>
            <w:gridSpan w:val="9"/>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Subsidiaries of Registrant</w:t>
              </w:r>
            </w:hyperlink>
            <w:r>
              <w:rPr>
                <w:rFonts w:ascii="Arial" w:cs="Arial" w:eastAsia="Arial" w:hAnsi="Arial"/>
                <w:sz w:val="18"/>
                <w:szCs w:val="18"/>
                <w:color w:val="000000"/>
              </w:rPr>
              <w:t>.</w:t>
            </w:r>
          </w:p>
        </w:tc>
        <w:tc>
          <w:tcPr>
            <w:tcW w:w="3100" w:type="dxa"/>
            <w:vAlign w:val="bottom"/>
            <w:gridSpan w:val="5"/>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23.1**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4"/>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Consent of Independent Registered Public Accounting Firm</w:t>
              </w:r>
            </w:hyperlink>
            <w:r>
              <w:rPr>
                <w:rFonts w:ascii="Arial" w:cs="Arial" w:eastAsia="Arial" w:hAnsi="Arial"/>
                <w:sz w:val="18"/>
                <w:szCs w:val="18"/>
                <w:color w:val="000000"/>
              </w:rPr>
              <w:t>.</w:t>
            </w: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31.1**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4"/>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Certification of Chief Executive Officer pursuant to Section 302 of the Sarbanes-Oxley Act of 2002</w:t>
              </w:r>
            </w:hyperlink>
            <w:r>
              <w:rPr>
                <w:rFonts w:ascii="Arial" w:cs="Arial" w:eastAsia="Arial" w:hAnsi="Arial"/>
                <w:sz w:val="18"/>
                <w:szCs w:val="18"/>
                <w:color w:val="000000"/>
              </w:rPr>
              <w:t>.</w:t>
            </w: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31.2**</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FF"/>
            </w:tcBorders>
            <w:gridSpan w:val="12"/>
          </w:tcPr>
          <w:p>
            <w:pPr>
              <w:spacing w:after="0"/>
              <w:rPr>
                <w:rFonts w:ascii="Arial" w:cs="Arial" w:eastAsia="Arial" w:hAnsi="Arial"/>
                <w:sz w:val="18"/>
                <w:szCs w:val="18"/>
                <w:color w:val="0000FF"/>
                <w:w w:val="92"/>
              </w:rPr>
            </w:pPr>
            <w:hyperlink w:anchor="page114">
              <w:r>
                <w:rPr>
                  <w:rFonts w:ascii="Arial" w:cs="Arial" w:eastAsia="Arial" w:hAnsi="Arial"/>
                  <w:sz w:val="18"/>
                  <w:szCs w:val="18"/>
                  <w:color w:val="0000FF"/>
                  <w:w w:val="92"/>
                </w:rPr>
                <w:t>Certification of Chief Financial Officer pursuant to Section 302 of the Sarbanes-Oxley Act of 2002</w:t>
              </w:r>
            </w:hyperlink>
            <w:r>
              <w:rPr>
                <w:rFonts w:ascii="Arial" w:cs="Arial" w:eastAsia="Arial" w:hAnsi="Arial"/>
                <w:sz w:val="18"/>
                <w:szCs w:val="18"/>
                <w:color w:val="000000"/>
                <w:w w:val="92"/>
              </w:rPr>
              <w:t>.</w:t>
            </w:r>
          </w:p>
        </w:tc>
        <w:tc>
          <w:tcPr>
            <w:tcW w:w="2360" w:type="dxa"/>
            <w:vAlign w:val="bottom"/>
            <w:gridSpan w:val="2"/>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32.1**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4"/>
          </w:tcPr>
          <w:p>
            <w:pPr>
              <w:spacing w:after="0"/>
              <w:rPr>
                <w:rFonts w:ascii="Arial" w:cs="Arial" w:eastAsia="Arial" w:hAnsi="Arial"/>
                <w:sz w:val="18"/>
                <w:szCs w:val="18"/>
                <w:color w:val="0000FF"/>
                <w:w w:val="95"/>
              </w:rPr>
            </w:pPr>
            <w:hyperlink w:anchor="page115">
              <w:r>
                <w:rPr>
                  <w:rFonts w:ascii="Arial" w:cs="Arial" w:eastAsia="Arial" w:hAnsi="Arial"/>
                  <w:sz w:val="18"/>
                  <w:szCs w:val="18"/>
                  <w:color w:val="0000FF"/>
                  <w:w w:val="95"/>
                </w:rPr>
                <w:t>Certification of Chief Executive Officer and Chief Financial Officer pursuant to Section 906 of the Sarbanes-Oxley Act of 2002</w:t>
              </w:r>
            </w:hyperlink>
            <w:r>
              <w:rPr>
                <w:rFonts w:ascii="Arial" w:cs="Arial" w:eastAsia="Arial" w:hAnsi="Arial"/>
                <w:sz w:val="18"/>
                <w:szCs w:val="18"/>
                <w:color w:val="000000"/>
                <w:w w:val="95"/>
              </w:rPr>
              <w:t>.</w:t>
            </w:r>
          </w:p>
        </w:tc>
      </w:tr>
      <w:tr>
        <w:trPr>
          <w:trHeight w:val="520"/>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19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XBRL Instance Document</w:t>
            </w:r>
          </w:p>
        </w:tc>
        <w:tc>
          <w:tcPr>
            <w:tcW w:w="7280" w:type="dxa"/>
            <w:vAlign w:val="bottom"/>
            <w:tcBorders>
              <w:top w:val="single" w:sz="8" w:color="0000FF"/>
            </w:tcBorders>
            <w:gridSpan w:val="11"/>
          </w:tcPr>
          <w:p>
            <w:pPr>
              <w:spacing w:after="0"/>
              <w:rPr>
                <w:sz w:val="24"/>
                <w:szCs w:val="24"/>
                <w:color w:val="auto"/>
              </w:rPr>
            </w:pPr>
          </w:p>
        </w:tc>
        <w:tc>
          <w:tcPr>
            <w:tcW w:w="340" w:type="dxa"/>
            <w:vAlign w:val="bottom"/>
          </w:tcPr>
          <w:p>
            <w:pPr>
              <w:spacing w:after="0"/>
              <w:rPr>
                <w:sz w:val="24"/>
                <w:szCs w:val="24"/>
                <w:color w:val="auto"/>
              </w:rPr>
            </w:pPr>
          </w:p>
        </w:tc>
      </w:tr>
      <w:tr>
        <w:trPr>
          <w:trHeight w:val="520"/>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34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XBRL Taxonomy Extension Schema Document</w:t>
            </w:r>
          </w:p>
        </w:tc>
        <w:tc>
          <w:tcPr>
            <w:tcW w:w="6080" w:type="dxa"/>
            <w:vAlign w:val="bottom"/>
            <w:gridSpan w:val="11"/>
          </w:tcPr>
          <w:p>
            <w:pPr>
              <w:spacing w:after="0"/>
              <w:rPr>
                <w:sz w:val="24"/>
                <w:szCs w:val="24"/>
                <w:color w:val="auto"/>
              </w:rPr>
            </w:pPr>
          </w:p>
        </w:tc>
      </w:tr>
      <w:tr>
        <w:trPr>
          <w:trHeight w:val="520"/>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9540" w:type="dxa"/>
            <w:vAlign w:val="bottom"/>
            <w:gridSpan w:val="14"/>
          </w:tcPr>
          <w:p>
            <w:pPr>
              <w:spacing w:after="0"/>
              <w:rPr>
                <w:sz w:val="20"/>
                <w:szCs w:val="20"/>
                <w:color w:val="auto"/>
              </w:rPr>
            </w:pPr>
            <w:r>
              <w:rPr>
                <w:rFonts w:ascii="Arial" w:cs="Arial" w:eastAsia="Arial" w:hAnsi="Arial"/>
                <w:sz w:val="18"/>
                <w:szCs w:val="18"/>
                <w:color w:val="0000FF"/>
              </w:rPr>
              <w:t>XBRL Taxonomy Extension Calculation Linkbase Document</w:t>
            </w:r>
          </w:p>
        </w:tc>
      </w:tr>
      <w:tr>
        <w:trPr>
          <w:trHeight w:val="520"/>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44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XBRL Taxonomy Extension Label Linkbase Document</w:t>
            </w:r>
          </w:p>
        </w:tc>
        <w:tc>
          <w:tcPr>
            <w:tcW w:w="5120" w:type="dxa"/>
            <w:vAlign w:val="bottom"/>
            <w:gridSpan w:val="7"/>
          </w:tcPr>
          <w:p>
            <w:pPr>
              <w:spacing w:after="0"/>
              <w:rPr>
                <w:sz w:val="24"/>
                <w:szCs w:val="24"/>
                <w:color w:val="auto"/>
              </w:rPr>
            </w:pP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0" w:type="dxa"/>
            <w:vAlign w:val="bottom"/>
            <w:gridSpan w:val="4"/>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r>
      <w:tr>
        <w:trPr>
          <w:trHeight w:val="520"/>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9540" w:type="dxa"/>
            <w:vAlign w:val="bottom"/>
            <w:gridSpan w:val="14"/>
          </w:tcPr>
          <w:p>
            <w:pPr>
              <w:spacing w:after="0"/>
              <w:rPr>
                <w:sz w:val="20"/>
                <w:szCs w:val="20"/>
                <w:color w:val="auto"/>
              </w:rPr>
            </w:pPr>
            <w:r>
              <w:rPr>
                <w:rFonts w:ascii="Arial" w:cs="Arial" w:eastAsia="Arial" w:hAnsi="Arial"/>
                <w:sz w:val="18"/>
                <w:szCs w:val="18"/>
                <w:color w:val="0000FF"/>
              </w:rPr>
              <w:t>XBRL Taxonomy Extension Presentation Linkbase Document</w:t>
            </w:r>
          </w:p>
        </w:tc>
      </w:tr>
      <w:tr>
        <w:trPr>
          <w:trHeight w:val="520"/>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43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3"/>
              </w:rPr>
              <w:t>XBRL Taxonomy Extension Definition Linkbase Document</w:t>
            </w:r>
          </w:p>
        </w:tc>
        <w:tc>
          <w:tcPr>
            <w:tcW w:w="140" w:type="dxa"/>
            <w:vAlign w:val="bottom"/>
            <w:tcBorders>
              <w:top w:val="single" w:sz="8" w:color="0000FF"/>
            </w:tcBorders>
            <w:gridSpan w:val="2"/>
          </w:tcPr>
          <w:p>
            <w:pPr>
              <w:spacing w:after="0"/>
              <w:rPr>
                <w:sz w:val="24"/>
                <w:szCs w:val="24"/>
                <w:color w:val="auto"/>
              </w:rPr>
            </w:pPr>
          </w:p>
        </w:tc>
        <w:tc>
          <w:tcPr>
            <w:tcW w:w="5060" w:type="dxa"/>
            <w:vAlign w:val="bottom"/>
            <w:gridSpan w:val="6"/>
          </w:tcPr>
          <w:p>
            <w:pPr>
              <w:spacing w:after="0"/>
              <w:rPr>
                <w:sz w:val="24"/>
                <w:szCs w:val="24"/>
                <w:color w:val="auto"/>
              </w:rPr>
            </w:pPr>
          </w:p>
        </w:tc>
      </w:tr>
    </w:tbl>
    <w:p>
      <w:pPr>
        <w:spacing w:after="0" w:line="256" w:lineRule="exact"/>
        <w:rPr>
          <w:sz w:val="20"/>
          <w:szCs w:val="20"/>
          <w:color w:val="auto"/>
        </w:rPr>
      </w:pPr>
    </w:p>
    <w:p>
      <w:pPr>
        <w:ind w:left="300" w:hanging="292"/>
        <w:spacing w:after="0"/>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covering executive officers or directors of Vericel.</w:t>
      </w:r>
    </w:p>
    <w:p>
      <w:pPr>
        <w:spacing w:after="0" w:line="50" w:lineRule="exact"/>
        <w:rPr>
          <w:sz w:val="20"/>
          <w:szCs w:val="20"/>
          <w:color w:val="auto"/>
        </w:rPr>
      </w:pPr>
    </w:p>
    <w:p>
      <w:pPr>
        <w:ind w:left="300" w:hanging="292"/>
        <w:spacing w:after="0"/>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Confidential treatment status has been granted as to certain portions thereto, which portions are omitted and filed separately with the Securities and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738"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5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26, 2019</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Vericel Corporation</w:t>
      </w:r>
    </w:p>
    <w:p>
      <w:pPr>
        <w:spacing w:after="0" w:line="333"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66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664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right="280" w:firstLine="35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on behalf of the registrant on February 26, 2019 by the following persons in the capacities indicated.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460" w:type="dxa"/>
            <w:vAlign w:val="bottom"/>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513"/>
        </w:trPr>
        <w:tc>
          <w:tcPr>
            <w:tcW w:w="5500" w:type="dxa"/>
            <w:vAlign w:val="bottom"/>
          </w:tcPr>
          <w:p>
            <w:pPr>
              <w:jc w:val="center"/>
              <w:spacing w:after="0"/>
              <w:rPr>
                <w:sz w:val="20"/>
                <w:szCs w:val="20"/>
                <w:color w:val="auto"/>
              </w:rPr>
            </w:pPr>
            <w:r>
              <w:rPr>
                <w:rFonts w:ascii="Arial" w:cs="Arial" w:eastAsia="Arial" w:hAnsi="Arial"/>
                <w:sz w:val="18"/>
                <w:szCs w:val="18"/>
                <w:color w:val="auto"/>
                <w:w w:val="98"/>
              </w:rPr>
              <w:t>/s/ DOMINICK C. COLANGELO</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 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Dominick C. Colangelo</w:t>
            </w:r>
          </w:p>
        </w:tc>
        <w:tc>
          <w:tcPr>
            <w:tcW w:w="46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6"/>
              </w:rPr>
              <w:t>/s/ GERARD J. MICHEL</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2"/>
              </w:rPr>
              <w:t>Chief Financial Officer and Vice President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1"/>
              </w:rPr>
              <w:t>of Corporate Development</w:t>
            </w: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Gerard J. Michel</w:t>
            </w:r>
          </w:p>
        </w:tc>
        <w:tc>
          <w:tcPr>
            <w:tcW w:w="46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3"/>
              </w:rPr>
              <w:t>/s/ ROBERT L. ZERBE, M.D.</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 of Directors</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3"/>
              </w:rPr>
              <w:t>Robert L. Zerbe, M.D.</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9"/>
              </w:rPr>
              <w:t>/s/ ALAN L. RUBINO</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6"/>
              </w:rPr>
              <w:t>Alan L. Rubino</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HEIDI M. HAGEN</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5"/>
              </w:rPr>
              <w:t>Heidi M. Hagen</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STEVEN C. GILMAN</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Steven C. Gilman</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9"/>
              </w:rPr>
              <w:t>/s/ KEVIN F. MCLAUGHLIN</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4"/>
              </w:rPr>
              <w:t>Kevin F. McLaughlin</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5"/>
              </w:rPr>
              <w:t>/s/ PAUL K. WOTTON</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1"/>
              </w:rPr>
              <w:t>Paul K. Wotton</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5500" w:type="dxa"/>
            <w:vAlign w:val="bottom"/>
          </w:tcPr>
          <w:p>
            <w:pPr>
              <w:spacing w:after="0"/>
              <w:rPr>
                <w:sz w:val="24"/>
                <w:szCs w:val="24"/>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88</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10.48</w:t>
      </w:r>
    </w:p>
    <w:p>
      <w:pPr>
        <w:spacing w:after="0" w:line="200" w:lineRule="exact"/>
        <w:rPr>
          <w:sz w:val="20"/>
          <w:szCs w:val="20"/>
          <w:color w:val="auto"/>
        </w:rPr>
      </w:pPr>
    </w:p>
    <w:p>
      <w:pPr>
        <w:spacing w:after="0" w:line="286"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Vericel Corporation 2017 Omnibus Incentive Plan</w:t>
      </w:r>
    </w:p>
    <w:p>
      <w:pPr>
        <w:spacing w:after="0" w:line="28" w:lineRule="exact"/>
        <w:rPr>
          <w:sz w:val="20"/>
          <w:szCs w:val="20"/>
          <w:color w:val="auto"/>
        </w:rPr>
      </w:pPr>
    </w:p>
    <w:p>
      <w:pPr>
        <w:ind w:left="3780"/>
        <w:spacing w:after="0"/>
        <w:rPr>
          <w:sz w:val="20"/>
          <w:szCs w:val="20"/>
          <w:color w:val="auto"/>
        </w:rPr>
      </w:pPr>
      <w:r>
        <w:rPr>
          <w:rFonts w:ascii="Arial" w:cs="Arial" w:eastAsia="Arial" w:hAnsi="Arial"/>
          <w:sz w:val="22"/>
          <w:szCs w:val="22"/>
          <w:b w:val="1"/>
          <w:bCs w:val="1"/>
          <w:u w:val="single" w:color="auto"/>
          <w:color w:val="auto"/>
        </w:rPr>
        <w:t>Incentive Stock Option Award Agreement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firstLine="648"/>
        <w:spacing w:after="0" w:line="343" w:lineRule="auto"/>
        <w:rPr>
          <w:sz w:val="20"/>
          <w:szCs w:val="20"/>
          <w:color w:val="auto"/>
        </w:rPr>
      </w:pPr>
      <w:r>
        <w:rPr>
          <w:rFonts w:ascii="Arial" w:cs="Arial" w:eastAsia="Arial" w:hAnsi="Arial"/>
          <w:sz w:val="19"/>
          <w:szCs w:val="19"/>
          <w:color w:val="auto"/>
        </w:rPr>
        <w:t>AWARD AGREEMENT (the "Agreement"), effective as of [[GRANTDATE]] (the “Grant Date”), is entered into by and between Vericel Corporation, a Michigan corporation (the “Company”), and [[FIRSTNAME]] [[LASTNAME]] (the “Participant”).</w:t>
      </w:r>
    </w:p>
    <w:p>
      <w:pPr>
        <w:spacing w:after="0" w:line="118" w:lineRule="exact"/>
        <w:rPr>
          <w:sz w:val="20"/>
          <w:szCs w:val="20"/>
          <w:color w:val="auto"/>
        </w:rPr>
      </w:pPr>
    </w:p>
    <w:p>
      <w:pPr>
        <w:ind w:right="860" w:firstLine="656"/>
        <w:spacing w:after="0" w:line="253" w:lineRule="auto"/>
        <w:tabs>
          <w:tab w:leader="none" w:pos="1459"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The Company hereby grants to the Participant a stock option (the “Option”) to purchase [[SHARESGRANTED]] shares of common stock of the Company, no par value (the “Shares”), at the exercise price of [[GRANTPRICE]] per Share (the “Exercise Price”).</w:t>
      </w:r>
    </w:p>
    <w:p>
      <w:pPr>
        <w:spacing w:after="0" w:line="185" w:lineRule="exact"/>
        <w:rPr>
          <w:rFonts w:ascii="Arial" w:cs="Arial" w:eastAsia="Arial" w:hAnsi="Arial"/>
          <w:sz w:val="22"/>
          <w:szCs w:val="22"/>
          <w:color w:val="auto"/>
        </w:rPr>
      </w:pPr>
    </w:p>
    <w:p>
      <w:pPr>
        <w:ind w:right="220" w:firstLine="656"/>
        <w:spacing w:after="0" w:line="320" w:lineRule="auto"/>
        <w:tabs>
          <w:tab w:leader="none" w:pos="99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Subject to the Plan</w:t>
      </w:r>
      <w:r>
        <w:rPr>
          <w:rFonts w:ascii="Arial" w:cs="Arial" w:eastAsia="Arial" w:hAnsi="Arial"/>
          <w:sz w:val="19"/>
          <w:szCs w:val="19"/>
          <w:color w:val="auto"/>
        </w:rPr>
        <w:t>. This Agreement is subject to and governed by the terms and provisions of the Vericel Corporation 2017 Omnibus Incentive Plan (the “Plan”), and, unless the context requires otherwise, terms used herein shall have the same meaning as in the Plan. In the event of a conflict between the provisions of the Plan and this Agreement, the Plan shall control.</w:t>
      </w:r>
    </w:p>
    <w:p>
      <w:pPr>
        <w:spacing w:after="0" w:line="125" w:lineRule="exact"/>
        <w:rPr>
          <w:rFonts w:ascii="Arial" w:cs="Arial" w:eastAsia="Arial" w:hAnsi="Arial"/>
          <w:sz w:val="19"/>
          <w:szCs w:val="19"/>
          <w:color w:val="auto"/>
        </w:rPr>
      </w:pPr>
    </w:p>
    <w:p>
      <w:pPr>
        <w:ind w:right="460" w:firstLine="656"/>
        <w:spacing w:after="0" w:line="276" w:lineRule="auto"/>
        <w:tabs>
          <w:tab w:leader="none" w:pos="99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Term of Option</w:t>
      </w:r>
      <w:r>
        <w:rPr>
          <w:rFonts w:ascii="Arial" w:cs="Arial" w:eastAsia="Arial" w:hAnsi="Arial"/>
          <w:sz w:val="22"/>
          <w:szCs w:val="22"/>
          <w:color w:val="auto"/>
        </w:rPr>
        <w:t>. Unless the Option terminates earlier pursuant to the provisions of this Agreement, the Option shall expire on the tenth anniversary of the Grant Date.</w:t>
      </w:r>
    </w:p>
    <w:p>
      <w:pPr>
        <w:spacing w:after="0" w:line="160" w:lineRule="exact"/>
        <w:rPr>
          <w:rFonts w:ascii="Arial" w:cs="Arial" w:eastAsia="Arial" w:hAnsi="Arial"/>
          <w:sz w:val="22"/>
          <w:szCs w:val="22"/>
          <w:color w:val="auto"/>
        </w:rPr>
      </w:pPr>
    </w:p>
    <w:p>
      <w:pPr>
        <w:jc w:val="both"/>
        <w:ind w:right="600" w:firstLine="656"/>
        <w:spacing w:after="0" w:line="299" w:lineRule="auto"/>
        <w:tabs>
          <w:tab w:leader="none" w:pos="99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Subject to the discretion of the Committee to accelerate the exercisability of the Option, the Option shall become vested and exercisable over four years, with 25% of the Shares vesting on the first anniversary of the Grant Date and</w:t>
      </w:r>
    </w:p>
    <w:p>
      <w:pPr>
        <w:ind w:right="360"/>
        <w:spacing w:after="0" w:line="246" w:lineRule="auto"/>
        <w:rPr>
          <w:rFonts w:ascii="Arial" w:cs="Arial" w:eastAsia="Arial" w:hAnsi="Arial"/>
          <w:sz w:val="19"/>
          <w:szCs w:val="19"/>
          <w:color w:val="auto"/>
        </w:rPr>
      </w:pPr>
      <w:r>
        <w:rPr>
          <w:rFonts w:ascii="Arial" w:cs="Arial" w:eastAsia="Arial" w:hAnsi="Arial"/>
          <w:sz w:val="22"/>
          <w:szCs w:val="22"/>
          <w:color w:val="auto"/>
        </w:rPr>
        <w:t>6.25% of the Shares vesting quarterly thereafter, provided that the Participant is employed by the Company or an Affiliate (or is providing services to the Company as a Director or Consultant) on the applicable date.</w:t>
      </w:r>
    </w:p>
    <w:p>
      <w:pPr>
        <w:spacing w:after="0" w:line="192" w:lineRule="exact"/>
        <w:rPr>
          <w:rFonts w:ascii="Arial" w:cs="Arial" w:eastAsia="Arial" w:hAnsi="Arial"/>
          <w:sz w:val="19"/>
          <w:szCs w:val="19"/>
          <w:color w:val="auto"/>
        </w:rPr>
      </w:pPr>
    </w:p>
    <w:p>
      <w:pPr>
        <w:ind w:left="1000" w:hanging="344"/>
        <w:spacing w:after="0"/>
        <w:tabs>
          <w:tab w:leader="none" w:pos="100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1305"/>
        <w:spacing w:after="0" w:line="266" w:lineRule="auto"/>
        <w:tabs>
          <w:tab w:leader="none" w:pos="1716" w:val="left"/>
        </w:tabs>
        <w:numPr>
          <w:ilvl w:val="1"/>
          <w:numId w:val="32"/>
        </w:numPr>
        <w:rPr>
          <w:rFonts w:ascii="Arial" w:cs="Arial" w:eastAsia="Arial" w:hAnsi="Arial"/>
          <w:sz w:val="21"/>
          <w:szCs w:val="21"/>
          <w:color w:val="auto"/>
        </w:rPr>
      </w:pPr>
      <w:r>
        <w:rPr>
          <w:rFonts w:ascii="Arial" w:cs="Arial" w:eastAsia="Arial" w:hAnsi="Arial"/>
          <w:sz w:val="21"/>
          <w:szCs w:val="21"/>
          <w:u w:val="single" w:color="auto"/>
          <w:color w:val="auto"/>
        </w:rPr>
        <w:t>Manner of Exercise</w:t>
      </w:r>
      <w:r>
        <w:rPr>
          <w:rFonts w:ascii="Arial" w:cs="Arial" w:eastAsia="Arial" w:hAnsi="Arial"/>
          <w:sz w:val="21"/>
          <w:szCs w:val="21"/>
          <w:color w:val="auto"/>
        </w:rPr>
        <w:t>. To the extent vested, the Option may be exercised, in whole or in part, by delivering written notice to the Company in such form as the Company may require from time to time. Such notice shall specify the number of Shares subject to the Option as to which the Option is being exercised, and shall be accompanied by full payment of the Exercise Price of such Shares in a manner permitted under the terms of Section 5.5 of the Plan. The Option may be exercised only in multiples of whole Shares and no fractional Shares shall be issued.</w:t>
      </w:r>
    </w:p>
    <w:p>
      <w:pPr>
        <w:spacing w:after="0" w:line="174" w:lineRule="exact"/>
        <w:rPr>
          <w:rFonts w:ascii="Arial" w:cs="Arial" w:eastAsia="Arial" w:hAnsi="Arial"/>
          <w:sz w:val="21"/>
          <w:szCs w:val="21"/>
          <w:color w:val="auto"/>
        </w:rPr>
      </w:pPr>
    </w:p>
    <w:p>
      <w:pPr>
        <w:ind w:right="180" w:firstLine="1305"/>
        <w:spacing w:after="0" w:line="270" w:lineRule="auto"/>
        <w:tabs>
          <w:tab w:leader="none" w:pos="1728" w:val="left"/>
        </w:tabs>
        <w:numPr>
          <w:ilvl w:val="1"/>
          <w:numId w:val="32"/>
        </w:numPr>
        <w:rPr>
          <w:rFonts w:ascii="Arial" w:cs="Arial" w:eastAsia="Arial" w:hAnsi="Arial"/>
          <w:sz w:val="21"/>
          <w:szCs w:val="21"/>
          <w:color w:val="auto"/>
        </w:rPr>
      </w:pPr>
      <w:r>
        <w:rPr>
          <w:rFonts w:ascii="Arial" w:cs="Arial" w:eastAsia="Arial" w:hAnsi="Arial"/>
          <w:sz w:val="21"/>
          <w:szCs w:val="21"/>
          <w:u w:val="single" w:color="auto"/>
          <w:color w:val="auto"/>
        </w:rPr>
        <w:t>Status of the Option</w:t>
      </w:r>
      <w:r>
        <w:rPr>
          <w:rFonts w:ascii="Arial" w:cs="Arial" w:eastAsia="Arial" w:hAnsi="Arial"/>
          <w:sz w:val="21"/>
          <w:szCs w:val="21"/>
          <w:color w:val="auto"/>
        </w:rPr>
        <w:t>. This Stock is intended to qualify as an “incentive stock option” under Section 422 of Code, but the Company does not represent or warrant that this Option qualifies as such. The Participant should consult with his or her own tax advisors regarding the tax effects of this Option and the requirements necessary to obtain favorable income tax treatment under Section 422 of the Code, including, but not limited to, holding period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ACTIVE/90650386.3</w:t>
      </w:r>
    </w:p>
    <w:p>
      <w:pPr>
        <w:sectPr>
          <w:pgSz w:w="11900" w:h="16838" w:orient="portrait"/>
          <w:cols w:equalWidth="0" w:num="1">
            <w:col w:w="11420"/>
          </w:cols>
          <w:pgMar w:left="240" w:top="580" w:right="239" w:bottom="1440" w:gutter="0" w:footer="0" w:header="0"/>
        </w:sectPr>
      </w:pPr>
    </w:p>
    <w:bookmarkStart w:id="90" w:name="page91"/>
    <w:bookmarkEnd w:id="90"/>
    <w:p>
      <w:pPr>
        <w:ind w:right="520"/>
        <w:spacing w:after="0" w:line="263" w:lineRule="auto"/>
        <w:rPr>
          <w:sz w:val="20"/>
          <w:szCs w:val="20"/>
          <w:color w:val="auto"/>
        </w:rPr>
      </w:pPr>
      <w:r>
        <w:rPr>
          <w:rFonts w:ascii="Arial" w:cs="Arial" w:eastAsia="Arial" w:hAnsi="Arial"/>
          <w:sz w:val="22"/>
          <w:szCs w:val="22"/>
          <w:color w:val="auto"/>
        </w:rPr>
        <w:t>requirements. To the extent any portion of this Option does not so qualify as an “incentive stock option,” such portion shall be deemed to be a non-qualified stock option.</w:t>
      </w:r>
    </w:p>
    <w:p>
      <w:pPr>
        <w:spacing w:after="0" w:line="175" w:lineRule="exact"/>
        <w:rPr>
          <w:sz w:val="20"/>
          <w:szCs w:val="20"/>
          <w:color w:val="auto"/>
        </w:rPr>
      </w:pPr>
    </w:p>
    <w:p>
      <w:pPr>
        <w:ind w:firstLine="1305"/>
        <w:spacing w:after="0" w:line="300" w:lineRule="auto"/>
        <w:tabs>
          <w:tab w:leader="none" w:pos="1716"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Issuance of Shares</w:t>
      </w:r>
      <w:r>
        <w:rPr>
          <w:rFonts w:ascii="Arial" w:cs="Arial" w:eastAsia="Arial" w:hAnsi="Arial"/>
          <w:sz w:val="19"/>
          <w:szCs w:val="19"/>
          <w:color w:val="auto"/>
        </w:rPr>
        <w:t>. As soon as practicable following the exercise of the Option, payment of the Exercise Price for the Shares as to which the Option is exercised and compliance to the satisfaction of the Committee with all requirements under applicable laws or regulations in connection with such transfer and with the requirements hereof and of the Plan, the Company shall issue to the Participant the applicable number of Shares in the form of fully paid and nonassessable Shares. The determination of the Committee as to such compliance shall be final and binding on the Participant.</w:t>
      </w:r>
    </w:p>
    <w:p>
      <w:pPr>
        <w:spacing w:after="0" w:line="147" w:lineRule="exact"/>
        <w:rPr>
          <w:rFonts w:ascii="Arial" w:cs="Arial" w:eastAsia="Arial" w:hAnsi="Arial"/>
          <w:sz w:val="19"/>
          <w:szCs w:val="19"/>
          <w:color w:val="auto"/>
        </w:rPr>
      </w:pPr>
    </w:p>
    <w:p>
      <w:pPr>
        <w:ind w:right="740" w:firstLine="1305"/>
        <w:spacing w:after="0" w:line="276" w:lineRule="auto"/>
        <w:tabs>
          <w:tab w:leader="none" w:pos="1728"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Capitalization Adjustments</w:t>
      </w:r>
      <w:r>
        <w:rPr>
          <w:rFonts w:ascii="Arial" w:cs="Arial" w:eastAsia="Arial" w:hAnsi="Arial"/>
          <w:sz w:val="22"/>
          <w:szCs w:val="22"/>
          <w:color w:val="auto"/>
        </w:rPr>
        <w:t>. The number of Shares subject to the Option and the Exercise Price shall be equitably and appropriately adjusted, if applicable, as provided in Section 12.2 of the Plan.</w:t>
      </w:r>
    </w:p>
    <w:p>
      <w:pPr>
        <w:spacing w:after="0" w:line="160" w:lineRule="exact"/>
        <w:rPr>
          <w:rFonts w:ascii="Arial" w:cs="Arial" w:eastAsia="Arial" w:hAnsi="Arial"/>
          <w:sz w:val="22"/>
          <w:szCs w:val="22"/>
          <w:color w:val="auto"/>
        </w:rPr>
      </w:pPr>
    </w:p>
    <w:p>
      <w:pPr>
        <w:jc w:val="both"/>
        <w:ind w:right="40" w:firstLine="1305"/>
        <w:spacing w:after="0" w:line="260" w:lineRule="auto"/>
        <w:tabs>
          <w:tab w:leader="none" w:pos="1716"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Notice of Disposition</w:t>
      </w:r>
      <w:r>
        <w:rPr>
          <w:rFonts w:ascii="Arial" w:cs="Arial" w:eastAsia="Arial" w:hAnsi="Arial"/>
          <w:sz w:val="22"/>
          <w:szCs w:val="22"/>
          <w:color w:val="auto"/>
        </w:rPr>
        <w:t>. The Participant agrees to notify the Company in writing within fifteen (15) days after the date of any disposition of any of the Shares issued upon exercise of the Option that occurs before the later of two (2) years after the Grant Date or one (1) year after such Shares are transferred to the Participant.</w:t>
      </w:r>
    </w:p>
    <w:p>
      <w:pPr>
        <w:spacing w:after="0" w:line="177" w:lineRule="exact"/>
        <w:rPr>
          <w:rFonts w:ascii="Arial" w:cs="Arial" w:eastAsia="Arial" w:hAnsi="Arial"/>
          <w:sz w:val="22"/>
          <w:szCs w:val="22"/>
          <w:color w:val="auto"/>
        </w:rPr>
      </w:pPr>
    </w:p>
    <w:p>
      <w:pPr>
        <w:ind w:right="60" w:firstLine="1305"/>
        <w:spacing w:after="0" w:line="294" w:lineRule="auto"/>
        <w:tabs>
          <w:tab w:leader="none" w:pos="1692"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provisions of this paragraph will apply only to the extent that the Option is not treated as an incentive stock option pursuant to paragraph (b) of this Section. No Shares will be issued on exercise of the Option unless and until the Participant pays to the Company, or makes satisfactory arrangements with the Company for payment of, any federal, state or local taxes required by law to be withheld in respect of the exercise of the Option. The Participant hereby agrees that the Company may withhold from the Participant’s wages or other remuneration the applicable taxes. At the discretion of the Company, the applicable taxes may be withheld from the Shares otherwise deliverable to the Participant on exercise of the Option, up to the Participant’s minimum required withholding rate or such other rate that will not trigger a negative accounting impact.</w:t>
      </w:r>
    </w:p>
    <w:p>
      <w:pPr>
        <w:spacing w:after="0" w:line="152" w:lineRule="exact"/>
        <w:rPr>
          <w:rFonts w:ascii="Arial" w:cs="Arial" w:eastAsia="Arial" w:hAnsi="Arial"/>
          <w:sz w:val="19"/>
          <w:szCs w:val="19"/>
          <w:color w:val="auto"/>
        </w:rPr>
      </w:pPr>
    </w:p>
    <w:p>
      <w:pPr>
        <w:ind w:right="60" w:firstLine="656"/>
        <w:spacing w:after="0" w:line="266" w:lineRule="auto"/>
        <w:tabs>
          <w:tab w:leader="none" w:pos="990"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Termination of Option.</w:t>
      </w:r>
      <w:r>
        <w:rPr>
          <w:rFonts w:ascii="Arial" w:cs="Arial" w:eastAsia="Arial" w:hAnsi="Arial"/>
          <w:sz w:val="21"/>
          <w:szCs w:val="21"/>
          <w:color w:val="auto"/>
        </w:rPr>
        <w:t xml:space="preserve"> To the extent that an Option is vested, it may be exercised at any time specified in this Agreement, provided that, except as set forth in the following provisions of this Section 6, the Participant is still employed by or providing services to the Company at the time of exercise. In all other cases, the Option shall terminate as set forth in the following subsections. Except as provided herein, any portion of this Option that has not vested as of the date of termination of employment or other service relationship shall immediately terminate and be of no further force or effect.</w:t>
      </w:r>
    </w:p>
    <w:p>
      <w:pPr>
        <w:spacing w:after="0" w:line="174" w:lineRule="exact"/>
        <w:rPr>
          <w:rFonts w:ascii="Arial" w:cs="Arial" w:eastAsia="Arial" w:hAnsi="Arial"/>
          <w:sz w:val="21"/>
          <w:szCs w:val="21"/>
          <w:color w:val="auto"/>
        </w:rPr>
      </w:pPr>
    </w:p>
    <w:p>
      <w:pPr>
        <w:ind w:right="60" w:firstLine="1305"/>
        <w:spacing w:after="0" w:line="266" w:lineRule="auto"/>
        <w:tabs>
          <w:tab w:leader="none" w:pos="1716"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Upon the death of an Optionee while employed by or providing services to the Company or an Affiliate, the unexercised, vested portion of this Option shall be exercisable by the person or persons entitled to do so under the will of the Participant, or, if the Participant shall fail to make testamentary disposition of the Option, or if the Participant shall die intestate, by the Participant’s executor or personal representative, at any time prior to the expiration date of this Option or within one (1) year of the Participant’s date of death, whichever is the shorter period.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91" w:name="page92"/>
    <w:bookmarkEnd w:id="91"/>
    <w:p>
      <w:pPr>
        <w:ind w:right="160" w:firstLine="1305"/>
        <w:spacing w:after="0" w:line="261" w:lineRule="auto"/>
        <w:tabs>
          <w:tab w:leader="none" w:pos="1728" w:val="left"/>
        </w:tabs>
        <w:numPr>
          <w:ilvl w:val="1"/>
          <w:numId w:val="35"/>
        </w:numPr>
        <w:rPr>
          <w:rFonts w:ascii="Arial" w:cs="Arial" w:eastAsia="Arial" w:hAnsi="Arial"/>
          <w:sz w:val="21"/>
          <w:szCs w:val="21"/>
          <w:color w:val="auto"/>
        </w:rPr>
      </w:pPr>
      <w:r>
        <w:rPr>
          <w:rFonts w:ascii="Arial" w:cs="Arial" w:eastAsia="Arial" w:hAnsi="Arial"/>
          <w:sz w:val="21"/>
          <w:szCs w:val="21"/>
          <w:u w:val="single" w:color="auto"/>
          <w:color w:val="auto"/>
        </w:rPr>
        <w:t>Disabled Participant</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Upon the termination of employment or other service relationship by the Company or an Affiliate of a Disabled Participant for reasons other than Cause, the unexercised, vested portion of this Option shall be exercisable by the Participant at any time prior to the expiration date of such Option or within one year of the Participant’s date of termination of employment or other service relationship, whichever is the shorter period. For purposes of this Agreement, a "Disabled Participant" shall mean the Participant is disabled within the meaning of Section 22(e)(3) of the Code, or as otherwise determined by the Committee in its discretion. The Committee may require such proof of disability as the Committee in its sole and absolute discretion deems appropriate and the Committee's determination as to whether the Participant is a Disabled Participant shall be final and binding on all parties concerned.</w:t>
      </w:r>
    </w:p>
    <w:p>
      <w:pPr>
        <w:spacing w:after="0" w:line="181" w:lineRule="exact"/>
        <w:rPr>
          <w:rFonts w:ascii="Arial" w:cs="Arial" w:eastAsia="Arial" w:hAnsi="Arial"/>
          <w:sz w:val="21"/>
          <w:szCs w:val="21"/>
          <w:color w:val="auto"/>
        </w:rPr>
      </w:pPr>
    </w:p>
    <w:p>
      <w:pPr>
        <w:ind w:right="60" w:firstLine="1305"/>
        <w:spacing w:after="0" w:line="251" w:lineRule="auto"/>
        <w:tabs>
          <w:tab w:leader="none" w:pos="1716"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Upon the termination of employment or other service relationship with the Company or an Affiliate of a Participant other than a Disabled Participant, for reasons other than death or Cause, the unexercised, vested portion of this Option shall be exercisable by the Participant at any time prior to the expiration date of such Option or within three (3) months of the Participant’s date of termination of employment or other service relationship, whichever is the shorter period.</w:t>
      </w:r>
    </w:p>
    <w:p>
      <w:pPr>
        <w:spacing w:after="0" w:line="189" w:lineRule="exact"/>
        <w:rPr>
          <w:rFonts w:ascii="Arial" w:cs="Arial" w:eastAsia="Arial" w:hAnsi="Arial"/>
          <w:sz w:val="22"/>
          <w:szCs w:val="22"/>
          <w:color w:val="auto"/>
        </w:rPr>
      </w:pPr>
    </w:p>
    <w:p>
      <w:pPr>
        <w:ind w:right="20" w:firstLine="1305"/>
        <w:spacing w:after="0" w:line="285" w:lineRule="auto"/>
        <w:tabs>
          <w:tab w:leader="none" w:pos="1728"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Upon the termination of the Participant’s employment or other service relationship by the Company or an Affiliate for Cause, unless the Option has earlier terminated, the Option shall immediately terminate in its entirety and shall thereafter not be exercisable to any extent whatsoever. For purposes of this Agreement, except as otherwise provided in a written employment or severance agreement between the Participant and the Company or an Affiliate or a severance plan of the Company or an Affiliate covering the Participant, “Cause” shall mean a determination by the Committee that the Participant has (i) materially breached his or her employment or service contract with the Company, (ii) been engaged in disloyalty to the Company or an Affiliate, including, without limitation, fraud, embezzlement, theft, commission of a felony or proven dishonesty in the course of his or her employment or service, which will materially harm the interests of the Company or the Affiliate, (iii) disclosed trade secrets or confidential information of the Company to persons not entitled to receive such information, (iv) breached any written noncompetition or nonsolicitation agreement between the Participant and the Company or an Affiliate in a manner which the Committee determines will cause material harm to the interests of the Company or an Affiliate, or</w:t>
      </w:r>
    </w:p>
    <w:p>
      <w:pPr>
        <w:ind w:right="980" w:firstLine="8"/>
        <w:spacing w:after="0" w:line="246" w:lineRule="auto"/>
        <w:tabs>
          <w:tab w:leader="none" w:pos="306" w:val="left"/>
        </w:tabs>
        <w:numPr>
          <w:ilvl w:val="0"/>
          <w:numId w:val="36"/>
        </w:numPr>
        <w:rPr>
          <w:rFonts w:ascii="Arial" w:cs="Arial" w:eastAsia="Arial" w:hAnsi="Arial"/>
          <w:sz w:val="22"/>
          <w:szCs w:val="22"/>
          <w:color w:val="auto"/>
        </w:rPr>
      </w:pPr>
      <w:r>
        <w:rPr>
          <w:rFonts w:ascii="Arial" w:cs="Arial" w:eastAsia="Arial" w:hAnsi="Arial"/>
          <w:sz w:val="22"/>
          <w:szCs w:val="22"/>
          <w:color w:val="auto"/>
        </w:rPr>
        <w:t>engaged in such other behavior materially detrimental to the interests of the Company, in each case as the Committee determines.</w:t>
      </w:r>
    </w:p>
    <w:p>
      <w:pPr>
        <w:spacing w:after="0" w:line="193"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The Committee’s determination of the reason for termination of the Participant’s employment or other service relationship shall be conclusive and binding on the Participant and his or her representatives or legatees.</w:t>
      </w:r>
    </w:p>
    <w:p>
      <w:pPr>
        <w:spacing w:after="0" w:line="175" w:lineRule="exact"/>
        <w:rPr>
          <w:sz w:val="20"/>
          <w:szCs w:val="20"/>
          <w:color w:val="auto"/>
        </w:rPr>
      </w:pPr>
    </w:p>
    <w:p>
      <w:pPr>
        <w:ind w:firstLine="1305"/>
        <w:spacing w:after="0" w:line="320" w:lineRule="auto"/>
        <w:tabs>
          <w:tab w:leader="none" w:pos="1716"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Extension of Exercise Period</w:t>
      </w:r>
      <w:r>
        <w:rPr>
          <w:rFonts w:ascii="Arial" w:cs="Arial" w:eastAsia="Arial" w:hAnsi="Arial"/>
          <w:sz w:val="19"/>
          <w:szCs w:val="19"/>
          <w:color w:val="auto"/>
        </w:rPr>
        <w:t>. Notwithstanding any provisions of paragraphs (a), (b), (c) or (d) of this Section to the contrary, if exercise of the Option following termination of employment or other service relationship during the time period set forth in the applicable paragraph or sale during such period of the Shares acquired on exercise would violate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92" w:name="page93"/>
    <w:bookmarkEnd w:id="92"/>
    <w:p>
      <w:pPr>
        <w:spacing w:after="0" w:line="250" w:lineRule="auto"/>
        <w:rPr>
          <w:sz w:val="20"/>
          <w:szCs w:val="20"/>
          <w:color w:val="auto"/>
        </w:rPr>
      </w:pPr>
      <w:r>
        <w:rPr>
          <w:rFonts w:ascii="Arial" w:cs="Arial" w:eastAsia="Arial" w:hAnsi="Arial"/>
          <w:sz w:val="22"/>
          <w:szCs w:val="22"/>
          <w:color w:val="auto"/>
        </w:rPr>
        <w:t>any of the provisions of the federal securities laws (or any Company policy related thereto), the time period to exercise the Option shall be extended until the later of (i) forty-five (45) days after the date that the exercise of the Option or sale of the Shares acquired on exercise would not be a violation of the federal securities laws (or a related Company policy), or (ii) the end of the time period set forth in the applicable paragraph.</w:t>
      </w:r>
    </w:p>
    <w:p>
      <w:pPr>
        <w:spacing w:after="0" w:line="188" w:lineRule="exact"/>
        <w:rPr>
          <w:sz w:val="20"/>
          <w:szCs w:val="20"/>
          <w:color w:val="auto"/>
        </w:rPr>
      </w:pPr>
    </w:p>
    <w:p>
      <w:pPr>
        <w:ind w:left="1000" w:hanging="344"/>
        <w:spacing w:after="0"/>
        <w:tabs>
          <w:tab w:leader="none" w:pos="100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305"/>
        <w:spacing w:after="0" w:line="289" w:lineRule="auto"/>
        <w:tabs>
          <w:tab w:leader="none" w:pos="1716"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Effect on Option</w:t>
      </w:r>
      <w:r>
        <w:rPr>
          <w:rFonts w:ascii="Arial" w:cs="Arial" w:eastAsia="Arial" w:hAnsi="Arial"/>
          <w:sz w:val="19"/>
          <w:szCs w:val="19"/>
          <w:color w:val="auto"/>
        </w:rPr>
        <w:t>. In the event of a Change in Control, to the extent the successor company (or a subsidiary or parent thereof) does not assume or substitute for the Option on substantially the same terms and conditions, the Option shall (i) vest and become exercisable on the day prior to the date of the Change in Control if the Participant is then employed by or providing services to the Company or an Affiliate and (ii) terminate on the date of the Change in Control. In the event of a Change in Control, to the extent the successor company (or a subsidiary or parent thereof) assumes or substitutes for the Option on substantially the same terms and conditions (which may include providing for settlement in the common stock of the successor company (or a subsidiary or parent thereof)), if within twelve (12) months following the date of the Change in Control the Participant’s employment or other service relationship is terminated by the Company or an Affiliate (or the successor company or a subsidiary or parent thereof) without Cause or by the Participant for Good Reason, the Option shall become fully vested and exercisable, and may be exercised by the Participant at any time prior to the expiration date of such Option or within three months of the Participant’s date of termination of employment or other service relationship, whichever is the shorter period.</w:t>
      </w:r>
    </w:p>
    <w:p>
      <w:pPr>
        <w:spacing w:after="0" w:line="158" w:lineRule="exact"/>
        <w:rPr>
          <w:sz w:val="20"/>
          <w:szCs w:val="20"/>
          <w:color w:val="auto"/>
        </w:rPr>
      </w:pPr>
    </w:p>
    <w:p>
      <w:pPr>
        <w:ind w:right="240" w:firstLine="648"/>
        <w:spacing w:after="0" w:line="253" w:lineRule="auto"/>
        <w:rPr>
          <w:sz w:val="20"/>
          <w:szCs w:val="20"/>
          <w:color w:val="auto"/>
        </w:rPr>
      </w:pPr>
      <w:r>
        <w:rPr>
          <w:rFonts w:ascii="Arial" w:cs="Arial" w:eastAsia="Arial" w:hAnsi="Arial"/>
          <w:sz w:val="22"/>
          <w:szCs w:val="22"/>
          <w:color w:val="auto"/>
        </w:rPr>
        <w:t>Notwithstanding the foregoing, if on the date of the Change in Control the Fair Market Value of one Share is less than the Exercise Price, then the Option shall terminate as of the date of the Change in Control, except as otherwise determined by the Committee.</w:t>
      </w:r>
    </w:p>
    <w:p>
      <w:pPr>
        <w:spacing w:after="0" w:line="186" w:lineRule="exact"/>
        <w:rPr>
          <w:sz w:val="20"/>
          <w:szCs w:val="20"/>
          <w:color w:val="auto"/>
        </w:rPr>
      </w:pPr>
    </w:p>
    <w:p>
      <w:pPr>
        <w:ind w:right="40" w:firstLine="1305"/>
        <w:spacing w:after="0" w:line="288" w:lineRule="auto"/>
        <w:tabs>
          <w:tab w:leader="none" w:pos="1728"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For purposes of this Agreement, except as otherwise provided in paragraph (c) of this Section, “Good Reason” shall mean (i) a reduction by the Company or an Affiliate or a successor company (or a subsidiary or parent thereof) of more than 10% in Participant’s rate of annual base salary as in effect immediately prior to such Change in Control; (ii) a reduction by the Company or an Affiliate or a successor company (or a subsidiary or parent thereof) of more than 10% of the Participant’s individual annual target or bonus opportunity, except under circumstances where the Company or an Affiliate or a successor company (or a subsidiary or parent thereof) implement changes to the bonus structure of similarly situated employees, including but not limited to changes to the bonus structure designed to integrate the Company’s or Affiliate’s personnel with other personnel of the successor company (or an subsidiary or parent thereof); (iii) a significant and substantial reduction by the Company or an Affiliate or a successor company (or a subsidiary or parent thereof) of the Participant’s responsibilities and authority, as compared with the Participant’s responsibilities and authority in effect immediately preceding the Change in Control; or (iv) any requirement of the Company or an Affiliate or a successor company (or a subsidiary or parent thereof) that Participant be based anywhere more than fifty (50) miles from Participant’s primary office location at the time of the Change in Control.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591" w:right="259" w:bottom="1440" w:gutter="0" w:footer="0" w:header="0"/>
        </w:sectPr>
      </w:pPr>
    </w:p>
    <w:bookmarkStart w:id="93" w:name="page94"/>
    <w:bookmarkEnd w:id="93"/>
    <w:p>
      <w:pPr>
        <w:jc w:val="both"/>
        <w:ind w:left="-20" w:right="40" w:firstLine="1305"/>
        <w:spacing w:after="0" w:line="270" w:lineRule="auto"/>
        <w:tabs>
          <w:tab w:leader="none" w:pos="1696" w:val="left"/>
        </w:tabs>
        <w:numPr>
          <w:ilvl w:val="1"/>
          <w:numId w:val="40"/>
        </w:numPr>
        <w:rPr>
          <w:rFonts w:ascii="Arial" w:cs="Arial" w:eastAsia="Arial" w:hAnsi="Arial"/>
          <w:sz w:val="21"/>
          <w:szCs w:val="21"/>
          <w:color w:val="auto"/>
        </w:rPr>
      </w:pPr>
      <w:r>
        <w:rPr>
          <w:rFonts w:ascii="Arial" w:cs="Arial" w:eastAsia="Arial" w:hAnsi="Arial"/>
          <w:sz w:val="21"/>
          <w:szCs w:val="21"/>
          <w:u w:val="single" w:color="auto"/>
          <w:color w:val="auto"/>
        </w:rPr>
        <w:t>Other Agreement or Plan</w:t>
      </w:r>
      <w:r>
        <w:rPr>
          <w:rFonts w:ascii="Arial" w:cs="Arial" w:eastAsia="Arial" w:hAnsi="Arial"/>
          <w:sz w:val="21"/>
          <w:szCs w:val="21"/>
          <w:color w:val="auto"/>
        </w:rPr>
        <w:t>. The provisions of this Section (including the definitions of Cause and Good Reason), shall be superseded by the specific provisions, if any, of a written employment or severance agreement between the Participant and the Company or a severance plan of the Company covering the Participant, including a change in control severance agreement or plan, to the extent such a provision provides a greater benefit to the Participant.</w:t>
      </w:r>
    </w:p>
    <w:p>
      <w:pPr>
        <w:spacing w:after="0" w:line="169" w:lineRule="exact"/>
        <w:rPr>
          <w:rFonts w:ascii="Arial" w:cs="Arial" w:eastAsia="Arial" w:hAnsi="Arial"/>
          <w:sz w:val="21"/>
          <w:szCs w:val="21"/>
          <w:color w:val="auto"/>
        </w:rPr>
      </w:pPr>
    </w:p>
    <w:p>
      <w:pPr>
        <w:ind w:left="980" w:hanging="344"/>
        <w:spacing w:after="0"/>
        <w:tabs>
          <w:tab w:leader="none" w:pos="98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0" w:right="240" w:firstLine="1305"/>
        <w:spacing w:after="0" w:line="358" w:lineRule="auto"/>
        <w:tabs>
          <w:tab w:leader="none" w:pos="1696"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No Rights of Stockholder</w:t>
      </w:r>
      <w:r>
        <w:rPr>
          <w:rFonts w:ascii="Arial" w:cs="Arial" w:eastAsia="Arial" w:hAnsi="Arial"/>
          <w:sz w:val="19"/>
          <w:szCs w:val="19"/>
          <w:color w:val="auto"/>
        </w:rPr>
        <w:t>. The Participant shall not have any of the rights of a stockholder with respect to the Shares subject to this Option until such Shares have been issued to him or her upon the due exercise of the Option.</w:t>
      </w:r>
    </w:p>
    <w:p>
      <w:pPr>
        <w:spacing w:after="0" w:line="90" w:lineRule="exact"/>
        <w:rPr>
          <w:rFonts w:ascii="Arial" w:cs="Arial" w:eastAsia="Arial" w:hAnsi="Arial"/>
          <w:sz w:val="19"/>
          <w:szCs w:val="19"/>
          <w:color w:val="auto"/>
        </w:rPr>
      </w:pPr>
    </w:p>
    <w:p>
      <w:pPr>
        <w:ind w:left="-20" w:firstLine="1305"/>
        <w:spacing w:after="0" w:line="300" w:lineRule="auto"/>
        <w:tabs>
          <w:tab w:leader="none" w:pos="1708"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Nontransferability of Option</w:t>
      </w:r>
      <w:r>
        <w:rPr>
          <w:rFonts w:ascii="Arial" w:cs="Arial" w:eastAsia="Arial" w:hAnsi="Arial"/>
          <w:sz w:val="19"/>
          <w:szCs w:val="19"/>
          <w:color w:val="auto"/>
        </w:rPr>
        <w:t>. The Option shall be nontransferable otherwise than by will or the laws of descent and distribution, and during the lifetime of the Participant, the Option may be exercised only by the Participant or, during the period the Participant is under a legal disability, by the Participant's guardian or legal representative. Notwithstanding the foregoing, the Participant may, by delivering written notice to the Company, in a form provided by or otherwise satisfactory to the Company, designate a third party who, in the event of the Participant’s death, shall thereafter be entitled to exercise the Option.</w:t>
      </w:r>
    </w:p>
    <w:p>
      <w:pPr>
        <w:spacing w:after="0" w:line="147" w:lineRule="exact"/>
        <w:rPr>
          <w:rFonts w:ascii="Arial" w:cs="Arial" w:eastAsia="Arial" w:hAnsi="Arial"/>
          <w:sz w:val="19"/>
          <w:szCs w:val="19"/>
          <w:color w:val="auto"/>
        </w:rPr>
      </w:pPr>
    </w:p>
    <w:p>
      <w:pPr>
        <w:ind w:left="-20" w:right="60" w:firstLine="1305"/>
        <w:spacing w:after="0" w:line="307" w:lineRule="auto"/>
        <w:tabs>
          <w:tab w:leader="none" w:pos="1696"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138" w:lineRule="exact"/>
        <w:rPr>
          <w:rFonts w:ascii="Arial" w:cs="Arial" w:eastAsia="Arial" w:hAnsi="Arial"/>
          <w:sz w:val="19"/>
          <w:szCs w:val="19"/>
          <w:color w:val="auto"/>
        </w:rPr>
      </w:pPr>
    </w:p>
    <w:p>
      <w:pPr>
        <w:ind w:left="-20" w:right="20" w:firstLine="1305"/>
        <w:spacing w:after="0" w:line="276" w:lineRule="auto"/>
        <w:tabs>
          <w:tab w:leader="none" w:pos="1708"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interpreted in accordance with, the laws of the State of Michigan, other than its conflict of laws principles.</w:t>
      </w:r>
    </w:p>
    <w:p>
      <w:pPr>
        <w:spacing w:after="0" w:line="160" w:lineRule="exact"/>
        <w:rPr>
          <w:rFonts w:ascii="Arial" w:cs="Arial" w:eastAsia="Arial" w:hAnsi="Arial"/>
          <w:sz w:val="22"/>
          <w:szCs w:val="22"/>
          <w:color w:val="auto"/>
        </w:rPr>
      </w:pPr>
    </w:p>
    <w:p>
      <w:pPr>
        <w:ind w:left="-20" w:right="220" w:firstLine="1305"/>
        <w:spacing w:after="0" w:line="276" w:lineRule="auto"/>
        <w:tabs>
          <w:tab w:leader="none" w:pos="1696"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Agreement are for reference purposes only and shall not affect the meaning or interpretation of this Agreement.</w:t>
      </w:r>
    </w:p>
    <w:p>
      <w:pPr>
        <w:spacing w:after="0" w:line="160" w:lineRule="exact"/>
        <w:rPr>
          <w:rFonts w:ascii="Arial" w:cs="Arial" w:eastAsia="Arial" w:hAnsi="Arial"/>
          <w:sz w:val="22"/>
          <w:szCs w:val="22"/>
          <w:color w:val="auto"/>
        </w:rPr>
      </w:pPr>
    </w:p>
    <w:p>
      <w:pPr>
        <w:ind w:left="-20" w:right="460" w:firstLine="1305"/>
        <w:spacing w:after="0" w:line="260" w:lineRule="auto"/>
        <w:tabs>
          <w:tab w:leader="none" w:pos="1672"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Notices to the Company should be addressed to:</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Vericel Corporation</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64 Sidney Street</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Cambridge, MA 02139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60" w:top="591" w:right="239" w:bottom="1440" w:gutter="0" w:footer="0" w:header="0"/>
        </w:sectPr>
      </w:pPr>
    </w:p>
    <w:bookmarkStart w:id="94" w:name="page95"/>
    <w:bookmarkEnd w:id="94"/>
    <w:p>
      <w:pPr>
        <w:ind w:left="660"/>
        <w:spacing w:after="0"/>
        <w:rPr>
          <w:sz w:val="20"/>
          <w:szCs w:val="20"/>
          <w:color w:val="auto"/>
        </w:rPr>
      </w:pPr>
      <w:r>
        <w:rPr>
          <w:rFonts w:ascii="Arial" w:cs="Arial" w:eastAsia="Arial" w:hAnsi="Arial"/>
          <w:sz w:val="22"/>
          <w:szCs w:val="22"/>
          <w:color w:val="auto"/>
        </w:rPr>
        <w:t>Attention: Chief Financial Officer</w:t>
      </w:r>
    </w:p>
    <w:p>
      <w:pPr>
        <w:spacing w:after="0" w:line="220"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Notice to the Participant should be addressed to the Participant at the Participant’s address as it appears on the Company’s records.</w:t>
      </w:r>
    </w:p>
    <w:p>
      <w:pPr>
        <w:spacing w:after="0" w:line="175" w:lineRule="exact"/>
        <w:rPr>
          <w:sz w:val="20"/>
          <w:szCs w:val="20"/>
          <w:color w:val="auto"/>
        </w:rPr>
      </w:pPr>
    </w:p>
    <w:p>
      <w:pPr>
        <w:ind w:right="100" w:firstLine="648"/>
        <w:spacing w:after="0" w:line="271" w:lineRule="auto"/>
        <w:rPr>
          <w:sz w:val="20"/>
          <w:szCs w:val="20"/>
          <w:color w:val="auto"/>
        </w:rPr>
      </w:pPr>
      <w:r>
        <w:rPr>
          <w:rFonts w:ascii="Arial" w:cs="Arial" w:eastAsia="Arial" w:hAnsi="Arial"/>
          <w:sz w:val="21"/>
          <w:szCs w:val="21"/>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168" w:lineRule="exact"/>
        <w:rPr>
          <w:sz w:val="20"/>
          <w:szCs w:val="20"/>
          <w:color w:val="auto"/>
        </w:rPr>
      </w:pPr>
    </w:p>
    <w:p>
      <w:pPr>
        <w:ind w:right="80" w:firstLine="1305"/>
        <w:spacing w:after="0" w:line="320" w:lineRule="auto"/>
        <w:tabs>
          <w:tab w:leader="none" w:pos="1728"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subsidiary is obligated by or as a result of the Plan or this Agreement to continue the Participant in employment and neither the Plan nor this Agreement shall interfere in any way with the right of the Company or any subsidiary to terminate the employment of the Participant at any time.</w:t>
      </w:r>
    </w:p>
    <w:p>
      <w:pPr>
        <w:spacing w:after="0" w:line="125" w:lineRule="exact"/>
        <w:rPr>
          <w:rFonts w:ascii="Arial" w:cs="Arial" w:eastAsia="Arial" w:hAnsi="Arial"/>
          <w:sz w:val="19"/>
          <w:szCs w:val="19"/>
          <w:color w:val="auto"/>
        </w:rPr>
      </w:pPr>
    </w:p>
    <w:p>
      <w:pPr>
        <w:ind w:right="520" w:firstLine="1305"/>
        <w:spacing w:after="0" w:line="320" w:lineRule="auto"/>
        <w:tabs>
          <w:tab w:leader="none" w:pos="1728"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Agreement Not a Contract</w:t>
      </w:r>
      <w:r>
        <w:rPr>
          <w:rFonts w:ascii="Arial" w:cs="Arial" w:eastAsia="Arial" w:hAnsi="Arial"/>
          <w:sz w:val="19"/>
          <w:szCs w:val="19"/>
          <w:color w:val="auto"/>
        </w:rPr>
        <w:t>. This Agreement (and the grant of the Option) is not an employment or service contract, and nothing in the Option shall be deemed to create in any way whatsoever any obligation on Participant’s part to continue as an Employee, or of the Company or an Affiliate to continue Participant’s service as an Employee.</w:t>
      </w:r>
    </w:p>
    <w:p>
      <w:pPr>
        <w:spacing w:after="0" w:line="125" w:lineRule="exact"/>
        <w:rPr>
          <w:rFonts w:ascii="Arial" w:cs="Arial" w:eastAsia="Arial" w:hAnsi="Arial"/>
          <w:sz w:val="19"/>
          <w:szCs w:val="19"/>
          <w:color w:val="auto"/>
        </w:rPr>
      </w:pPr>
    </w:p>
    <w:p>
      <w:pPr>
        <w:ind w:firstLine="1305"/>
        <w:spacing w:after="0" w:line="290" w:lineRule="auto"/>
        <w:tabs>
          <w:tab w:leader="none" w:pos="168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155" w:lineRule="exact"/>
        <w:rPr>
          <w:rFonts w:ascii="Arial" w:cs="Arial" w:eastAsia="Arial" w:hAnsi="Arial"/>
          <w:sz w:val="19"/>
          <w:szCs w:val="19"/>
          <w:color w:val="auto"/>
        </w:rPr>
      </w:pPr>
    </w:p>
    <w:p>
      <w:pPr>
        <w:ind w:right="60" w:firstLine="1305"/>
        <w:spacing w:after="0" w:line="278" w:lineRule="auto"/>
        <w:tabs>
          <w:tab w:leader="none" w:pos="1680"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Entire Agreement; Modification</w:t>
      </w:r>
      <w:r>
        <w:rPr>
          <w:rFonts w:ascii="Arial" w:cs="Arial" w:eastAsia="Arial" w:hAnsi="Arial"/>
          <w:sz w:val="21"/>
          <w:szCs w:val="21"/>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591" w:right="25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10.49</w:t>
      </w:r>
    </w:p>
    <w:p>
      <w:pPr>
        <w:spacing w:after="0" w:line="200" w:lineRule="exact"/>
        <w:rPr>
          <w:sz w:val="20"/>
          <w:szCs w:val="20"/>
          <w:color w:val="auto"/>
        </w:rPr>
      </w:pPr>
    </w:p>
    <w:p>
      <w:pPr>
        <w:spacing w:after="0" w:line="286"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Vericel Corporation 2017 Omnibus Incentive Plan</w:t>
      </w:r>
    </w:p>
    <w:p>
      <w:pPr>
        <w:spacing w:after="0" w:line="28" w:lineRule="exact"/>
        <w:rPr>
          <w:sz w:val="20"/>
          <w:szCs w:val="20"/>
          <w:color w:val="auto"/>
        </w:rPr>
      </w:pPr>
    </w:p>
    <w:p>
      <w:pPr>
        <w:ind w:left="3780"/>
        <w:spacing w:after="0"/>
        <w:rPr>
          <w:sz w:val="20"/>
          <w:szCs w:val="20"/>
          <w:color w:val="auto"/>
        </w:rPr>
      </w:pPr>
      <w:r>
        <w:rPr>
          <w:rFonts w:ascii="Arial" w:cs="Arial" w:eastAsia="Arial" w:hAnsi="Arial"/>
          <w:sz w:val="22"/>
          <w:szCs w:val="22"/>
          <w:b w:val="1"/>
          <w:bCs w:val="1"/>
          <w:u w:val="single" w:color="auto"/>
          <w:color w:val="auto"/>
        </w:rPr>
        <w:t>Incentive Stock Option Award Agreement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firstLine="648"/>
        <w:spacing w:after="0" w:line="343" w:lineRule="auto"/>
        <w:rPr>
          <w:sz w:val="20"/>
          <w:szCs w:val="20"/>
          <w:color w:val="auto"/>
        </w:rPr>
      </w:pPr>
      <w:r>
        <w:rPr>
          <w:rFonts w:ascii="Arial" w:cs="Arial" w:eastAsia="Arial" w:hAnsi="Arial"/>
          <w:sz w:val="19"/>
          <w:szCs w:val="19"/>
          <w:color w:val="auto"/>
        </w:rPr>
        <w:t>AWARD AGREEMENT (the “Agreement”), effective as of [[GRANTDATE]] (the “Grant Date”), is entered into by and between Vericel Corporation, a Michigan corporation (the “Company”), and [[FIRSTNAME]] [[LASTNAME]] (the “Participant”).</w:t>
      </w:r>
    </w:p>
    <w:p>
      <w:pPr>
        <w:spacing w:after="0" w:line="118" w:lineRule="exact"/>
        <w:rPr>
          <w:sz w:val="20"/>
          <w:szCs w:val="20"/>
          <w:color w:val="auto"/>
        </w:rPr>
      </w:pPr>
    </w:p>
    <w:p>
      <w:pPr>
        <w:ind w:right="860" w:firstLine="656"/>
        <w:spacing w:after="0" w:line="253" w:lineRule="auto"/>
        <w:tabs>
          <w:tab w:leader="none" w:pos="1459"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The Company hereby grants to the Participant a stock option (the “Option”) to purchase [[SHARESGRANTED]] shares of common stock of the Company, no par value (the “Shares”), at the exercise price of [[GRANTPRICE]] per Share (the “Exercise Price”).</w:t>
      </w:r>
    </w:p>
    <w:p>
      <w:pPr>
        <w:spacing w:after="0" w:line="185" w:lineRule="exact"/>
        <w:rPr>
          <w:rFonts w:ascii="Arial" w:cs="Arial" w:eastAsia="Arial" w:hAnsi="Arial"/>
          <w:sz w:val="22"/>
          <w:szCs w:val="22"/>
          <w:color w:val="auto"/>
        </w:rPr>
      </w:pPr>
    </w:p>
    <w:p>
      <w:pPr>
        <w:ind w:right="220" w:firstLine="656"/>
        <w:spacing w:after="0" w:line="320" w:lineRule="auto"/>
        <w:tabs>
          <w:tab w:leader="none" w:pos="99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Subject to the Plan</w:t>
      </w:r>
      <w:r>
        <w:rPr>
          <w:rFonts w:ascii="Arial" w:cs="Arial" w:eastAsia="Arial" w:hAnsi="Arial"/>
          <w:sz w:val="19"/>
          <w:szCs w:val="19"/>
          <w:color w:val="auto"/>
        </w:rPr>
        <w:t>. This Agreement is subject to and governed by the terms and provisions of the Vericel Corporation 2017 Omnibus Incentive Plan (the “Plan”), and, unless the context requires otherwise, terms used herein shall have the same meaning as in the Plan. In the event of a conflict between the provisions of the Plan and this Agreement, the Plan shall control.</w:t>
      </w:r>
    </w:p>
    <w:p>
      <w:pPr>
        <w:spacing w:after="0" w:line="125" w:lineRule="exact"/>
        <w:rPr>
          <w:rFonts w:ascii="Arial" w:cs="Arial" w:eastAsia="Arial" w:hAnsi="Arial"/>
          <w:sz w:val="19"/>
          <w:szCs w:val="19"/>
          <w:color w:val="auto"/>
        </w:rPr>
      </w:pPr>
    </w:p>
    <w:p>
      <w:pPr>
        <w:ind w:right="460" w:firstLine="656"/>
        <w:spacing w:after="0" w:line="276" w:lineRule="auto"/>
        <w:tabs>
          <w:tab w:leader="none" w:pos="99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Term of Option</w:t>
      </w:r>
      <w:r>
        <w:rPr>
          <w:rFonts w:ascii="Arial" w:cs="Arial" w:eastAsia="Arial" w:hAnsi="Arial"/>
          <w:sz w:val="22"/>
          <w:szCs w:val="22"/>
          <w:color w:val="auto"/>
        </w:rPr>
        <w:t>. Unless the Option terminates earlier pursuant to the provisions of this Agreement, the Option shall expire on the tenth anniversary of the Grant Date.</w:t>
      </w:r>
    </w:p>
    <w:p>
      <w:pPr>
        <w:spacing w:after="0" w:line="160" w:lineRule="exact"/>
        <w:rPr>
          <w:rFonts w:ascii="Arial" w:cs="Arial" w:eastAsia="Arial" w:hAnsi="Arial"/>
          <w:sz w:val="22"/>
          <w:szCs w:val="22"/>
          <w:color w:val="auto"/>
        </w:rPr>
      </w:pPr>
    </w:p>
    <w:p>
      <w:pPr>
        <w:ind w:right="300" w:firstLine="656"/>
        <w:spacing w:after="0" w:line="254" w:lineRule="auto"/>
        <w:tabs>
          <w:tab w:leader="none" w:pos="99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Subject to the discretion of the Committee to accelerate the exercisability of the Option, the Option shall become vested and exercisable in equal quarterly installments over four years commencing on the Grant Date, provided that the Participant is employed by the Company or an Affiliate (or is providing services to the Company as a Director or Consultant) on the applicable date.</w:t>
      </w:r>
    </w:p>
    <w:p>
      <w:pPr>
        <w:spacing w:after="0" w:line="185" w:lineRule="exact"/>
        <w:rPr>
          <w:rFonts w:ascii="Arial" w:cs="Arial" w:eastAsia="Arial" w:hAnsi="Arial"/>
          <w:sz w:val="22"/>
          <w:szCs w:val="22"/>
          <w:color w:val="auto"/>
        </w:rPr>
      </w:pPr>
    </w:p>
    <w:p>
      <w:pPr>
        <w:ind w:left="1000" w:hanging="344"/>
        <w:spacing w:after="0"/>
        <w:tabs>
          <w:tab w:leader="none" w:pos="100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1305"/>
        <w:spacing w:after="0" w:line="266" w:lineRule="auto"/>
        <w:tabs>
          <w:tab w:leader="none" w:pos="1716" w:val="left"/>
        </w:tabs>
        <w:numPr>
          <w:ilvl w:val="1"/>
          <w:numId w:val="43"/>
        </w:numPr>
        <w:rPr>
          <w:rFonts w:ascii="Arial" w:cs="Arial" w:eastAsia="Arial" w:hAnsi="Arial"/>
          <w:sz w:val="21"/>
          <w:szCs w:val="21"/>
          <w:color w:val="auto"/>
        </w:rPr>
      </w:pPr>
      <w:r>
        <w:rPr>
          <w:rFonts w:ascii="Arial" w:cs="Arial" w:eastAsia="Arial" w:hAnsi="Arial"/>
          <w:sz w:val="21"/>
          <w:szCs w:val="21"/>
          <w:u w:val="single" w:color="auto"/>
          <w:color w:val="auto"/>
        </w:rPr>
        <w:t>Manner of Exercise</w:t>
      </w:r>
      <w:r>
        <w:rPr>
          <w:rFonts w:ascii="Arial" w:cs="Arial" w:eastAsia="Arial" w:hAnsi="Arial"/>
          <w:sz w:val="21"/>
          <w:szCs w:val="21"/>
          <w:color w:val="auto"/>
        </w:rPr>
        <w:t>. To the extent vested, the Option may be exercised, in whole or in part, by delivering written notice to the Company in such form as the Company may require from time to time. Such notice shall specify the number of Shares subject to the Option as to which the Option is being exercised, and shall be accompanied by full payment of the Exercise Price of such Shares in a manner permitted under the terms of Section 5.5 of the Plan,</w:t>
      </w:r>
      <w:r>
        <w:rPr>
          <w:rFonts w:ascii="Arial" w:cs="Arial" w:eastAsia="Arial" w:hAnsi="Arial"/>
          <w:sz w:val="21"/>
          <w:szCs w:val="21"/>
          <w:b w:val="1"/>
          <w:bCs w:val="1"/>
          <w:color w:val="auto"/>
        </w:rPr>
        <w:t>.</w:t>
      </w:r>
      <w:r>
        <w:rPr>
          <w:rFonts w:ascii="Arial" w:cs="Arial" w:eastAsia="Arial" w:hAnsi="Arial"/>
          <w:sz w:val="21"/>
          <w:szCs w:val="21"/>
          <w:color w:val="auto"/>
        </w:rPr>
        <w:t xml:space="preserve"> The Option may be exercised only in multiples of whole Shares and no fractional Shares shall be issued.</w:t>
      </w:r>
    </w:p>
    <w:p>
      <w:pPr>
        <w:spacing w:after="0" w:line="174" w:lineRule="exact"/>
        <w:rPr>
          <w:rFonts w:ascii="Arial" w:cs="Arial" w:eastAsia="Arial" w:hAnsi="Arial"/>
          <w:sz w:val="21"/>
          <w:szCs w:val="21"/>
          <w:color w:val="auto"/>
        </w:rPr>
      </w:pPr>
    </w:p>
    <w:p>
      <w:pPr>
        <w:ind w:right="180" w:firstLine="1305"/>
        <w:spacing w:after="0" w:line="270" w:lineRule="auto"/>
        <w:tabs>
          <w:tab w:leader="none" w:pos="1728" w:val="left"/>
        </w:tabs>
        <w:numPr>
          <w:ilvl w:val="1"/>
          <w:numId w:val="43"/>
        </w:numPr>
        <w:rPr>
          <w:rFonts w:ascii="Arial" w:cs="Arial" w:eastAsia="Arial" w:hAnsi="Arial"/>
          <w:sz w:val="21"/>
          <w:szCs w:val="21"/>
          <w:color w:val="auto"/>
        </w:rPr>
      </w:pPr>
      <w:r>
        <w:rPr>
          <w:rFonts w:ascii="Arial" w:cs="Arial" w:eastAsia="Arial" w:hAnsi="Arial"/>
          <w:sz w:val="21"/>
          <w:szCs w:val="21"/>
          <w:u w:val="single" w:color="auto"/>
          <w:color w:val="auto"/>
        </w:rPr>
        <w:t>Status of the Option</w:t>
      </w:r>
      <w:r>
        <w:rPr>
          <w:rFonts w:ascii="Arial" w:cs="Arial" w:eastAsia="Arial" w:hAnsi="Arial"/>
          <w:sz w:val="21"/>
          <w:szCs w:val="21"/>
          <w:color w:val="auto"/>
        </w:rPr>
        <w:t>. This Stock is intended to qualify as an “incentive stock option” under Section 422 of Code, but the Company does not represent or warrant that this Option qualifies as such. The Participant should consult with his or her own tax advisors regarding the tax effects of this Option and the requirements necessary to obtain favorable income tax treatment under Section 422 of the Code, including, but not limited to, holding period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ACTIVE/90643711.3</w:t>
      </w:r>
    </w:p>
    <w:p>
      <w:pPr>
        <w:sectPr>
          <w:pgSz w:w="11900" w:h="16838" w:orient="portrait"/>
          <w:cols w:equalWidth="0" w:num="1">
            <w:col w:w="11420"/>
          </w:cols>
          <w:pgMar w:left="240" w:top="580" w:right="239" w:bottom="1440" w:gutter="0" w:footer="0" w:header="0"/>
        </w:sectPr>
      </w:pPr>
    </w:p>
    <w:bookmarkStart w:id="96" w:name="page97"/>
    <w:bookmarkEnd w:id="96"/>
    <w:p>
      <w:pPr>
        <w:ind w:right="520"/>
        <w:spacing w:after="0" w:line="263" w:lineRule="auto"/>
        <w:rPr>
          <w:sz w:val="20"/>
          <w:szCs w:val="20"/>
          <w:color w:val="auto"/>
        </w:rPr>
      </w:pPr>
      <w:r>
        <w:rPr>
          <w:rFonts w:ascii="Arial" w:cs="Arial" w:eastAsia="Arial" w:hAnsi="Arial"/>
          <w:sz w:val="22"/>
          <w:szCs w:val="22"/>
          <w:color w:val="auto"/>
        </w:rPr>
        <w:t>requirements. To the extent any portion of this Option does not so qualify as an “incentive stock option,” such portion shall be deemed to be a non-qualified stock option.</w:t>
      </w:r>
    </w:p>
    <w:p>
      <w:pPr>
        <w:spacing w:after="0" w:line="175" w:lineRule="exact"/>
        <w:rPr>
          <w:sz w:val="20"/>
          <w:szCs w:val="20"/>
          <w:color w:val="auto"/>
        </w:rPr>
      </w:pPr>
    </w:p>
    <w:p>
      <w:pPr>
        <w:ind w:firstLine="1305"/>
        <w:spacing w:after="0" w:line="300" w:lineRule="auto"/>
        <w:tabs>
          <w:tab w:leader="none" w:pos="1716"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Issuance of Shares</w:t>
      </w:r>
      <w:r>
        <w:rPr>
          <w:rFonts w:ascii="Arial" w:cs="Arial" w:eastAsia="Arial" w:hAnsi="Arial"/>
          <w:sz w:val="19"/>
          <w:szCs w:val="19"/>
          <w:color w:val="auto"/>
        </w:rPr>
        <w:t>. As soon as practicable following the exercise of the Option, payment of the Exercise Price for the Shares as to which the Option is exercised and compliance to the satisfaction of the Committee with all requirements under applicable laws or regulations in connection with such transfer and with the requirements hereof and of the Plan, the Company shall issue to the Participant the applicable number of Shares in the form of fully paid and nonassessable Shares. The determination of the Committee as to such compliance shall be final and binding on the Participant.</w:t>
      </w:r>
    </w:p>
    <w:p>
      <w:pPr>
        <w:spacing w:after="0" w:line="147" w:lineRule="exact"/>
        <w:rPr>
          <w:rFonts w:ascii="Arial" w:cs="Arial" w:eastAsia="Arial" w:hAnsi="Arial"/>
          <w:sz w:val="19"/>
          <w:szCs w:val="19"/>
          <w:color w:val="auto"/>
        </w:rPr>
      </w:pPr>
    </w:p>
    <w:p>
      <w:pPr>
        <w:ind w:right="740" w:firstLine="1305"/>
        <w:spacing w:after="0" w:line="276" w:lineRule="auto"/>
        <w:tabs>
          <w:tab w:leader="none" w:pos="1728"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Capitalization Adjustments</w:t>
      </w:r>
      <w:r>
        <w:rPr>
          <w:rFonts w:ascii="Arial" w:cs="Arial" w:eastAsia="Arial" w:hAnsi="Arial"/>
          <w:sz w:val="22"/>
          <w:szCs w:val="22"/>
          <w:color w:val="auto"/>
        </w:rPr>
        <w:t>. The number of Shares subject to the Option and the Exercise Price shall be equitably and appropriately adjusted, if applicable, as provided in Section 12.2 of the Plan.</w:t>
      </w:r>
    </w:p>
    <w:p>
      <w:pPr>
        <w:spacing w:after="0" w:line="160" w:lineRule="exact"/>
        <w:rPr>
          <w:rFonts w:ascii="Arial" w:cs="Arial" w:eastAsia="Arial" w:hAnsi="Arial"/>
          <w:sz w:val="22"/>
          <w:szCs w:val="22"/>
          <w:color w:val="auto"/>
        </w:rPr>
      </w:pPr>
    </w:p>
    <w:p>
      <w:pPr>
        <w:jc w:val="both"/>
        <w:ind w:right="40" w:firstLine="1305"/>
        <w:spacing w:after="0" w:line="260" w:lineRule="auto"/>
        <w:tabs>
          <w:tab w:leader="none" w:pos="1716"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Notice of Disposition</w:t>
      </w:r>
      <w:r>
        <w:rPr>
          <w:rFonts w:ascii="Arial" w:cs="Arial" w:eastAsia="Arial" w:hAnsi="Arial"/>
          <w:sz w:val="22"/>
          <w:szCs w:val="22"/>
          <w:color w:val="auto"/>
        </w:rPr>
        <w:t>. The Participant agrees to notify the Company in writing within fifteen (15) days after the date of any disposition of any of the Shares issued upon exercise of the Option that occurs before the later of two (2) years after the Grant Date or one (1) year after such Shares are transferred to the Participant.</w:t>
      </w:r>
    </w:p>
    <w:p>
      <w:pPr>
        <w:spacing w:after="0" w:line="177" w:lineRule="exact"/>
        <w:rPr>
          <w:rFonts w:ascii="Arial" w:cs="Arial" w:eastAsia="Arial" w:hAnsi="Arial"/>
          <w:sz w:val="22"/>
          <w:szCs w:val="22"/>
          <w:color w:val="auto"/>
        </w:rPr>
      </w:pPr>
    </w:p>
    <w:p>
      <w:pPr>
        <w:ind w:right="60" w:firstLine="1305"/>
        <w:spacing w:after="0" w:line="294" w:lineRule="auto"/>
        <w:tabs>
          <w:tab w:leader="none" w:pos="1692"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provisions of this paragraph will apply only to the extent that the Option is not treated as an incentive stock option pursuant to paragraph (b) of this Section. No Shares will be issued on exercise of the Option unless and until the Participant pays to the Company, or makes satisfactory arrangements with the Company for payment of, any federal, state or local taxes required by law to be withheld in respect of the exercise of the Option. The Participant hereby agrees that the Company may withhold from the Participant’s wages or other remuneration the applicable taxes. At the discretion of the Company, the applicable taxes may be withheld from the Shares otherwise deliverable to the Participant on exercise of the Option, up to the Participant’s minimum required withholding rate or such other rate that will not trigger a negative accounting impact.</w:t>
      </w:r>
    </w:p>
    <w:p>
      <w:pPr>
        <w:spacing w:after="0" w:line="152" w:lineRule="exact"/>
        <w:rPr>
          <w:rFonts w:ascii="Arial" w:cs="Arial" w:eastAsia="Arial" w:hAnsi="Arial"/>
          <w:sz w:val="19"/>
          <w:szCs w:val="19"/>
          <w:color w:val="auto"/>
        </w:rPr>
      </w:pPr>
    </w:p>
    <w:p>
      <w:pPr>
        <w:ind w:right="60" w:firstLine="656"/>
        <w:spacing w:after="0" w:line="266" w:lineRule="auto"/>
        <w:tabs>
          <w:tab w:leader="none" w:pos="99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Termination of Option.</w:t>
      </w:r>
      <w:r>
        <w:rPr>
          <w:rFonts w:ascii="Arial" w:cs="Arial" w:eastAsia="Arial" w:hAnsi="Arial"/>
          <w:sz w:val="21"/>
          <w:szCs w:val="21"/>
          <w:color w:val="auto"/>
        </w:rPr>
        <w:t xml:space="preserve"> To the extent that an Option is vested, it may be exercised at any time specified in this Agreement, provided that, except as set forth in the following provisions of this Section 6, the Participant is still employed by or providing services to the Company at the time of exercise. In all other cases, the Option shall terminate as set forth in the following subsections. Except as provided herein, any portion of this Option that has not vested as of the date of termination of employment or other service relationship shall immediately terminate and be of no further force or effect.</w:t>
      </w:r>
    </w:p>
    <w:p>
      <w:pPr>
        <w:spacing w:after="0" w:line="174" w:lineRule="exact"/>
        <w:rPr>
          <w:rFonts w:ascii="Arial" w:cs="Arial" w:eastAsia="Arial" w:hAnsi="Arial"/>
          <w:sz w:val="21"/>
          <w:szCs w:val="21"/>
          <w:color w:val="auto"/>
        </w:rPr>
      </w:pPr>
    </w:p>
    <w:p>
      <w:pPr>
        <w:ind w:right="60" w:firstLine="1305"/>
        <w:spacing w:after="0" w:line="266" w:lineRule="auto"/>
        <w:tabs>
          <w:tab w:leader="none" w:pos="1716"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Upon the death of an Optionee while employed by or providing services to the Company or an Affiliate, the unexercised, vested portion of this Option shall be exercisable by the person or persons entitled to do so under the will of the Participant, or, if the Participant shall fail to make testamentary disposition of the Option, or if the Participant shall die intestate, by the Participant’s executor or personal representative, at any time prior to the expiration date of this Option or within one (1) year of the Participant’s date of death, whichever is the shorter period.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ACTIVE/90643711.3</w:t>
      </w:r>
    </w:p>
    <w:p>
      <w:pPr>
        <w:sectPr>
          <w:pgSz w:w="11900" w:h="16838" w:orient="portrait"/>
          <w:cols w:equalWidth="0" w:num="1">
            <w:col w:w="11420"/>
          </w:cols>
          <w:pgMar w:left="240" w:top="591" w:right="239" w:bottom="1440" w:gutter="0" w:footer="0" w:header="0"/>
        </w:sectPr>
      </w:pPr>
    </w:p>
    <w:bookmarkStart w:id="97" w:name="page98"/>
    <w:bookmarkEnd w:id="97"/>
    <w:p>
      <w:pPr>
        <w:ind w:right="20" w:firstLine="1305"/>
        <w:spacing w:after="0" w:line="261" w:lineRule="auto"/>
        <w:tabs>
          <w:tab w:leader="none" w:pos="1728"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Disabled Participant</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Upon the termination of employment or other service relationship with the Company or an Affiliate of a Disabled Participant for reasons other than Cause, the unexercised, vested portion of this Option shall be exercisable by the Participant at any time prior to the expiration date of such Option or within one year of the Participant’s date of termination of employment or other service relationship, whichever is the shorter period. For purposes of this Agreement, a "Disabled Participant" shall mean the Participant is disabled within the meaning of Section 22(e)(3) of the Code, or as otherwise determined by the Committee in its discretion. The Committee may require such proof of disability as the Committee in its sole and absolute discretion deems appropriate and the Committee's determination as to whether the Participant is a Disabled Participant shall be final and binding on all parties concerned.</w:t>
      </w:r>
    </w:p>
    <w:p>
      <w:pPr>
        <w:spacing w:after="0" w:line="181" w:lineRule="exact"/>
        <w:rPr>
          <w:rFonts w:ascii="Arial" w:cs="Arial" w:eastAsia="Arial" w:hAnsi="Arial"/>
          <w:sz w:val="21"/>
          <w:szCs w:val="21"/>
          <w:color w:val="auto"/>
        </w:rPr>
      </w:pPr>
    </w:p>
    <w:p>
      <w:pPr>
        <w:ind w:right="60" w:firstLine="1305"/>
        <w:spacing w:after="0" w:line="251" w:lineRule="auto"/>
        <w:tabs>
          <w:tab w:leader="none" w:pos="1716"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Upon the termination of employment or other service relationship with the Company or an Affiliate of a Participant other than a Disabled Participant, for reasons other than death or Cause, the unexercised, vested portion of this Option shall be exercisable by the Participant at any time prior to the expiration date of such Option or within three (3) months of the Participant’s date of termination of employment or other service relationship, whichever is the shorter period.</w:t>
      </w:r>
    </w:p>
    <w:p>
      <w:pPr>
        <w:spacing w:after="0" w:line="189" w:lineRule="exact"/>
        <w:rPr>
          <w:rFonts w:ascii="Arial" w:cs="Arial" w:eastAsia="Arial" w:hAnsi="Arial"/>
          <w:sz w:val="22"/>
          <w:szCs w:val="22"/>
          <w:color w:val="auto"/>
        </w:rPr>
      </w:pPr>
    </w:p>
    <w:p>
      <w:pPr>
        <w:ind w:right="20" w:firstLine="1305"/>
        <w:spacing w:after="0" w:line="285" w:lineRule="auto"/>
        <w:tabs>
          <w:tab w:leader="none" w:pos="1728"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Upon the termination of the Participant’s employment or other service relationship with the Company or an Affiliate for Cause, unless the Option has earlier terminated, the Option shall immediately terminate in its entirety and shall thereafter not be exercisable to any extent whatsoever. For purposes of this Agreement, except as otherwise provided in a written employment or severance agreement between the Participant and the Company or an Affiliate or a severance plan of the Company or an Affiliate covering the Participant, “Cause” shall mean a determination by the Committee that the Participant has (i) materially breached his or her employment or service contract with the Company, (ii) been engaged in disloyalty to the Company or an Affiliate, including, without limitation, fraud, embezzlement, theft, commission of a felony or proven dishonesty in the course of his or her employment or service, which will materially harm the interests of the Company or the Affiliate, (iii) disclosed trade secrets or confidential information of the Company to persons not entitled to receive such information, (iv) breached any written noncompetition or nonsolicitation agreement between the Participant and the Company or an Affiliate in a manner which the Committee determines will cause material harm to the interests of the Company or an Affiliate, or</w:t>
      </w:r>
    </w:p>
    <w:p>
      <w:pPr>
        <w:ind w:right="980" w:firstLine="8"/>
        <w:spacing w:after="0" w:line="246" w:lineRule="auto"/>
        <w:tabs>
          <w:tab w:leader="none" w:pos="306" w:val="left"/>
        </w:tabs>
        <w:numPr>
          <w:ilvl w:val="0"/>
          <w:numId w:val="47"/>
        </w:numPr>
        <w:rPr>
          <w:rFonts w:ascii="Arial" w:cs="Arial" w:eastAsia="Arial" w:hAnsi="Arial"/>
          <w:sz w:val="22"/>
          <w:szCs w:val="22"/>
          <w:color w:val="auto"/>
        </w:rPr>
      </w:pPr>
      <w:r>
        <w:rPr>
          <w:rFonts w:ascii="Arial" w:cs="Arial" w:eastAsia="Arial" w:hAnsi="Arial"/>
          <w:sz w:val="22"/>
          <w:szCs w:val="22"/>
          <w:color w:val="auto"/>
        </w:rPr>
        <w:t>engaged in such other behavior materially detrimental to the interests of the Company, in each case as the Committee determines.</w:t>
      </w:r>
    </w:p>
    <w:p>
      <w:pPr>
        <w:spacing w:after="0" w:line="193"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The Committee’s determination of the reason for termination of the Participant’s employment or other service relationship shall be conclusive and binding on the Participant and his or her representatives or legatees.</w:t>
      </w:r>
    </w:p>
    <w:p>
      <w:pPr>
        <w:spacing w:after="0" w:line="175" w:lineRule="exact"/>
        <w:rPr>
          <w:sz w:val="20"/>
          <w:szCs w:val="20"/>
          <w:color w:val="auto"/>
        </w:rPr>
      </w:pPr>
    </w:p>
    <w:p>
      <w:pPr>
        <w:ind w:firstLine="1305"/>
        <w:spacing w:after="0" w:line="320" w:lineRule="auto"/>
        <w:tabs>
          <w:tab w:leader="none" w:pos="171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Extension of Exercise Period</w:t>
      </w:r>
      <w:r>
        <w:rPr>
          <w:rFonts w:ascii="Arial" w:cs="Arial" w:eastAsia="Arial" w:hAnsi="Arial"/>
          <w:sz w:val="19"/>
          <w:szCs w:val="19"/>
          <w:color w:val="auto"/>
        </w:rPr>
        <w:t>. Notwithstanding any provisions of paragraphs (a), (b), (c) or (d) of this Section to the contrary, if exercise of the Option following termination of employment or other service relationship during the time period set forth in the applicable paragraph or sale during such period of the Shares acquired on exercise would violate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ACTIVE/90643711.3</w:t>
      </w:r>
    </w:p>
    <w:p>
      <w:pPr>
        <w:sectPr>
          <w:pgSz w:w="11900" w:h="16838" w:orient="portrait"/>
          <w:cols w:equalWidth="0" w:num="1">
            <w:col w:w="11420"/>
          </w:cols>
          <w:pgMar w:left="240" w:top="591" w:right="239" w:bottom="1440" w:gutter="0" w:footer="0" w:header="0"/>
        </w:sectPr>
      </w:pPr>
    </w:p>
    <w:bookmarkStart w:id="98" w:name="page99"/>
    <w:bookmarkEnd w:id="98"/>
    <w:p>
      <w:pPr>
        <w:spacing w:after="0" w:line="250" w:lineRule="auto"/>
        <w:rPr>
          <w:sz w:val="20"/>
          <w:szCs w:val="20"/>
          <w:color w:val="auto"/>
        </w:rPr>
      </w:pPr>
      <w:r>
        <w:rPr>
          <w:rFonts w:ascii="Arial" w:cs="Arial" w:eastAsia="Arial" w:hAnsi="Arial"/>
          <w:sz w:val="22"/>
          <w:szCs w:val="22"/>
          <w:color w:val="auto"/>
        </w:rPr>
        <w:t>any of the provisions of the federal securities laws (or any Company policy related thereto), the time period to exercise the Option shall be extended until the later of (i) forty-five (45) days after the date that the exercise of the Option or sale of the Shares acquired on exercise would not be a violation of the federal securities laws (or a related Company policy), or (ii) the end of the time period set forth in the applicable paragraph.</w:t>
      </w:r>
    </w:p>
    <w:p>
      <w:pPr>
        <w:spacing w:after="0" w:line="188" w:lineRule="exact"/>
        <w:rPr>
          <w:sz w:val="20"/>
          <w:szCs w:val="20"/>
          <w:color w:val="auto"/>
        </w:rPr>
      </w:pPr>
    </w:p>
    <w:p>
      <w:pPr>
        <w:ind w:left="1000" w:hanging="344"/>
        <w:spacing w:after="0"/>
        <w:tabs>
          <w:tab w:leader="none" w:pos="100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305"/>
        <w:spacing w:after="0" w:line="289" w:lineRule="auto"/>
        <w:tabs>
          <w:tab w:leader="none" w:pos="1716"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Effect on Option</w:t>
      </w:r>
      <w:r>
        <w:rPr>
          <w:rFonts w:ascii="Arial" w:cs="Arial" w:eastAsia="Arial" w:hAnsi="Arial"/>
          <w:sz w:val="19"/>
          <w:szCs w:val="19"/>
          <w:color w:val="auto"/>
        </w:rPr>
        <w:t>. In the event of a Change in Control, to the extent the successor company (or a subsidiary or parent thereof) does not assume or substitute for the Option on substantially the same terms and conditions, the Option shall (i) vest and become exercisable on the day prior to the date of the Change in Control if the Participant is then employed by or providing services to the Company or an Affiliate and (ii) terminate on the date of the Change in Control. In the event of a Change in Control, to the extent the successor company (or a subsidiary or parent thereof) assumes or substitutes for the Option on substantially the same terms and conditions (which may include providing for settlement in the common stock of the successor company (or a subsidiary or parent thereof)), if within twelve (12) months following the date of the Change in Control the Participant’s employment or other service relationship is terminated by the Company or an Affiliate (or the successor company or a subsidiary or parent thereof) without Cause or by the Participant for Good Reason, the Option shall become fully vested and exercisable, and may be exercised by the Participant at any time prior to the expiration date of such Option or within three months of the Participant’s date of termination of employment or other service relationship, whichever is the shorter period.</w:t>
      </w:r>
    </w:p>
    <w:p>
      <w:pPr>
        <w:spacing w:after="0" w:line="158" w:lineRule="exact"/>
        <w:rPr>
          <w:sz w:val="20"/>
          <w:szCs w:val="20"/>
          <w:color w:val="auto"/>
        </w:rPr>
      </w:pPr>
    </w:p>
    <w:p>
      <w:pPr>
        <w:ind w:right="240" w:firstLine="648"/>
        <w:spacing w:after="0" w:line="253" w:lineRule="auto"/>
        <w:rPr>
          <w:sz w:val="20"/>
          <w:szCs w:val="20"/>
          <w:color w:val="auto"/>
        </w:rPr>
      </w:pPr>
      <w:r>
        <w:rPr>
          <w:rFonts w:ascii="Arial" w:cs="Arial" w:eastAsia="Arial" w:hAnsi="Arial"/>
          <w:sz w:val="22"/>
          <w:szCs w:val="22"/>
          <w:color w:val="auto"/>
        </w:rPr>
        <w:t>Notwithstanding the foregoing, if on the date of the Change in Control the Fair Market Value of one Share is less than the Exercise Price, then the Option shall terminate as of the date of the Change in Control, except as otherwise determined by the Committee.</w:t>
      </w:r>
    </w:p>
    <w:p>
      <w:pPr>
        <w:spacing w:after="0" w:line="186" w:lineRule="exact"/>
        <w:rPr>
          <w:sz w:val="20"/>
          <w:szCs w:val="20"/>
          <w:color w:val="auto"/>
        </w:rPr>
      </w:pPr>
    </w:p>
    <w:p>
      <w:pPr>
        <w:ind w:right="40" w:firstLine="1305"/>
        <w:spacing w:after="0" w:line="288" w:lineRule="auto"/>
        <w:tabs>
          <w:tab w:leader="none" w:pos="1728"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For purposes of this Agreement, except as otherwise provided in paragraph (c) of this Section, “Good Reason” shall mean (i) a reduction by the Company or an Affiliate or a successor company (or a subsidiary or parent thereof) of more than 10% in Participant’s rate of annual base salary as in effect immediately prior to such Change in Control; (ii) a reduction by the Company or an Affiliate or a successor company (or a subsidiary or parent thereof) of more than 10% of the Participant’s individual annual target or bonus opportunity, except under circumstances where the Company or an Affiliate or a successor company (or a subsidiary or parent thereof) implement changes to the bonus structure of similarly situated employees, including but not limited to changes to the bonus structure designed to integrate the Company’s or Affiliate’s personnel with other personnel of the successor company (or an subsidiary or parent thereof); (iii) a significant and substantial reduction by the Company or an Affiliate or a successor company (or a subsidiary or parent thereof) of the Participant’s responsibilities and authority, as compared with the Participant’s responsibilities and authority in effect immediately preceding the Change in Control; or (iv) any requirement of the Company or an Affiliate or a successor company (or a subsidiary or parent thereof) that Participant be based anywhere more than fifty (50) miles from Participant’s primary office location at the time of the Change in Control.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ACTIVE/90643711.3</w:t>
      </w:r>
    </w:p>
    <w:p>
      <w:pPr>
        <w:sectPr>
          <w:pgSz w:w="11900" w:h="16838" w:orient="portrait"/>
          <w:cols w:equalWidth="0" w:num="1">
            <w:col w:w="11400"/>
          </w:cols>
          <w:pgMar w:left="240" w:top="591" w:right="259" w:bottom="1440" w:gutter="0" w:footer="0" w:header="0"/>
        </w:sectPr>
      </w:pPr>
    </w:p>
    <w:bookmarkStart w:id="99" w:name="page100"/>
    <w:bookmarkEnd w:id="99"/>
    <w:p>
      <w:pPr>
        <w:jc w:val="both"/>
        <w:ind w:right="40" w:firstLine="1305"/>
        <w:spacing w:after="0" w:line="270" w:lineRule="auto"/>
        <w:tabs>
          <w:tab w:leader="none" w:pos="1716" w:val="left"/>
        </w:tabs>
        <w:numPr>
          <w:ilvl w:val="1"/>
          <w:numId w:val="51"/>
        </w:numPr>
        <w:rPr>
          <w:rFonts w:ascii="Arial" w:cs="Arial" w:eastAsia="Arial" w:hAnsi="Arial"/>
          <w:sz w:val="21"/>
          <w:szCs w:val="21"/>
          <w:color w:val="auto"/>
        </w:rPr>
      </w:pPr>
      <w:r>
        <w:rPr>
          <w:rFonts w:ascii="Arial" w:cs="Arial" w:eastAsia="Arial" w:hAnsi="Arial"/>
          <w:sz w:val="21"/>
          <w:szCs w:val="21"/>
          <w:u w:val="single" w:color="auto"/>
          <w:color w:val="auto"/>
        </w:rPr>
        <w:t>Other Agreement or Plan</w:t>
      </w:r>
      <w:r>
        <w:rPr>
          <w:rFonts w:ascii="Arial" w:cs="Arial" w:eastAsia="Arial" w:hAnsi="Arial"/>
          <w:sz w:val="21"/>
          <w:szCs w:val="21"/>
          <w:color w:val="auto"/>
        </w:rPr>
        <w:t>. The provisions of this Section (including the definitions of Cause and Good Reason), shall be superseded by the specific provisions, if any, of a written employment or severance agreement between the Participant and the Company or a severance plan of the Company covering the Participant, including a change in control severance agreement or plan, to the extent such a provision provides a greater benefit to the Participant.</w:t>
      </w:r>
    </w:p>
    <w:p>
      <w:pPr>
        <w:spacing w:after="0" w:line="169" w:lineRule="exact"/>
        <w:rPr>
          <w:rFonts w:ascii="Arial" w:cs="Arial" w:eastAsia="Arial" w:hAnsi="Arial"/>
          <w:sz w:val="21"/>
          <w:szCs w:val="21"/>
          <w:color w:val="auto"/>
        </w:rPr>
      </w:pPr>
    </w:p>
    <w:p>
      <w:pPr>
        <w:ind w:left="1000" w:hanging="344"/>
        <w:spacing w:after="0"/>
        <w:tabs>
          <w:tab w:leader="none" w:pos="100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40" w:firstLine="1305"/>
        <w:spacing w:after="0" w:line="358" w:lineRule="auto"/>
        <w:tabs>
          <w:tab w:leader="none" w:pos="1716"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No Rights of Stockholder</w:t>
      </w:r>
      <w:r>
        <w:rPr>
          <w:rFonts w:ascii="Arial" w:cs="Arial" w:eastAsia="Arial" w:hAnsi="Arial"/>
          <w:sz w:val="19"/>
          <w:szCs w:val="19"/>
          <w:color w:val="auto"/>
        </w:rPr>
        <w:t>. The Participant shall not have any of the rights of a stockholder with respect to the Shares subject to this Option until such Shares have been issued to him or her upon the due exercise of the Option.</w:t>
      </w:r>
    </w:p>
    <w:p>
      <w:pPr>
        <w:spacing w:after="0" w:line="90" w:lineRule="exact"/>
        <w:rPr>
          <w:rFonts w:ascii="Arial" w:cs="Arial" w:eastAsia="Arial" w:hAnsi="Arial"/>
          <w:sz w:val="19"/>
          <w:szCs w:val="19"/>
          <w:color w:val="auto"/>
        </w:rPr>
      </w:pPr>
    </w:p>
    <w:p>
      <w:pPr>
        <w:ind w:firstLine="1305"/>
        <w:spacing w:after="0" w:line="300" w:lineRule="auto"/>
        <w:tabs>
          <w:tab w:leader="none" w:pos="1728"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Nontransferability of Option</w:t>
      </w:r>
      <w:r>
        <w:rPr>
          <w:rFonts w:ascii="Arial" w:cs="Arial" w:eastAsia="Arial" w:hAnsi="Arial"/>
          <w:sz w:val="19"/>
          <w:szCs w:val="19"/>
          <w:color w:val="auto"/>
        </w:rPr>
        <w:t>. The Option shall be nontransferable otherwise than by will or the laws of descent and distribution, and during the lifetime of the Participant, the Option may be exercised only by the Participant or, during the period the Participant is under a legal disability, by the Participant's guardian or legal representative. Notwithstanding the foregoing, the Participant may, by delivering written notice to the Company, in a form provided by or otherwise satisfactory to the Company, designate a third party who, in the event of the Participant’s death, shall thereafter be entitled to exercise the Option.</w:t>
      </w:r>
    </w:p>
    <w:p>
      <w:pPr>
        <w:spacing w:after="0" w:line="147" w:lineRule="exact"/>
        <w:rPr>
          <w:rFonts w:ascii="Arial" w:cs="Arial" w:eastAsia="Arial" w:hAnsi="Arial"/>
          <w:sz w:val="19"/>
          <w:szCs w:val="19"/>
          <w:color w:val="auto"/>
        </w:rPr>
      </w:pPr>
    </w:p>
    <w:p>
      <w:pPr>
        <w:ind w:right="60" w:firstLine="1305"/>
        <w:spacing w:after="0" w:line="307" w:lineRule="auto"/>
        <w:tabs>
          <w:tab w:leader="none" w:pos="1716"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138" w:lineRule="exact"/>
        <w:rPr>
          <w:rFonts w:ascii="Arial" w:cs="Arial" w:eastAsia="Arial" w:hAnsi="Arial"/>
          <w:sz w:val="19"/>
          <w:szCs w:val="19"/>
          <w:color w:val="auto"/>
        </w:rPr>
      </w:pPr>
    </w:p>
    <w:p>
      <w:pPr>
        <w:ind w:right="20" w:firstLine="1305"/>
        <w:spacing w:after="0" w:line="276" w:lineRule="auto"/>
        <w:tabs>
          <w:tab w:leader="none" w:pos="1728"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interpreted in accordance with, the laws of the State of Michigan, other than its conflict of laws principles.</w:t>
      </w:r>
    </w:p>
    <w:p>
      <w:pPr>
        <w:spacing w:after="0" w:line="160" w:lineRule="exact"/>
        <w:rPr>
          <w:rFonts w:ascii="Arial" w:cs="Arial" w:eastAsia="Arial" w:hAnsi="Arial"/>
          <w:sz w:val="22"/>
          <w:szCs w:val="22"/>
          <w:color w:val="auto"/>
        </w:rPr>
      </w:pPr>
    </w:p>
    <w:p>
      <w:pPr>
        <w:ind w:right="220" w:firstLine="1305"/>
        <w:spacing w:after="0" w:line="276" w:lineRule="auto"/>
        <w:tabs>
          <w:tab w:leader="none" w:pos="1716"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Agreement are for reference purposes only and shall not affect the meaning or interpretation of this Agreement.</w:t>
      </w:r>
    </w:p>
    <w:p>
      <w:pPr>
        <w:spacing w:after="0" w:line="160" w:lineRule="exact"/>
        <w:rPr>
          <w:rFonts w:ascii="Arial" w:cs="Arial" w:eastAsia="Arial" w:hAnsi="Arial"/>
          <w:sz w:val="22"/>
          <w:szCs w:val="22"/>
          <w:color w:val="auto"/>
        </w:rPr>
      </w:pPr>
    </w:p>
    <w:p>
      <w:pPr>
        <w:ind w:right="460" w:firstLine="1305"/>
        <w:spacing w:after="0" w:line="260" w:lineRule="auto"/>
        <w:tabs>
          <w:tab w:leader="none" w:pos="1692"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Notices to the Company should be addressed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Vericel Corporation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64 Sidney Street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Cambridge, MA 02139</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ACTIVE/90643711.3</w:t>
      </w:r>
    </w:p>
    <w:p>
      <w:pPr>
        <w:sectPr>
          <w:pgSz w:w="11900" w:h="16838" w:orient="portrait"/>
          <w:cols w:equalWidth="0" w:num="1">
            <w:col w:w="11420"/>
          </w:cols>
          <w:pgMar w:left="240" w:top="591" w:right="239" w:bottom="1440" w:gutter="0" w:footer="0" w:header="0"/>
        </w:sectPr>
      </w:pPr>
    </w:p>
    <w:bookmarkStart w:id="100" w:name="page101"/>
    <w:bookmarkEnd w:id="100"/>
    <w:p>
      <w:pPr>
        <w:ind w:left="660"/>
        <w:spacing w:after="0"/>
        <w:rPr>
          <w:sz w:val="20"/>
          <w:szCs w:val="20"/>
          <w:color w:val="auto"/>
        </w:rPr>
      </w:pPr>
      <w:r>
        <w:rPr>
          <w:rFonts w:ascii="Arial" w:cs="Arial" w:eastAsia="Arial" w:hAnsi="Arial"/>
          <w:sz w:val="22"/>
          <w:szCs w:val="22"/>
          <w:color w:val="auto"/>
        </w:rPr>
        <w:t>Attention: Chief Financial Officer</w:t>
      </w:r>
    </w:p>
    <w:p>
      <w:pPr>
        <w:spacing w:after="0" w:line="220"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Notice to the Participant should be addressed to the Participant at the Participant’s address as it appears on the Company’s records.</w:t>
      </w:r>
    </w:p>
    <w:p>
      <w:pPr>
        <w:spacing w:after="0" w:line="175" w:lineRule="exact"/>
        <w:rPr>
          <w:sz w:val="20"/>
          <w:szCs w:val="20"/>
          <w:color w:val="auto"/>
        </w:rPr>
      </w:pPr>
    </w:p>
    <w:p>
      <w:pPr>
        <w:ind w:right="100" w:firstLine="648"/>
        <w:spacing w:after="0" w:line="271" w:lineRule="auto"/>
        <w:rPr>
          <w:sz w:val="20"/>
          <w:szCs w:val="20"/>
          <w:color w:val="auto"/>
        </w:rPr>
      </w:pPr>
      <w:r>
        <w:rPr>
          <w:rFonts w:ascii="Arial" w:cs="Arial" w:eastAsia="Arial" w:hAnsi="Arial"/>
          <w:sz w:val="21"/>
          <w:szCs w:val="21"/>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168" w:lineRule="exact"/>
        <w:rPr>
          <w:sz w:val="20"/>
          <w:szCs w:val="20"/>
          <w:color w:val="auto"/>
        </w:rPr>
      </w:pPr>
    </w:p>
    <w:p>
      <w:pPr>
        <w:ind w:right="80" w:firstLine="1305"/>
        <w:spacing w:after="0" w:line="320" w:lineRule="auto"/>
        <w:tabs>
          <w:tab w:leader="none" w:pos="1728"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subsidiary is obligated by or as a result of the Plan or this Agreement to continue the Participant in employment and neither the Plan nor this Agreement shall interfere in any way with the right of the Company or any subsidiary to terminate the employment of the Participant at any time.</w:t>
      </w:r>
    </w:p>
    <w:p>
      <w:pPr>
        <w:spacing w:after="0" w:line="125" w:lineRule="exact"/>
        <w:rPr>
          <w:rFonts w:ascii="Arial" w:cs="Arial" w:eastAsia="Arial" w:hAnsi="Arial"/>
          <w:sz w:val="19"/>
          <w:szCs w:val="19"/>
          <w:color w:val="auto"/>
        </w:rPr>
      </w:pPr>
    </w:p>
    <w:p>
      <w:pPr>
        <w:ind w:right="520" w:firstLine="1305"/>
        <w:spacing w:after="0" w:line="320" w:lineRule="auto"/>
        <w:tabs>
          <w:tab w:leader="none" w:pos="1728"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Agreement Not a Contract</w:t>
      </w:r>
      <w:r>
        <w:rPr>
          <w:rFonts w:ascii="Arial" w:cs="Arial" w:eastAsia="Arial" w:hAnsi="Arial"/>
          <w:sz w:val="19"/>
          <w:szCs w:val="19"/>
          <w:color w:val="auto"/>
        </w:rPr>
        <w:t>. This Agreement (and the grant of the Option) is not an employment or service contract, and nothing in the Option shall be deemed to create in any way whatsoever any obligation on Participant’s part to continue as an Employee, or of the Company or an Affiliate to continue Participant’s service as an Employee.</w:t>
      </w:r>
    </w:p>
    <w:p>
      <w:pPr>
        <w:spacing w:after="0" w:line="125" w:lineRule="exact"/>
        <w:rPr>
          <w:rFonts w:ascii="Arial" w:cs="Arial" w:eastAsia="Arial" w:hAnsi="Arial"/>
          <w:sz w:val="19"/>
          <w:szCs w:val="19"/>
          <w:color w:val="auto"/>
        </w:rPr>
      </w:pPr>
    </w:p>
    <w:p>
      <w:pPr>
        <w:ind w:firstLine="1305"/>
        <w:spacing w:after="0" w:line="290" w:lineRule="auto"/>
        <w:tabs>
          <w:tab w:leader="none" w:pos="168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155" w:lineRule="exact"/>
        <w:rPr>
          <w:rFonts w:ascii="Arial" w:cs="Arial" w:eastAsia="Arial" w:hAnsi="Arial"/>
          <w:sz w:val="19"/>
          <w:szCs w:val="19"/>
          <w:color w:val="auto"/>
        </w:rPr>
      </w:pPr>
    </w:p>
    <w:p>
      <w:pPr>
        <w:ind w:right="60" w:firstLine="1305"/>
        <w:spacing w:after="0" w:line="278" w:lineRule="auto"/>
        <w:tabs>
          <w:tab w:leader="none" w:pos="1680"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Entire Agreement; Modification</w:t>
      </w:r>
      <w:r>
        <w:rPr>
          <w:rFonts w:ascii="Arial" w:cs="Arial" w:eastAsia="Arial" w:hAnsi="Arial"/>
          <w:sz w:val="21"/>
          <w:szCs w:val="21"/>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ACTIVE/90643711.3</w:t>
      </w:r>
    </w:p>
    <w:p>
      <w:pPr>
        <w:sectPr>
          <w:pgSz w:w="11900" w:h="16838" w:orient="portrait"/>
          <w:cols w:equalWidth="0" w:num="1">
            <w:col w:w="11400"/>
          </w:cols>
          <w:pgMar w:left="240" w:top="591" w:right="25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10.50</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Vericel Corporation 2017 Omnibus Incentive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Non-Qualified Stock Option Award Agreement for Non-Employee Directors</w:t>
      </w:r>
    </w:p>
    <w:p>
      <w:pPr>
        <w:spacing w:after="0" w:line="200" w:lineRule="exact"/>
        <w:rPr>
          <w:sz w:val="20"/>
          <w:szCs w:val="20"/>
          <w:color w:val="auto"/>
        </w:rPr>
      </w:pPr>
    </w:p>
    <w:p>
      <w:pPr>
        <w:spacing w:after="0" w:line="312" w:lineRule="exact"/>
        <w:rPr>
          <w:sz w:val="20"/>
          <w:szCs w:val="20"/>
          <w:color w:val="auto"/>
        </w:rPr>
      </w:pPr>
    </w:p>
    <w:p>
      <w:pPr>
        <w:ind w:right="40" w:firstLine="648"/>
        <w:spacing w:after="0" w:line="343" w:lineRule="auto"/>
        <w:rPr>
          <w:sz w:val="20"/>
          <w:szCs w:val="20"/>
          <w:color w:val="auto"/>
        </w:rPr>
      </w:pPr>
      <w:r>
        <w:rPr>
          <w:rFonts w:ascii="Arial" w:cs="Arial" w:eastAsia="Arial" w:hAnsi="Arial"/>
          <w:sz w:val="19"/>
          <w:szCs w:val="19"/>
          <w:color w:val="auto"/>
        </w:rPr>
        <w:t>AWARD AGREEMENT (the "Agreement"), effective as of [[GRANTDATE]] (the “Grant Date”), is entered into by and between Vericel Corporation, a Michigan corporation (the “Company”), and [[FIRSTNAME]] [[LASTNAME]] (the “Participant”).</w:t>
      </w:r>
    </w:p>
    <w:p>
      <w:pPr>
        <w:spacing w:after="0" w:line="105" w:lineRule="exact"/>
        <w:rPr>
          <w:sz w:val="20"/>
          <w:szCs w:val="20"/>
          <w:color w:val="auto"/>
        </w:rPr>
      </w:pPr>
    </w:p>
    <w:p>
      <w:pPr>
        <w:ind w:right="340" w:firstLine="656"/>
        <w:spacing w:after="0" w:line="250" w:lineRule="auto"/>
        <w:tabs>
          <w:tab w:leader="none" w:pos="1459"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The Company hereby grants to the Participant a non-qualified stock option (the “Option”) to purchase [[SHARESGRANTED]] shares of common stock of the Company, no par value (the “Shares”), at the exercise price of $[[GRANTPRICE]] per Share (the “Exercise Price”). The Option is not intended to qualify as an incentive stock option under Section 422 of the Code.</w:t>
      </w:r>
    </w:p>
    <w:p>
      <w:pPr>
        <w:spacing w:after="0" w:line="188" w:lineRule="exact"/>
        <w:rPr>
          <w:rFonts w:ascii="Arial" w:cs="Arial" w:eastAsia="Arial" w:hAnsi="Arial"/>
          <w:sz w:val="22"/>
          <w:szCs w:val="22"/>
          <w:color w:val="auto"/>
        </w:rPr>
      </w:pPr>
    </w:p>
    <w:p>
      <w:pPr>
        <w:ind w:right="220" w:firstLine="656"/>
        <w:spacing w:after="0" w:line="320" w:lineRule="auto"/>
        <w:tabs>
          <w:tab w:leader="none" w:pos="99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Subject to the Plan</w:t>
      </w:r>
      <w:r>
        <w:rPr>
          <w:rFonts w:ascii="Arial" w:cs="Arial" w:eastAsia="Arial" w:hAnsi="Arial"/>
          <w:sz w:val="19"/>
          <w:szCs w:val="19"/>
          <w:color w:val="auto"/>
        </w:rPr>
        <w:t>. This Agreement is subject to and governed by the terms and provisions of the Vericel Corporation 2017 Omnibus Incentive Plan (the “Plan”), and, unless the context requires otherwise, terms used herein shall have the same meaning as in the Plan. In the event of a conflict between the provisions of the Plan and this Agreement, the Plan shall control.</w:t>
      </w:r>
    </w:p>
    <w:p>
      <w:pPr>
        <w:spacing w:after="0" w:line="125" w:lineRule="exact"/>
        <w:rPr>
          <w:rFonts w:ascii="Arial" w:cs="Arial" w:eastAsia="Arial" w:hAnsi="Arial"/>
          <w:sz w:val="19"/>
          <w:szCs w:val="19"/>
          <w:color w:val="auto"/>
        </w:rPr>
      </w:pPr>
    </w:p>
    <w:p>
      <w:pPr>
        <w:ind w:right="460" w:firstLine="656"/>
        <w:spacing w:after="0" w:line="276" w:lineRule="auto"/>
        <w:tabs>
          <w:tab w:leader="none" w:pos="99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Term of Option</w:t>
      </w:r>
      <w:r>
        <w:rPr>
          <w:rFonts w:ascii="Arial" w:cs="Arial" w:eastAsia="Arial" w:hAnsi="Arial"/>
          <w:sz w:val="22"/>
          <w:szCs w:val="22"/>
          <w:color w:val="auto"/>
        </w:rPr>
        <w:t>. Unless the Option terminates earlier pursuant to the provisions of this Agreement, the Option shall expire on the tenth anniversary of the Grant Date.</w:t>
      </w:r>
    </w:p>
    <w:p>
      <w:pPr>
        <w:spacing w:after="0" w:line="160" w:lineRule="exact"/>
        <w:rPr>
          <w:rFonts w:ascii="Arial" w:cs="Arial" w:eastAsia="Arial" w:hAnsi="Arial"/>
          <w:sz w:val="22"/>
          <w:szCs w:val="22"/>
          <w:color w:val="auto"/>
        </w:rPr>
      </w:pPr>
    </w:p>
    <w:p>
      <w:pPr>
        <w:ind w:right="60" w:firstLine="656"/>
        <w:spacing w:after="0" w:line="260" w:lineRule="auto"/>
        <w:tabs>
          <w:tab w:leader="none" w:pos="99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The Option shall become vested and exercisable over a one year period following the grant date, in twelve (12) equal monthly installments, provided that the Participant is then providing services to the Company as a Director (or is employed by the Company or an Affiliate or is providing services as a Consultant).</w:t>
      </w:r>
    </w:p>
    <w:p>
      <w:pPr>
        <w:spacing w:after="0" w:line="177" w:lineRule="exact"/>
        <w:rPr>
          <w:rFonts w:ascii="Arial" w:cs="Arial" w:eastAsia="Arial" w:hAnsi="Arial"/>
          <w:sz w:val="22"/>
          <w:szCs w:val="22"/>
          <w:color w:val="auto"/>
        </w:rPr>
      </w:pPr>
    </w:p>
    <w:p>
      <w:pPr>
        <w:ind w:left="1000" w:hanging="344"/>
        <w:spacing w:after="0"/>
        <w:tabs>
          <w:tab w:leader="none" w:pos="100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p>
    <w:p>
      <w:pPr>
        <w:spacing w:after="0" w:line="233" w:lineRule="exact"/>
        <w:rPr>
          <w:rFonts w:ascii="Arial" w:cs="Arial" w:eastAsia="Arial" w:hAnsi="Arial"/>
          <w:sz w:val="22"/>
          <w:szCs w:val="22"/>
          <w:color w:val="auto"/>
        </w:rPr>
      </w:pPr>
    </w:p>
    <w:p>
      <w:pPr>
        <w:ind w:right="20" w:firstLine="1305"/>
        <w:spacing w:after="0" w:line="263" w:lineRule="auto"/>
        <w:tabs>
          <w:tab w:leader="none" w:pos="1752" w:val="left"/>
        </w:tabs>
        <w:numPr>
          <w:ilvl w:val="1"/>
          <w:numId w:val="54"/>
        </w:numPr>
        <w:rPr>
          <w:rFonts w:ascii="Arial" w:cs="Arial" w:eastAsia="Arial" w:hAnsi="Arial"/>
          <w:sz w:val="21"/>
          <w:szCs w:val="21"/>
          <w:color w:val="auto"/>
        </w:rPr>
      </w:pPr>
      <w:r>
        <w:rPr>
          <w:rFonts w:ascii="Arial" w:cs="Arial" w:eastAsia="Arial" w:hAnsi="Arial"/>
          <w:sz w:val="21"/>
          <w:szCs w:val="21"/>
          <w:u w:val="single" w:color="auto"/>
          <w:color w:val="auto"/>
        </w:rPr>
        <w:t>Manner of Exercise</w:t>
      </w:r>
      <w:r>
        <w:rPr>
          <w:rFonts w:ascii="Arial" w:cs="Arial" w:eastAsia="Arial" w:hAnsi="Arial"/>
          <w:sz w:val="21"/>
          <w:szCs w:val="21"/>
          <w:color w:val="auto"/>
        </w:rPr>
        <w:t>. To the extent vested, the Option may be exercised, in whole or in part, by delivering written notice to the Company in such form as the Company may require from time to time. Such notice shall specify the number of Shares subject to the Option as to which the Option is being exercised, and shall be accompanied by full payment of the Exercise Price of such Shares in a manner permitted under the terms of Section 5.5 of the Plan</w:t>
      </w:r>
      <w:r>
        <w:rPr>
          <w:rFonts w:ascii="Arial" w:cs="Arial" w:eastAsia="Arial" w:hAnsi="Arial"/>
          <w:sz w:val="21"/>
          <w:szCs w:val="21"/>
          <w:b w:val="1"/>
          <w:bCs w:val="1"/>
          <w:color w:val="auto"/>
        </w:rPr>
        <w:t>.</w:t>
      </w:r>
      <w:r>
        <w:rPr>
          <w:rFonts w:ascii="Arial" w:cs="Arial" w:eastAsia="Arial" w:hAnsi="Arial"/>
          <w:sz w:val="21"/>
          <w:szCs w:val="21"/>
          <w:color w:val="auto"/>
        </w:rPr>
        <w:t xml:space="preserve"> The Option may be exercised only in multiples of whole Shares and no fractional Shares shall be issued.</w:t>
      </w:r>
    </w:p>
    <w:p>
      <w:pPr>
        <w:spacing w:after="0" w:line="175" w:lineRule="exact"/>
        <w:rPr>
          <w:rFonts w:ascii="Arial" w:cs="Arial" w:eastAsia="Arial" w:hAnsi="Arial"/>
          <w:sz w:val="21"/>
          <w:szCs w:val="21"/>
          <w:color w:val="auto"/>
        </w:rPr>
      </w:pPr>
    </w:p>
    <w:p>
      <w:pPr>
        <w:ind w:firstLine="1305"/>
        <w:spacing w:after="0" w:line="297" w:lineRule="auto"/>
        <w:tabs>
          <w:tab w:leader="none" w:pos="1765"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Issuance of Shares</w:t>
      </w:r>
      <w:r>
        <w:rPr>
          <w:rFonts w:ascii="Arial" w:cs="Arial" w:eastAsia="Arial" w:hAnsi="Arial"/>
          <w:sz w:val="19"/>
          <w:szCs w:val="19"/>
          <w:color w:val="auto"/>
        </w:rPr>
        <w:t>. As soon as practicable following the exercise of the Option, payment of the Exercise Price for the Shares as to which the Option is exercised and compliance to the satisfaction of the Committee with all requirements under applicable laws or regulations in connection with such transfer and with the requirements hereof and of the Plan, the Company shall issue to the Participant the applicable number of Shares in the form of fully paid and nonassessable Shares. The determination of the Committee as to such compliance shall be final and binding on the Participant.</w:t>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ACTIVE/90650438.4</w:t>
      </w:r>
    </w:p>
    <w:p>
      <w:pPr>
        <w:sectPr>
          <w:pgSz w:w="11900" w:h="16838" w:orient="portrait"/>
          <w:cols w:equalWidth="0" w:num="1">
            <w:col w:w="11420"/>
          </w:cols>
          <w:pgMar w:left="240" w:top="621" w:right="239" w:bottom="1440" w:gutter="0" w:footer="0" w:header="0"/>
        </w:sectPr>
      </w:pPr>
    </w:p>
    <w:bookmarkStart w:id="102" w:name="page103"/>
    <w:bookmarkEnd w:id="102"/>
    <w:p>
      <w:pPr>
        <w:ind w:right="680" w:firstLine="1305"/>
        <w:spacing w:after="0" w:line="263" w:lineRule="auto"/>
        <w:tabs>
          <w:tab w:leader="none" w:pos="1752"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Capitalization Adjustments</w:t>
      </w:r>
      <w:r>
        <w:rPr>
          <w:rFonts w:ascii="Arial" w:cs="Arial" w:eastAsia="Arial" w:hAnsi="Arial"/>
          <w:sz w:val="22"/>
          <w:szCs w:val="22"/>
          <w:color w:val="auto"/>
        </w:rPr>
        <w:t>. The number of Shares subject to the Option and the Exercise Price shall be equitably and appropriately adjusted, if applicable, as provided in Section 12.2 of the Plan.</w:t>
      </w:r>
    </w:p>
    <w:p>
      <w:pPr>
        <w:spacing w:after="0" w:line="174" w:lineRule="exact"/>
        <w:rPr>
          <w:rFonts w:ascii="Arial" w:cs="Arial" w:eastAsia="Arial" w:hAnsi="Arial"/>
          <w:sz w:val="22"/>
          <w:szCs w:val="22"/>
          <w:color w:val="auto"/>
        </w:rPr>
      </w:pPr>
    </w:p>
    <w:p>
      <w:pPr>
        <w:ind w:left="1000" w:hanging="344"/>
        <w:spacing w:after="0"/>
        <w:tabs>
          <w:tab w:leader="none" w:pos="100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Termination of Option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60" w:firstLine="1305"/>
        <w:spacing w:after="0" w:line="247" w:lineRule="auto"/>
        <w:tabs>
          <w:tab w:leader="none" w:pos="1752"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Termination of Service as a Board Member</w:t>
      </w:r>
      <w:r>
        <w:rPr>
          <w:rFonts w:ascii="Arial" w:cs="Arial" w:eastAsia="Arial" w:hAnsi="Arial"/>
          <w:sz w:val="22"/>
          <w:szCs w:val="22"/>
          <w:color w:val="auto"/>
        </w:rPr>
        <w:t>. Unless the Option has earlier terminated, the Option shall terminate in its entirety, regardless of whether the Option is vested, on the earlier of (i) twenty-four (24)-months from the date that the Participant ceases to be a member of the Board of Directors or, if later, otherwise terminates his or her employment or service with the Company or (ii) the original expiration date of the Option. Except as provided herein, any portion of the Option that is not vested at the time the Participant ceases to be a Director (and, if applicable, an Employee and Consultant) shall immediately terminate and be of no further force or effect.</w:t>
      </w:r>
    </w:p>
    <w:p>
      <w:pPr>
        <w:spacing w:after="0" w:line="193" w:lineRule="exact"/>
        <w:rPr>
          <w:rFonts w:ascii="Arial" w:cs="Arial" w:eastAsia="Arial" w:hAnsi="Arial"/>
          <w:sz w:val="22"/>
          <w:szCs w:val="22"/>
          <w:color w:val="auto"/>
        </w:rPr>
      </w:pPr>
    </w:p>
    <w:p>
      <w:pPr>
        <w:ind w:right="40" w:firstLine="1305"/>
        <w:spacing w:after="0" w:line="294" w:lineRule="auto"/>
        <w:tabs>
          <w:tab w:leader="none" w:pos="1765"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Extension of Exercise Period</w:t>
      </w:r>
      <w:r>
        <w:rPr>
          <w:rFonts w:ascii="Arial" w:cs="Arial" w:eastAsia="Arial" w:hAnsi="Arial"/>
          <w:sz w:val="19"/>
          <w:szCs w:val="19"/>
          <w:color w:val="auto"/>
        </w:rPr>
        <w:t>. Notwithstanding any provisions of paragraph (a) of this Section to the contrary, if exercise of the Option following termination of service during the time period set forth in the applicable paragraph or sale during such period of the Shares acquired on exercise would violate any of the provisions of the federal securities laws (or any Company policy related thereto), the time period to exercise the Option shall be extended until the later of (i) forty-five (45) days after the date that the exercise of the Option or sale of the Shares acquired on exercise would not be a violation of the federal securities laws (or a related Company policy), or (ii) the end of the time period set forth in the applicable paragraph.</w:t>
      </w:r>
    </w:p>
    <w:p>
      <w:pPr>
        <w:spacing w:after="0" w:line="149" w:lineRule="exact"/>
        <w:rPr>
          <w:rFonts w:ascii="Arial" w:cs="Arial" w:eastAsia="Arial" w:hAnsi="Arial"/>
          <w:sz w:val="19"/>
          <w:szCs w:val="19"/>
          <w:color w:val="auto"/>
        </w:rPr>
      </w:pPr>
    </w:p>
    <w:p>
      <w:pPr>
        <w:ind w:left="1000" w:hanging="344"/>
        <w:spacing w:after="0"/>
        <w:tabs>
          <w:tab w:leader="none" w:pos="100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160" w:firstLine="1305"/>
        <w:spacing w:after="0" w:line="253" w:lineRule="auto"/>
        <w:tabs>
          <w:tab w:leader="none" w:pos="1752"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Effect on Option</w:t>
      </w:r>
      <w:r>
        <w:rPr>
          <w:rFonts w:ascii="Arial" w:cs="Arial" w:eastAsia="Arial" w:hAnsi="Arial"/>
          <w:sz w:val="22"/>
          <w:szCs w:val="22"/>
          <w:color w:val="auto"/>
        </w:rPr>
        <w:t>. In the event of a Change in Control, the Option shall (i) vest and become exercisable on the day prior to the date of the Change in Control if the Participant is then employed by or providing services to the Company or an Affiliate and (ii) terminate on the date of the Change in Control.</w:t>
      </w:r>
    </w:p>
    <w:p>
      <w:pPr>
        <w:spacing w:after="0" w:line="185" w:lineRule="exact"/>
        <w:rPr>
          <w:rFonts w:ascii="Arial" w:cs="Arial" w:eastAsia="Arial" w:hAnsi="Arial"/>
          <w:sz w:val="22"/>
          <w:szCs w:val="22"/>
          <w:color w:val="auto"/>
        </w:rPr>
      </w:pPr>
    </w:p>
    <w:p>
      <w:pPr>
        <w:ind w:firstLine="1305"/>
        <w:spacing w:after="0" w:line="253" w:lineRule="auto"/>
        <w:tabs>
          <w:tab w:leader="none" w:pos="1765" w:val="left"/>
        </w:tabs>
        <w:numPr>
          <w:ilvl w:val="1"/>
          <w:numId w:val="56"/>
        </w:numPr>
        <w:rPr>
          <w:rFonts w:ascii="Arial" w:cs="Arial" w:eastAsia="Arial" w:hAnsi="Arial"/>
          <w:sz w:val="22"/>
          <w:szCs w:val="22"/>
          <w:color w:val="auto"/>
        </w:rPr>
      </w:pPr>
      <w:r>
        <w:rPr>
          <w:rFonts w:ascii="Arial" w:cs="Arial" w:eastAsia="Arial" w:hAnsi="Arial"/>
          <w:sz w:val="22"/>
          <w:szCs w:val="22"/>
          <w:color w:val="auto"/>
        </w:rPr>
        <w:t>Notwithstanding the foregoing, if on the date of the Change in Control the Fair Market Value of one Share is less than the Exercise Price, then the Option shall terminate as of the date of the Change in Control, except as otherwise determined by the Committee.</w:t>
      </w:r>
    </w:p>
    <w:p>
      <w:pPr>
        <w:spacing w:after="0" w:line="185" w:lineRule="exact"/>
        <w:rPr>
          <w:rFonts w:ascii="Arial" w:cs="Arial" w:eastAsia="Arial" w:hAnsi="Arial"/>
          <w:sz w:val="22"/>
          <w:szCs w:val="22"/>
          <w:color w:val="auto"/>
        </w:rPr>
      </w:pPr>
    </w:p>
    <w:p>
      <w:pPr>
        <w:ind w:left="1000" w:hanging="344"/>
        <w:spacing w:after="0"/>
        <w:tabs>
          <w:tab w:leader="none" w:pos="100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160" w:firstLine="1305"/>
        <w:spacing w:after="0" w:line="343" w:lineRule="auto"/>
        <w:tabs>
          <w:tab w:leader="none" w:pos="1752"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No Rights of Stockholder</w:t>
      </w:r>
      <w:r>
        <w:rPr>
          <w:rFonts w:ascii="Arial" w:cs="Arial" w:eastAsia="Arial" w:hAnsi="Arial"/>
          <w:sz w:val="19"/>
          <w:szCs w:val="19"/>
          <w:color w:val="auto"/>
        </w:rPr>
        <w:t>. The Participant shall not have any of the rights of a stockholder with respect to the Shares subject to this Option until such Shares have been issued to him or her upon the due exercise of the Option.</w:t>
      </w:r>
    </w:p>
    <w:p>
      <w:pPr>
        <w:spacing w:after="0" w:line="104" w:lineRule="exact"/>
        <w:rPr>
          <w:rFonts w:ascii="Arial" w:cs="Arial" w:eastAsia="Arial" w:hAnsi="Arial"/>
          <w:sz w:val="19"/>
          <w:szCs w:val="19"/>
          <w:color w:val="auto"/>
        </w:rPr>
      </w:pPr>
    </w:p>
    <w:p>
      <w:pPr>
        <w:ind w:right="60" w:firstLine="1305"/>
        <w:spacing w:after="0" w:line="265" w:lineRule="auto"/>
        <w:tabs>
          <w:tab w:leader="none" w:pos="1765" w:val="left"/>
        </w:tabs>
        <w:numPr>
          <w:ilvl w:val="1"/>
          <w:numId w:val="56"/>
        </w:numPr>
        <w:rPr>
          <w:rFonts w:ascii="Arial" w:cs="Arial" w:eastAsia="Arial" w:hAnsi="Arial"/>
          <w:sz w:val="21"/>
          <w:szCs w:val="21"/>
          <w:color w:val="auto"/>
        </w:rPr>
      </w:pPr>
      <w:r>
        <w:rPr>
          <w:rFonts w:ascii="Arial" w:cs="Arial" w:eastAsia="Arial" w:hAnsi="Arial"/>
          <w:sz w:val="21"/>
          <w:szCs w:val="21"/>
          <w:u w:val="single" w:color="auto"/>
          <w:color w:val="auto"/>
        </w:rPr>
        <w:t>Nontransferability of Option</w:t>
      </w:r>
      <w:r>
        <w:rPr>
          <w:rFonts w:ascii="Arial" w:cs="Arial" w:eastAsia="Arial" w:hAnsi="Arial"/>
          <w:sz w:val="21"/>
          <w:szCs w:val="21"/>
          <w:color w:val="auto"/>
        </w:rPr>
        <w:t>. Except to the extent and under such terms and conditions as determined by the Committee, the Option shall be nontransferable otherwise than by will or the laws of descent and distribution, and during the lifetime of the Participant, the Option may be exercised only by the Participant or, during the period the Participant is under a legal disability, by the Participant's guardian or legal representative. Notwithstanding the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ACTIVE/90650438.4</w:t>
      </w:r>
    </w:p>
    <w:p>
      <w:pPr>
        <w:sectPr>
          <w:pgSz w:w="11900" w:h="16838" w:orient="portrait"/>
          <w:cols w:equalWidth="0" w:num="1">
            <w:col w:w="11380"/>
          </w:cols>
          <w:pgMar w:left="240" w:top="375" w:right="279" w:bottom="1440" w:gutter="0" w:footer="0" w:header="0"/>
        </w:sectPr>
      </w:pPr>
    </w:p>
    <w:bookmarkStart w:id="103" w:name="page104"/>
    <w:bookmarkEnd w:id="103"/>
    <w:p>
      <w:pPr>
        <w:ind w:right="140"/>
        <w:spacing w:after="0" w:line="343" w:lineRule="auto"/>
        <w:rPr>
          <w:sz w:val="20"/>
          <w:szCs w:val="20"/>
          <w:color w:val="auto"/>
        </w:rPr>
      </w:pPr>
      <w:r>
        <w:rPr>
          <w:rFonts w:ascii="Arial" w:cs="Arial" w:eastAsia="Arial" w:hAnsi="Arial"/>
          <w:sz w:val="19"/>
          <w:szCs w:val="19"/>
          <w:color w:val="auto"/>
        </w:rPr>
        <w:t>foregoing, the Participant may, by delivering written notice to the Company, in a form provided by or otherwise satisfactory to the Company, designate a third party who, in the event of the Participant’s death, shall thereafter be entitled to exercise the Option.</w:t>
      </w:r>
    </w:p>
    <w:p>
      <w:pPr>
        <w:spacing w:after="0" w:line="105" w:lineRule="exact"/>
        <w:rPr>
          <w:sz w:val="20"/>
          <w:szCs w:val="20"/>
          <w:color w:val="auto"/>
        </w:rPr>
      </w:pPr>
    </w:p>
    <w:p>
      <w:pPr>
        <w:ind w:firstLine="1305"/>
        <w:spacing w:after="0" w:line="302" w:lineRule="auto"/>
        <w:tabs>
          <w:tab w:leader="none" w:pos="1752"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142" w:lineRule="exact"/>
        <w:rPr>
          <w:rFonts w:ascii="Arial" w:cs="Arial" w:eastAsia="Arial" w:hAnsi="Arial"/>
          <w:sz w:val="19"/>
          <w:szCs w:val="19"/>
          <w:color w:val="auto"/>
        </w:rPr>
      </w:pPr>
    </w:p>
    <w:p>
      <w:pPr>
        <w:ind w:right="460" w:firstLine="1305"/>
        <w:spacing w:after="0" w:line="263" w:lineRule="auto"/>
        <w:tabs>
          <w:tab w:leader="none" w:pos="1765"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interpreted in accordance with, the laws of the State of Michigan, other than its conflict of laws principles.</w:t>
      </w:r>
    </w:p>
    <w:p>
      <w:pPr>
        <w:spacing w:after="0" w:line="174" w:lineRule="exact"/>
        <w:rPr>
          <w:rFonts w:ascii="Arial" w:cs="Arial" w:eastAsia="Arial" w:hAnsi="Arial"/>
          <w:sz w:val="22"/>
          <w:szCs w:val="22"/>
          <w:color w:val="auto"/>
        </w:rPr>
      </w:pPr>
    </w:p>
    <w:p>
      <w:pPr>
        <w:ind w:right="160" w:firstLine="1305"/>
        <w:spacing w:after="0" w:line="263" w:lineRule="auto"/>
        <w:tabs>
          <w:tab w:leader="none" w:pos="1752"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Agreement are for reference purposes only and shall not affect the meaning or interpretation of this Agreement.</w:t>
      </w:r>
    </w:p>
    <w:p>
      <w:pPr>
        <w:spacing w:after="0" w:line="174" w:lineRule="exact"/>
        <w:rPr>
          <w:rFonts w:ascii="Arial" w:cs="Arial" w:eastAsia="Arial" w:hAnsi="Arial"/>
          <w:sz w:val="22"/>
          <w:szCs w:val="22"/>
          <w:color w:val="auto"/>
        </w:rPr>
      </w:pPr>
    </w:p>
    <w:p>
      <w:pPr>
        <w:ind w:right="400" w:firstLine="1305"/>
        <w:spacing w:after="0" w:line="253" w:lineRule="auto"/>
        <w:tabs>
          <w:tab w:leader="none" w:pos="1728"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Notices to the Company should be addressed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Vericel Corporation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64 Sidney Street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Cambridge, MA 02139</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Chief Financial Officer</w:t>
      </w:r>
    </w:p>
    <w:p>
      <w:pPr>
        <w:spacing w:after="0" w:line="200" w:lineRule="exact"/>
        <w:rPr>
          <w:sz w:val="20"/>
          <w:szCs w:val="20"/>
          <w:color w:val="auto"/>
        </w:rPr>
      </w:pPr>
    </w:p>
    <w:p>
      <w:pPr>
        <w:spacing w:after="0" w:line="258" w:lineRule="exact"/>
        <w:rPr>
          <w:sz w:val="20"/>
          <w:szCs w:val="20"/>
          <w:color w:val="auto"/>
        </w:rPr>
      </w:pPr>
    </w:p>
    <w:p>
      <w:pPr>
        <w:ind w:right="600" w:firstLine="1297"/>
        <w:spacing w:after="0" w:line="263" w:lineRule="auto"/>
        <w:rPr>
          <w:sz w:val="20"/>
          <w:szCs w:val="20"/>
          <w:color w:val="auto"/>
        </w:rPr>
      </w:pPr>
      <w:r>
        <w:rPr>
          <w:rFonts w:ascii="Arial" w:cs="Arial" w:eastAsia="Arial" w:hAnsi="Arial"/>
          <w:sz w:val="22"/>
          <w:szCs w:val="22"/>
          <w:color w:val="auto"/>
        </w:rPr>
        <w:t>Notice to the Participant should be addressed to the Participant at the Participant’s address as it appears on the Company’s records.</w:t>
      </w:r>
    </w:p>
    <w:p>
      <w:pPr>
        <w:spacing w:after="0" w:line="175" w:lineRule="exact"/>
        <w:rPr>
          <w:sz w:val="20"/>
          <w:szCs w:val="20"/>
          <w:color w:val="auto"/>
        </w:rPr>
      </w:pPr>
    </w:p>
    <w:p>
      <w:pPr>
        <w:ind w:right="160" w:firstLine="1297"/>
        <w:spacing w:after="0" w:line="312" w:lineRule="auto"/>
        <w:rPr>
          <w:sz w:val="20"/>
          <w:szCs w:val="20"/>
          <w:color w:val="auto"/>
        </w:rPr>
      </w:pPr>
      <w:r>
        <w:rPr>
          <w:rFonts w:ascii="Arial" w:cs="Arial" w:eastAsia="Arial" w:hAnsi="Arial"/>
          <w:sz w:val="19"/>
          <w:szCs w:val="19"/>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134" w:lineRule="exact"/>
        <w:rPr>
          <w:sz w:val="20"/>
          <w:szCs w:val="20"/>
          <w:color w:val="auto"/>
        </w:rPr>
      </w:pPr>
    </w:p>
    <w:p>
      <w:pPr>
        <w:ind w:right="440" w:firstLine="1305"/>
        <w:spacing w:after="0" w:line="263" w:lineRule="auto"/>
        <w:tabs>
          <w:tab w:leader="none" w:pos="1765"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as a Director</w:t>
      </w:r>
      <w:r>
        <w:rPr>
          <w:rFonts w:ascii="Arial" w:cs="Arial" w:eastAsia="Arial" w:hAnsi="Arial"/>
          <w:sz w:val="22"/>
          <w:szCs w:val="22"/>
          <w:color w:val="auto"/>
        </w:rPr>
        <w:t>. Neither the Plan nor this Option confers upon the Participant any rights with respect to continuance as a Director.</w:t>
      </w:r>
    </w:p>
    <w:p>
      <w:pPr>
        <w:spacing w:after="0" w:line="175" w:lineRule="exact"/>
        <w:rPr>
          <w:sz w:val="20"/>
          <w:szCs w:val="20"/>
          <w:color w:val="auto"/>
        </w:rPr>
      </w:pPr>
    </w:p>
    <w:p>
      <w:pPr>
        <w:ind w:right="480" w:firstLine="1305"/>
        <w:spacing w:after="0" w:line="271" w:lineRule="auto"/>
        <w:tabs>
          <w:tab w:leader="none" w:pos="1765"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Agreement Not a Contract</w:t>
      </w:r>
      <w:r>
        <w:rPr>
          <w:rFonts w:ascii="Arial" w:cs="Arial" w:eastAsia="Arial" w:hAnsi="Arial"/>
          <w:sz w:val="21"/>
          <w:szCs w:val="21"/>
          <w:color w:val="auto"/>
        </w:rPr>
        <w:t>. This Agreement (and the grant of the Option) is not an employment or service contract, and nothing in the Option shall be deemed to create in any way whatsoever any obligation on Participant’s part to continue his or her service, or of the Company or an Affiliate to continue Participant’s service.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ACTIVE/90650438.4</w:t>
      </w:r>
    </w:p>
    <w:p>
      <w:pPr>
        <w:sectPr>
          <w:pgSz w:w="11900" w:h="16838" w:orient="portrait"/>
          <w:cols w:equalWidth="0" w:num="1">
            <w:col w:w="11400"/>
          </w:cols>
          <w:pgMar w:left="240" w:top="375" w:right="259" w:bottom="1440" w:gutter="0" w:footer="0" w:header="0"/>
        </w:sectPr>
      </w:pPr>
    </w:p>
    <w:bookmarkStart w:id="104" w:name="page105"/>
    <w:bookmarkEnd w:id="104"/>
    <w:p>
      <w:pPr>
        <w:ind w:right="380" w:firstLine="1305"/>
        <w:spacing w:after="0" w:line="312" w:lineRule="auto"/>
        <w:tabs>
          <w:tab w:leader="none" w:pos="1765"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Entire Agreement; Modification</w:t>
      </w:r>
      <w:r>
        <w:rPr>
          <w:rFonts w:ascii="Arial" w:cs="Arial" w:eastAsia="Arial" w:hAnsi="Arial"/>
          <w:sz w:val="19"/>
          <w:szCs w:val="19"/>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133" w:lineRule="exact"/>
        <w:rPr>
          <w:rFonts w:ascii="Arial" w:cs="Arial" w:eastAsia="Arial" w:hAnsi="Arial"/>
          <w:sz w:val="19"/>
          <w:szCs w:val="19"/>
          <w:color w:val="auto"/>
        </w:rPr>
      </w:pPr>
    </w:p>
    <w:p>
      <w:pPr>
        <w:ind w:firstLine="1305"/>
        <w:spacing w:after="0" w:line="288" w:lineRule="auto"/>
        <w:tabs>
          <w:tab w:leader="none" w:pos="171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ACTIVE/90650438.4</w:t>
      </w:r>
    </w:p>
    <w:p>
      <w:pPr>
        <w:sectPr>
          <w:pgSz w:w="11900" w:h="16838" w:orient="portrait"/>
          <w:cols w:equalWidth="0" w:num="1">
            <w:col w:w="11400"/>
          </w:cols>
          <w:pgMar w:left="240" w:top="375" w:right="259" w:bottom="1440" w:gutter="0" w:footer="0" w:header="0"/>
        </w:sectPr>
      </w:pPr>
    </w:p>
    <w:bookmarkStart w:id="105" w:name="page106"/>
    <w:bookmarkEnd w:id="105"/>
    <w:p>
      <w:pPr>
        <w:jc w:val="center"/>
        <w:ind w:right="40"/>
        <w:spacing w:after="0"/>
        <w:rPr>
          <w:sz w:val="20"/>
          <w:szCs w:val="20"/>
          <w:color w:val="auto"/>
        </w:rPr>
      </w:pPr>
      <w:r>
        <w:rPr>
          <w:rFonts w:ascii="Arial" w:cs="Arial" w:eastAsia="Arial" w:hAnsi="Arial"/>
          <w:sz w:val="22"/>
          <w:szCs w:val="22"/>
          <w:b w:val="1"/>
          <w:bCs w:val="1"/>
          <w:color w:val="auto"/>
        </w:rPr>
        <w:t>NOTICE OF EXERCISE OF</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 OPTION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color w:val="auto"/>
        </w:rPr>
        <w:t>[____________________________]</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Pursuant to the Stock Option Agreement dated _________ __, 20__, under the Vericel Corporation 2017 Omnibus Incentive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Plan, the undersigned exercises the right to purchase __________ shares of the common stock of Vericel Corporation and encloses:</w:t>
      </w:r>
    </w:p>
    <w:p>
      <w:pPr>
        <w:spacing w:after="0" w:line="38" w:lineRule="exact"/>
        <w:rPr>
          <w:sz w:val="20"/>
          <w:szCs w:val="20"/>
          <w:color w:val="auto"/>
        </w:rPr>
      </w:pPr>
    </w:p>
    <w:p>
      <w:pPr>
        <w:ind w:right="200" w:firstLine="8"/>
        <w:spacing w:after="0" w:line="245" w:lineRule="auto"/>
        <w:tabs>
          <w:tab w:leader="none" w:pos="258" w:val="left"/>
        </w:tabs>
        <w:numPr>
          <w:ilvl w:val="0"/>
          <w:numId w:val="61"/>
        </w:numPr>
        <w:rPr>
          <w:rFonts w:ascii="Arial" w:cs="Arial" w:eastAsia="Arial" w:hAnsi="Arial"/>
          <w:sz w:val="22"/>
          <w:szCs w:val="22"/>
          <w:color w:val="auto"/>
        </w:rPr>
      </w:pPr>
      <w:r>
        <w:rPr>
          <w:rFonts w:ascii="Arial" w:cs="Arial" w:eastAsia="Arial" w:hAnsi="Arial"/>
          <w:sz w:val="22"/>
          <w:szCs w:val="22"/>
          <w:color w:val="auto"/>
        </w:rPr>
        <w:t>payment of the purchase price in full; and (ii) executed copies of any additional documents and agreements required by the Stock Option Agreement. All shares are to be issued to the undersigned in the name as printed below and delivered to the address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254875" cy="1355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9">
                      <a:extLst>
                        <a:ext uri="{28A0092B-C50C-407E-A947-70E740481C1C}"/>
                      </a:extLst>
                    </a:blip>
                    <a:srcRect/>
                    <a:stretch>
                      <a:fillRect/>
                    </a:stretch>
                  </pic:blipFill>
                  <pic:spPr bwMode="auto">
                    <a:xfrm>
                      <a:off x="0" y="0"/>
                      <a:ext cx="725487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720" w:type="dxa"/>
            <w:vAlign w:val="bottom"/>
            <w:gridSpan w:val="2"/>
          </w:tcPr>
          <w:p>
            <w:pPr>
              <w:spacing w:after="0"/>
              <w:rPr>
                <w:sz w:val="20"/>
                <w:szCs w:val="20"/>
                <w:color w:val="auto"/>
              </w:rPr>
            </w:pPr>
            <w:r>
              <w:rPr>
                <w:rFonts w:ascii="Arial" w:cs="Arial" w:eastAsia="Arial" w:hAnsi="Arial"/>
                <w:sz w:val="18"/>
                <w:szCs w:val="18"/>
                <w:color w:val="auto"/>
              </w:rPr>
              <w:t>Dated:</w:t>
            </w:r>
          </w:p>
        </w:tc>
        <w:tc>
          <w:tcPr>
            <w:tcW w:w="4940" w:type="dxa"/>
            <w:vAlign w:val="bottom"/>
            <w:gridSpan w:val="3"/>
          </w:tcPr>
          <w:p>
            <w:pPr>
              <w:ind w:left="2220"/>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940" w:type="dxa"/>
            <w:vAlign w:val="bottom"/>
            <w:gridSpan w:val="3"/>
          </w:tcPr>
          <w:p>
            <w:pPr>
              <w:ind w:left="2220"/>
              <w:spacing w:after="0"/>
              <w:rPr>
                <w:sz w:val="20"/>
                <w:szCs w:val="20"/>
                <w:color w:val="auto"/>
              </w:rPr>
            </w:pPr>
            <w:r>
              <w:rPr>
                <w:rFonts w:ascii="Arial" w:cs="Arial" w:eastAsia="Arial" w:hAnsi="Arial"/>
                <w:sz w:val="18"/>
                <w:szCs w:val="18"/>
                <w:color w:val="auto"/>
              </w:rPr>
              <w:t>Address</w:t>
            </w:r>
          </w:p>
        </w:tc>
        <w:tc>
          <w:tcPr>
            <w:tcW w:w="2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Social Security Number:</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color w:val="auto"/>
        </w:rPr>
        <w:t>Please print name as it is to appear on the stock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3258820</wp:posOffset>
            </wp:positionH>
            <wp:positionV relativeFrom="paragraph">
              <wp:posOffset>-17780</wp:posOffset>
            </wp:positionV>
            <wp:extent cx="137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ACTIVE/90650438.4</w:t>
      </w:r>
    </w:p>
    <w:p>
      <w:pPr>
        <w:sectPr>
          <w:pgSz w:w="11900" w:h="16838" w:orient="portrait"/>
          <w:cols w:equalWidth="0" w:num="1">
            <w:col w:w="11400"/>
          </w:cols>
          <w:pgMar w:left="240" w:top="625" w:right="25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10.51</w:t>
      </w: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Vericel Corporation 2017 Omnibus Incentive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Restricted Stock Unit Award Agreement for Company Employees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1285240</wp:posOffset>
            </wp:positionH>
            <wp:positionV relativeFrom="paragraph">
              <wp:posOffset>-17780</wp:posOffset>
            </wp:positionV>
            <wp:extent cx="137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1800225</wp:posOffset>
            </wp:positionH>
            <wp:positionV relativeFrom="paragraph">
              <wp:posOffset>-17780</wp:posOffset>
            </wp:positionV>
            <wp:extent cx="137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137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Vesting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1178560</wp:posOffset>
            </wp:positionH>
            <wp:positionV relativeFrom="paragraph">
              <wp:posOffset>-17780</wp:posOffset>
            </wp:positionV>
            <wp:extent cx="137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Pursuant to the Vericel Corporation 2017 Omnibus Incentive Plan as amended through the date hereof (the “Plan”), Vericel Corporation (the “Company”) hereby grants an award of the number of Restricted Stock Units listed above (an “Award”) to the Participant named above. Each Restricted Stock Unit shall relate to one share of common stock, no par value per share (each, a “Share”) of the Company.</w:t>
      </w:r>
    </w:p>
    <w:p>
      <w:pPr>
        <w:spacing w:after="0" w:line="188" w:lineRule="exact"/>
        <w:rPr>
          <w:sz w:val="20"/>
          <w:szCs w:val="20"/>
          <w:color w:val="auto"/>
        </w:rPr>
      </w:pPr>
    </w:p>
    <w:p>
      <w:pPr>
        <w:ind w:right="60" w:firstLine="656"/>
        <w:spacing w:after="0" w:line="248" w:lineRule="auto"/>
        <w:tabs>
          <w:tab w:leader="none" w:pos="1459"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Participant, and any Shares issuable with respect to the Award may not be sold, transferred, pledged, assigned or otherwise encumbered or disposed of until (i) the Restricted Stock Units have vested as provided in Paragraph 2 of this Agreement and (ii) Shares have been issued to the Participant in accordance with the terms of the Plan and this Agreement.</w:t>
      </w:r>
    </w:p>
    <w:p>
      <w:pPr>
        <w:spacing w:after="0" w:line="192" w:lineRule="exact"/>
        <w:rPr>
          <w:rFonts w:ascii="Arial" w:cs="Arial" w:eastAsia="Arial" w:hAnsi="Arial"/>
          <w:sz w:val="22"/>
          <w:szCs w:val="22"/>
          <w:color w:val="auto"/>
        </w:rPr>
      </w:pPr>
    </w:p>
    <w:p>
      <w:pPr>
        <w:jc w:val="both"/>
        <w:ind w:right="300" w:firstLine="656"/>
        <w:spacing w:after="0" w:line="307" w:lineRule="auto"/>
        <w:tabs>
          <w:tab w:leader="none" w:pos="99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Vesting of Restricted Stock Units</w:t>
      </w:r>
      <w:r>
        <w:rPr>
          <w:rFonts w:ascii="Arial" w:cs="Arial" w:eastAsia="Arial" w:hAnsi="Arial"/>
          <w:sz w:val="19"/>
          <w:szCs w:val="19"/>
          <w:color w:val="auto"/>
        </w:rPr>
        <w:t>. The restrictions and conditions of Paragraph 1 of this Agreement shall lapse as to 25% of the number of Restricted Stock Units on each of the first four anniversaries of the Vesting Start Date (each such date, a “Vesting Date”), provided that the Participant remains an employee of the Company or an Affiliate on the relevant Vesting Date. Subject to the terms of the Plan, the Committee may at any time accelerate the vesting schedule specified in this Paragraph 2.</w:t>
      </w:r>
    </w:p>
    <w:p>
      <w:pPr>
        <w:spacing w:after="0" w:line="138" w:lineRule="exact"/>
        <w:rPr>
          <w:rFonts w:ascii="Arial" w:cs="Arial" w:eastAsia="Arial" w:hAnsi="Arial"/>
          <w:sz w:val="19"/>
          <w:szCs w:val="19"/>
          <w:color w:val="auto"/>
        </w:rPr>
      </w:pPr>
    </w:p>
    <w:p>
      <w:pPr>
        <w:ind w:right="140" w:firstLine="656"/>
        <w:spacing w:after="0" w:line="300" w:lineRule="auto"/>
        <w:tabs>
          <w:tab w:leader="none" w:pos="99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Subject to the discretion of the Committee to permit continued vesting of the Restricted Stock Units, if the Participant’s employment with the Company and its Affiliates terminates for any reason prior to the satisfaction of the vesting conditions set forth in Paragraph 2 above, any Restricted Stock Units that have not vested as of such date shall automatically and without notice terminate and be forfeited, and neither the Participant nor any of his or her successors, heirs, assigns, or personal representatives will thereafter have any further rights or interests in such unvested Restricted Stock Units.</w:t>
      </w:r>
    </w:p>
    <w:p>
      <w:pPr>
        <w:spacing w:after="0" w:line="147" w:lineRule="exact"/>
        <w:rPr>
          <w:rFonts w:ascii="Arial" w:cs="Arial" w:eastAsia="Arial" w:hAnsi="Arial"/>
          <w:sz w:val="19"/>
          <w:szCs w:val="19"/>
          <w:color w:val="auto"/>
        </w:rPr>
      </w:pPr>
    </w:p>
    <w:p>
      <w:pPr>
        <w:ind w:right="40" w:firstLine="656"/>
        <w:spacing w:after="0" w:line="260" w:lineRule="auto"/>
        <w:tabs>
          <w:tab w:leader="none" w:pos="99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As soon as practicable following each Vesting Date (but in no event later than two and one-half months after the end of the year in which the Vesting Date occurs), the Company shall issue to the Participant the number of Shares equal to the aggregate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ACTIVE/97869727.1</w:t>
      </w:r>
    </w:p>
    <w:p>
      <w:pPr>
        <w:sectPr>
          <w:pgSz w:w="11900" w:h="16838" w:orient="portrait"/>
          <w:cols w:equalWidth="0" w:num="1">
            <w:col w:w="11420"/>
          </w:cols>
          <w:pgMar w:left="240" w:top="364" w:right="239" w:bottom="1440" w:gutter="0" w:footer="0" w:header="0"/>
        </w:sectPr>
      </w:pPr>
    </w:p>
    <w:bookmarkStart w:id="107" w:name="page108"/>
    <w:bookmarkEnd w:id="107"/>
    <w:p>
      <w:pPr>
        <w:ind w:right="60"/>
        <w:spacing w:after="0" w:line="263" w:lineRule="auto"/>
        <w:rPr>
          <w:sz w:val="20"/>
          <w:szCs w:val="20"/>
          <w:color w:val="auto"/>
        </w:rPr>
      </w:pPr>
      <w:r>
        <w:rPr>
          <w:rFonts w:ascii="Arial" w:cs="Arial" w:eastAsia="Arial" w:hAnsi="Arial"/>
          <w:sz w:val="22"/>
          <w:szCs w:val="22"/>
          <w:color w:val="auto"/>
        </w:rPr>
        <w:t>number of Restricted Stock Units that have vested pursuant to Paragraph 2 of this Agreement on such date and the Participant shall thereafter have all the rights of a stockholder of the Company with respect to such Shares.</w:t>
      </w:r>
    </w:p>
    <w:p>
      <w:pPr>
        <w:spacing w:after="0" w:line="175" w:lineRule="exact"/>
        <w:rPr>
          <w:sz w:val="20"/>
          <w:szCs w:val="20"/>
          <w:color w:val="auto"/>
        </w:rPr>
      </w:pPr>
    </w:p>
    <w:p>
      <w:pPr>
        <w:ind w:left="1000" w:hanging="344"/>
        <w:spacing w:after="0"/>
        <w:tabs>
          <w:tab w:leader="none" w:pos="10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305"/>
        <w:spacing w:after="0" w:line="291" w:lineRule="auto"/>
        <w:tabs>
          <w:tab w:leader="none" w:pos="1716"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Effect on Award</w:t>
      </w:r>
      <w:r>
        <w:rPr>
          <w:rFonts w:ascii="Arial" w:cs="Arial" w:eastAsia="Arial" w:hAnsi="Arial"/>
          <w:sz w:val="19"/>
          <w:szCs w:val="19"/>
          <w:color w:val="auto"/>
        </w:rPr>
        <w:t>. In the event of a Change in Control, to the extent the successor company (or a subsidiary or parent thereof) does not assume or substitute for the Award on substantially the same terms and conditions, the Award shall (i) vest and become exercisable on the day prior to the date of the Change in Control if the Participant is then employed by the Company or an Affiliate and (ii) terminate on the date of the Change in Control. In the event of a Change in Control, to the extent the successor company (or a subsidiary or parent thereof) assumes or substitutes for the Award on substantially the same terms and conditions (which may include providing for settlement in the common stock of the successor company (or a subsidiary or parent thereof)), if within twelve (12) months following the date of the Change in Control the Participant’s employment is terminated by the Company or an Affiliate (or the successor company or a subsidiary or parent thereof) without Cause or by the Participant for Good Reason, the Award shall become fully vested and nonforfeitable on the date the Participant’s employment is terminated.</w:t>
      </w:r>
    </w:p>
    <w:p>
      <w:pPr>
        <w:spacing w:after="0" w:line="154" w:lineRule="exact"/>
        <w:rPr>
          <w:rFonts w:ascii="Arial" w:cs="Arial" w:eastAsia="Arial" w:hAnsi="Arial"/>
          <w:sz w:val="19"/>
          <w:szCs w:val="19"/>
          <w:color w:val="auto"/>
        </w:rPr>
      </w:pPr>
    </w:p>
    <w:p>
      <w:pPr>
        <w:ind w:right="100" w:firstLine="1305"/>
        <w:spacing w:after="0" w:line="290" w:lineRule="auto"/>
        <w:tabs>
          <w:tab w:leader="none" w:pos="1728"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For purposes of this Agreement, except as otherwise provided in paragraph (d) of this Section, “Cause” shall mean a determination by the Committee that the Participant has (i) materially breached his or her employment or service contract with the Company, (ii) been engaged in disloyalty to the Company or an Affiliate, including, without limitation, fraud, embezzlement, theft, commission of a felony or proven dishonesty in the course of his or her employment or service, which will materially harm the interests of the Company or the Affiliate, (iii) disclosed trade secrets or confidential information of the Company to persons not entitled to receive such information, (iv) breached any written noncompetition or nonsolicitation agreement between the Participant and the Company or an Affiliate in a manner which the Committee determines will cause material harm to the interests of the Company or an Affiliate, or (v) engaged in such other behavior materially detrimental to the interests of the Company, in each case as the Committee determines. The Committee’s determination of the reason for termination of the Participant’s employment shall be conclusive and binding on the Participant and his or her representatives or legatees.</w:t>
      </w:r>
    </w:p>
    <w:p>
      <w:pPr>
        <w:spacing w:after="0" w:line="155" w:lineRule="exact"/>
        <w:rPr>
          <w:rFonts w:ascii="Arial" w:cs="Arial" w:eastAsia="Arial" w:hAnsi="Arial"/>
          <w:sz w:val="19"/>
          <w:szCs w:val="19"/>
          <w:color w:val="auto"/>
        </w:rPr>
      </w:pPr>
    </w:p>
    <w:p>
      <w:pPr>
        <w:ind w:right="40" w:firstLine="1305"/>
        <w:spacing w:after="0" w:line="292" w:lineRule="auto"/>
        <w:tabs>
          <w:tab w:leader="none" w:pos="1716"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For purposes of this Agreement, except as otherwise provided in paragraph (d) of this Section, “Good Reason” shall mean (i) a reduction by the Company or an Affiliate or a successor company (or a subsidiary or parent thereof) of more than 10% in Participant’s rate of annual base salary as in effect immediately prior to such Change in Control; (ii) a reduction by the Company or an Affiliate or a successor company (or a subsidiary or parent thereof) of more than 10% of the Participant’s individual annual target or bonus opportunity, except under circumstances where the Company or an Affiliate or a successor company (or a subsidiary or parent thereof) implement changes to the bonus structure of similarly situated employees, including but not limited to changes to the bonus structure designed to integrate the Company’s or Affiliate’s personnel with other personnel of the successor company (or an subsidiary or parent thereof); (iii) a significant and substantial</w:t>
      </w:r>
    </w:p>
    <w:p>
      <w:pPr>
        <w:spacing w:after="0" w:line="39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ACTIVE/97869727.1</w:t>
      </w:r>
    </w:p>
    <w:p>
      <w:pPr>
        <w:sectPr>
          <w:pgSz w:w="11900" w:h="16838" w:orient="portrait"/>
          <w:cols w:equalWidth="0" w:num="1">
            <w:col w:w="11400"/>
          </w:cols>
          <w:pgMar w:left="240" w:top="375" w:right="259" w:bottom="1440" w:gutter="0" w:footer="0" w:header="0"/>
        </w:sectPr>
      </w:pPr>
    </w:p>
    <w:bookmarkStart w:id="108" w:name="page109"/>
    <w:bookmarkEnd w:id="108"/>
    <w:p>
      <w:pPr>
        <w:ind w:right="100"/>
        <w:spacing w:after="0" w:line="294" w:lineRule="auto"/>
        <w:rPr>
          <w:sz w:val="20"/>
          <w:szCs w:val="20"/>
          <w:color w:val="auto"/>
        </w:rPr>
      </w:pPr>
      <w:r>
        <w:rPr>
          <w:rFonts w:ascii="Arial" w:cs="Arial" w:eastAsia="Arial" w:hAnsi="Arial"/>
          <w:sz w:val="19"/>
          <w:szCs w:val="19"/>
          <w:color w:val="auto"/>
        </w:rPr>
        <w:t>reduction by the Company or an Affiliate or a successor company (or a subsidiary or parent thereof) of the Participant’s responsibilities and authority, as compared with the Participant’s responsibilities and authority in effect immediately preceding the Change in Control; or (iv) any requirement of the Company or an Affiliate or a successor company (or a subsidiary or parent thereof) that Participant be based anywhere more than fifty (50) miles from Participant’s primary office location at the time of the Change in Control; provided the Participant provides at least ninety (90) days’ notice to the Company following the initial occurrence of any such event and the Company fails to cure such event within thirty (30) days thereafter.</w:t>
      </w:r>
    </w:p>
    <w:p>
      <w:pPr>
        <w:spacing w:after="0" w:line="150" w:lineRule="exact"/>
        <w:rPr>
          <w:sz w:val="20"/>
          <w:szCs w:val="20"/>
          <w:color w:val="auto"/>
        </w:rPr>
      </w:pPr>
    </w:p>
    <w:p>
      <w:pPr>
        <w:jc w:val="both"/>
        <w:ind w:firstLine="1305"/>
        <w:spacing w:after="0" w:line="270" w:lineRule="auto"/>
        <w:tabs>
          <w:tab w:leader="none" w:pos="1728" w:val="left"/>
        </w:tabs>
        <w:numPr>
          <w:ilvl w:val="1"/>
          <w:numId w:val="64"/>
        </w:numPr>
        <w:rPr>
          <w:rFonts w:ascii="Arial" w:cs="Arial" w:eastAsia="Arial" w:hAnsi="Arial"/>
          <w:sz w:val="21"/>
          <w:szCs w:val="21"/>
          <w:color w:val="auto"/>
        </w:rPr>
      </w:pPr>
      <w:r>
        <w:rPr>
          <w:rFonts w:ascii="Arial" w:cs="Arial" w:eastAsia="Arial" w:hAnsi="Arial"/>
          <w:sz w:val="21"/>
          <w:szCs w:val="21"/>
          <w:u w:val="single" w:color="auto"/>
          <w:color w:val="auto"/>
        </w:rPr>
        <w:t>Other Agreement or Plan</w:t>
      </w:r>
      <w:r>
        <w:rPr>
          <w:rFonts w:ascii="Arial" w:cs="Arial" w:eastAsia="Arial" w:hAnsi="Arial"/>
          <w:sz w:val="21"/>
          <w:szCs w:val="21"/>
          <w:color w:val="auto"/>
        </w:rPr>
        <w:t>. The provisions of this Section (including the definitions of Cause and Good Reason), shall be superseded by the specific provisions, if any, of a written employment or severance agreement between the Participant and the Company or a severance plan of the Company covering the Participant, including a change in control severance agreement or plan, to the extent such a provision provides a greater benefit to the Participant.</w:t>
      </w:r>
    </w:p>
    <w:p>
      <w:pPr>
        <w:spacing w:after="0" w:line="169" w:lineRule="exact"/>
        <w:rPr>
          <w:rFonts w:ascii="Arial" w:cs="Arial" w:eastAsia="Arial" w:hAnsi="Arial"/>
          <w:sz w:val="21"/>
          <w:szCs w:val="21"/>
          <w:color w:val="auto"/>
        </w:rPr>
      </w:pPr>
    </w:p>
    <w:p>
      <w:pPr>
        <w:ind w:right="20" w:firstLine="656"/>
        <w:spacing w:after="0" w:line="320" w:lineRule="auto"/>
        <w:tabs>
          <w:tab w:leader="none" w:pos="99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Incorporation of Plan</w:t>
      </w:r>
      <w:r>
        <w:rPr>
          <w:rFonts w:ascii="Arial" w:cs="Arial" w:eastAsia="Arial" w:hAnsi="Arial"/>
          <w:sz w:val="19"/>
          <w:szCs w:val="19"/>
          <w:color w:val="auto"/>
        </w:rPr>
        <w:t>. Notwithstanding anything herein to the contrary, this Agreement shall be subject to and governed by all the terms and conditions of the Plan, including the powers of the Committee set forth in Section 4.2 of the Plan. Capitalized terms in this Agreement shall have the meaning specified in the Plan, unless a different meaning is specified herein.</w:t>
      </w:r>
    </w:p>
    <w:p>
      <w:pPr>
        <w:spacing w:after="0" w:line="125" w:lineRule="exact"/>
        <w:rPr>
          <w:rFonts w:ascii="Arial" w:cs="Arial" w:eastAsia="Arial" w:hAnsi="Arial"/>
          <w:sz w:val="19"/>
          <w:szCs w:val="19"/>
          <w:color w:val="auto"/>
        </w:rPr>
      </w:pPr>
    </w:p>
    <w:p>
      <w:pPr>
        <w:ind w:firstLine="656"/>
        <w:spacing w:after="0" w:line="300" w:lineRule="auto"/>
        <w:tabs>
          <w:tab w:leader="none" w:pos="99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Participant shall, not later than the date as of which the receipt of this Award becomes a taxable event for Federal income tax purposes, pay to the Company or make arrangements satisfactory to the Committee for payment of any Federal, state, and local taxes required by law to be withheld on account of such taxable event. Unless otherwise determined by the Committee, the Company shall cause the required tax withholding obligation to be satisfied by withholding from Shares to be issued to the Participant a number of Shares with an aggregate Fair Market Value that would satisfy the withholding amount due.</w:t>
      </w:r>
    </w:p>
    <w:p>
      <w:pPr>
        <w:spacing w:after="0" w:line="147" w:lineRule="exact"/>
        <w:rPr>
          <w:rFonts w:ascii="Arial" w:cs="Arial" w:eastAsia="Arial" w:hAnsi="Arial"/>
          <w:sz w:val="19"/>
          <w:szCs w:val="19"/>
          <w:color w:val="auto"/>
        </w:rPr>
      </w:pPr>
    </w:p>
    <w:p>
      <w:pPr>
        <w:ind w:right="260" w:firstLine="656"/>
        <w:spacing w:after="0" w:line="260" w:lineRule="auto"/>
        <w:tabs>
          <w:tab w:leader="none" w:pos="99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77" w:lineRule="exact"/>
        <w:rPr>
          <w:rFonts w:ascii="Arial" w:cs="Arial" w:eastAsia="Arial" w:hAnsi="Arial"/>
          <w:sz w:val="22"/>
          <w:szCs w:val="22"/>
          <w:color w:val="auto"/>
        </w:rPr>
      </w:pPr>
    </w:p>
    <w:p>
      <w:pPr>
        <w:ind w:right="60" w:firstLine="656"/>
        <w:spacing w:after="0" w:line="307" w:lineRule="auto"/>
        <w:tabs>
          <w:tab w:leader="none" w:pos="99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138" w:lineRule="exact"/>
        <w:rPr>
          <w:rFonts w:ascii="Arial" w:cs="Arial" w:eastAsia="Arial" w:hAnsi="Arial"/>
          <w:sz w:val="19"/>
          <w:szCs w:val="19"/>
          <w:color w:val="auto"/>
        </w:rPr>
      </w:pPr>
    </w:p>
    <w:p>
      <w:pPr>
        <w:ind w:right="380" w:firstLine="656"/>
        <w:spacing w:after="0" w:line="276" w:lineRule="auto"/>
        <w:tabs>
          <w:tab w:leader="none" w:pos="1098"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interpreted in accordance with, the laws of the State of Michigan, other than its conflict of laws principles.</w:t>
      </w:r>
    </w:p>
    <w:p>
      <w:pPr>
        <w:spacing w:after="0" w:line="160" w:lineRule="exact"/>
        <w:rPr>
          <w:rFonts w:ascii="Arial" w:cs="Arial" w:eastAsia="Arial" w:hAnsi="Arial"/>
          <w:sz w:val="22"/>
          <w:szCs w:val="22"/>
          <w:color w:val="auto"/>
        </w:rPr>
      </w:pPr>
    </w:p>
    <w:p>
      <w:pPr>
        <w:ind w:right="800" w:firstLine="656"/>
        <w:spacing w:after="0" w:line="276" w:lineRule="auto"/>
        <w:tabs>
          <w:tab w:leader="none" w:pos="109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Agreement are for reference purposes only and shall not affect the meaning or interpretation of this Agreement.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ACTIVE/97869727.1</w:t>
      </w:r>
    </w:p>
    <w:p>
      <w:pPr>
        <w:sectPr>
          <w:pgSz w:w="11900" w:h="16838" w:orient="portrait"/>
          <w:cols w:equalWidth="0" w:num="1">
            <w:col w:w="11380"/>
          </w:cols>
          <w:pgMar w:left="240" w:top="375" w:right="279" w:bottom="1440" w:gutter="0" w:footer="0" w:header="0"/>
        </w:sectPr>
      </w:pPr>
    </w:p>
    <w:bookmarkStart w:id="109" w:name="page110"/>
    <w:bookmarkEnd w:id="109"/>
    <w:p>
      <w:pPr>
        <w:ind w:right="120" w:firstLine="656"/>
        <w:spacing w:after="0" w:line="260" w:lineRule="auto"/>
        <w:tabs>
          <w:tab w:leader="none" w:pos="1098"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Notices to the Company should be addressed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Vericel Corporation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64 Sidney Street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Cambridge, MA 02139</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Chief Financial Officer</w:t>
      </w:r>
    </w:p>
    <w:p>
      <w:pPr>
        <w:spacing w:after="0" w:line="242" w:lineRule="exact"/>
        <w:rPr>
          <w:sz w:val="20"/>
          <w:szCs w:val="20"/>
          <w:color w:val="auto"/>
        </w:rPr>
      </w:pPr>
    </w:p>
    <w:p>
      <w:pPr>
        <w:ind w:right="580" w:firstLine="1297"/>
        <w:spacing w:after="0" w:line="263" w:lineRule="auto"/>
        <w:rPr>
          <w:sz w:val="20"/>
          <w:szCs w:val="20"/>
          <w:color w:val="auto"/>
        </w:rPr>
      </w:pPr>
      <w:r>
        <w:rPr>
          <w:rFonts w:ascii="Arial" w:cs="Arial" w:eastAsia="Arial" w:hAnsi="Arial"/>
          <w:sz w:val="22"/>
          <w:szCs w:val="22"/>
          <w:color w:val="auto"/>
        </w:rPr>
        <w:t>Notice to the Participant should be addressed to the Participant at the Participant’s address as it appears on the Company’s records.</w:t>
      </w:r>
    </w:p>
    <w:p>
      <w:pPr>
        <w:spacing w:after="0" w:line="175" w:lineRule="exact"/>
        <w:rPr>
          <w:sz w:val="20"/>
          <w:szCs w:val="20"/>
          <w:color w:val="auto"/>
        </w:rPr>
      </w:pPr>
    </w:p>
    <w:p>
      <w:pPr>
        <w:ind w:right="140" w:firstLine="1297"/>
        <w:spacing w:after="0" w:line="312" w:lineRule="auto"/>
        <w:rPr>
          <w:sz w:val="20"/>
          <w:szCs w:val="20"/>
          <w:color w:val="auto"/>
        </w:rPr>
      </w:pPr>
      <w:r>
        <w:rPr>
          <w:rFonts w:ascii="Arial" w:cs="Arial" w:eastAsia="Arial" w:hAnsi="Arial"/>
          <w:sz w:val="19"/>
          <w:szCs w:val="19"/>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134" w:lineRule="exact"/>
        <w:rPr>
          <w:sz w:val="20"/>
          <w:szCs w:val="20"/>
          <w:color w:val="auto"/>
        </w:rPr>
      </w:pPr>
    </w:p>
    <w:p>
      <w:pPr>
        <w:jc w:val="both"/>
        <w:ind w:right="300" w:firstLine="656"/>
        <w:spacing w:after="0" w:line="320" w:lineRule="auto"/>
        <w:tabs>
          <w:tab w:leader="none" w:pos="1098"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Affiliate is obligated by or as a result of the Plan or this Agreement to continue the Participant in employment and neither the Plan nor this Agreement shall interfere in any way with the right of the Company or any Affiliate to terminate the employment of the Participant at any time.</w:t>
      </w:r>
    </w:p>
    <w:p>
      <w:pPr>
        <w:spacing w:after="0" w:line="125" w:lineRule="exact"/>
        <w:rPr>
          <w:rFonts w:ascii="Arial" w:cs="Arial" w:eastAsia="Arial" w:hAnsi="Arial"/>
          <w:sz w:val="19"/>
          <w:szCs w:val="19"/>
          <w:color w:val="auto"/>
        </w:rPr>
      </w:pPr>
    </w:p>
    <w:p>
      <w:pPr>
        <w:ind w:firstLine="656"/>
        <w:spacing w:after="0" w:line="278" w:lineRule="auto"/>
        <w:tabs>
          <w:tab w:leader="none" w:pos="1098"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Entire Agreement; Modification</w:t>
      </w:r>
      <w:r>
        <w:rPr>
          <w:rFonts w:ascii="Arial" w:cs="Arial" w:eastAsia="Arial" w:hAnsi="Arial"/>
          <w:sz w:val="21"/>
          <w:szCs w:val="21"/>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160" w:lineRule="exact"/>
        <w:rPr>
          <w:rFonts w:ascii="Arial" w:cs="Arial" w:eastAsia="Arial" w:hAnsi="Arial"/>
          <w:sz w:val="21"/>
          <w:szCs w:val="21"/>
          <w:color w:val="auto"/>
        </w:rPr>
      </w:pPr>
    </w:p>
    <w:p>
      <w:pPr>
        <w:ind w:right="100" w:firstLine="656"/>
        <w:spacing w:after="0" w:line="290" w:lineRule="auto"/>
        <w:tabs>
          <w:tab w:leader="none" w:pos="1098"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ACTIVE/97869727.1</w:t>
      </w:r>
    </w:p>
    <w:p>
      <w:pPr>
        <w:sectPr>
          <w:pgSz w:w="11900" w:h="16838" w:orient="portrait"/>
          <w:cols w:equalWidth="0" w:num="1">
            <w:col w:w="11380"/>
          </w:cols>
          <w:pgMar w:left="240" w:top="375" w:right="27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Marrow Donation, LLC, a California limited liability company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Vericel Denmark ApS, a Danish private limited company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Vericel Security Corporation, a Massachusetts corporation</w:t>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333-226873) and Form S-8 (Nos. 333-205338, 333-187346, 333-174758, 333-163832, 333-140624, 333-121006, and 333-217741) of Vericel Corporation of our report dated February 26, 2019 relating to the financial statements and the effectiveness of internal control over financial reporting, which appears in this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440" w:hanging="189"/>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Vericel Corporation for the year ended December 31, 2018;</w:t>
      </w:r>
    </w:p>
    <w:p>
      <w:pPr>
        <w:spacing w:after="0" w:line="225" w:lineRule="exact"/>
        <w:rPr>
          <w:rFonts w:ascii="Arial" w:cs="Arial" w:eastAsia="Arial" w:hAnsi="Arial"/>
          <w:sz w:val="18"/>
          <w:szCs w:val="18"/>
          <w:color w:val="auto"/>
        </w:rPr>
      </w:pPr>
    </w:p>
    <w:p>
      <w:pPr>
        <w:ind w:right="440" w:firstLine="251"/>
        <w:spacing w:after="0" w:line="342" w:lineRule="auto"/>
        <w:tabs>
          <w:tab w:leader="none" w:pos="423"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80" w:firstLine="251"/>
        <w:spacing w:after="0" w:line="277" w:lineRule="auto"/>
        <w:tabs>
          <w:tab w:leader="none" w:pos="423"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251"/>
        <w:spacing w:after="0" w:line="264" w:lineRule="auto"/>
        <w:tabs>
          <w:tab w:leader="none" w:pos="42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40" w:firstLine="521"/>
        <w:spacing w:after="0" w:line="264" w:lineRule="auto"/>
        <w:tabs>
          <w:tab w:leader="none" w:pos="75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80" w:hanging="259"/>
        <w:spacing w:after="0"/>
        <w:tabs>
          <w:tab w:leader="none" w:pos="780" w:val="left"/>
        </w:tabs>
        <w:numPr>
          <w:ilvl w:val="1"/>
          <w:numId w:val="6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60" w:firstLine="521"/>
        <w:spacing w:after="0" w:line="342" w:lineRule="auto"/>
        <w:tabs>
          <w:tab w:leader="none" w:pos="758"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21"/>
        <w:spacing w:after="0" w:line="264" w:lineRule="auto"/>
        <w:tabs>
          <w:tab w:leader="none" w:pos="76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20" w:firstLine="251"/>
        <w:spacing w:after="0" w:line="308" w:lineRule="auto"/>
        <w:tabs>
          <w:tab w:leader="none" w:pos="423"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60" w:firstLine="521"/>
        <w:spacing w:after="0" w:line="277" w:lineRule="auto"/>
        <w:tabs>
          <w:tab w:leader="none" w:pos="748"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00" w:firstLine="521"/>
        <w:spacing w:after="0" w:line="277" w:lineRule="auto"/>
        <w:tabs>
          <w:tab w:leader="none" w:pos="758"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305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(Principal Executive Officer)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26, 2019</w:t>
      </w:r>
    </w:p>
    <w:p>
      <w:pPr>
        <w:sectPr>
          <w:pgSz w:w="11900" w:h="16838" w:orient="portrait"/>
          <w:cols w:equalWidth="0" w:num="1">
            <w:col w:w="11420"/>
          </w:cols>
          <w:pgMar w:left="240" w:top="58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J. Michel, certify that:</w:t>
      </w:r>
    </w:p>
    <w:p>
      <w:pPr>
        <w:spacing w:after="0" w:line="225" w:lineRule="exact"/>
        <w:rPr>
          <w:sz w:val="20"/>
          <w:szCs w:val="20"/>
          <w:color w:val="auto"/>
        </w:rPr>
      </w:pPr>
    </w:p>
    <w:p>
      <w:pPr>
        <w:ind w:left="440" w:hanging="189"/>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Vericel Corporation for the year ended December 31, 2018;</w:t>
      </w:r>
    </w:p>
    <w:p>
      <w:pPr>
        <w:spacing w:after="0" w:line="225" w:lineRule="exact"/>
        <w:rPr>
          <w:rFonts w:ascii="Arial" w:cs="Arial" w:eastAsia="Arial" w:hAnsi="Arial"/>
          <w:sz w:val="18"/>
          <w:szCs w:val="18"/>
          <w:color w:val="auto"/>
        </w:rPr>
      </w:pPr>
    </w:p>
    <w:p>
      <w:pPr>
        <w:ind w:right="440" w:firstLine="251"/>
        <w:spacing w:after="0" w:line="342" w:lineRule="auto"/>
        <w:tabs>
          <w:tab w:leader="none" w:pos="423"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80" w:firstLine="251"/>
        <w:spacing w:after="0" w:line="277" w:lineRule="auto"/>
        <w:tabs>
          <w:tab w:leader="none" w:pos="423"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251"/>
        <w:spacing w:after="0" w:line="264" w:lineRule="auto"/>
        <w:tabs>
          <w:tab w:leader="none" w:pos="42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40" w:firstLine="521"/>
        <w:spacing w:after="0" w:line="264" w:lineRule="auto"/>
        <w:tabs>
          <w:tab w:leader="none" w:pos="75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80" w:hanging="259"/>
        <w:spacing w:after="0"/>
        <w:tabs>
          <w:tab w:leader="none" w:pos="78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60" w:firstLine="521"/>
        <w:spacing w:after="0" w:line="342" w:lineRule="auto"/>
        <w:tabs>
          <w:tab w:leader="none" w:pos="758"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21"/>
        <w:spacing w:after="0" w:line="264" w:lineRule="auto"/>
        <w:tabs>
          <w:tab w:leader="none" w:pos="76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20" w:firstLine="251"/>
        <w:spacing w:after="0" w:line="308" w:lineRule="auto"/>
        <w:tabs>
          <w:tab w:leader="none" w:pos="423"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60" w:firstLine="521"/>
        <w:spacing w:after="0" w:line="277" w:lineRule="auto"/>
        <w:tabs>
          <w:tab w:leader="none" w:pos="7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00" w:firstLine="521"/>
        <w:spacing w:after="0" w:line="277" w:lineRule="auto"/>
        <w:tabs>
          <w:tab w:leader="none" w:pos="75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 GERARD J.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3053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Gerard J. Michel</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Chief Financial Officer and Vice President</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of Corporate Development</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26, 2019</w:t>
      </w:r>
    </w:p>
    <w:p>
      <w:pPr>
        <w:sectPr>
          <w:pgSz w:w="11900" w:h="16838" w:orient="portrait"/>
          <w:cols w:equalWidth="0" w:num="1">
            <w:col w:w="11420"/>
          </w:cols>
          <w:pgMar w:left="240" w:top="58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243"/>
        <w:spacing w:after="0" w:line="264" w:lineRule="auto"/>
        <w:rPr>
          <w:sz w:val="20"/>
          <w:szCs w:val="20"/>
          <w:color w:val="auto"/>
        </w:rPr>
      </w:pPr>
      <w:r>
        <w:rPr>
          <w:rFonts w:ascii="Arial" w:cs="Arial" w:eastAsia="Arial" w:hAnsi="Arial"/>
          <w:sz w:val="18"/>
          <w:szCs w:val="18"/>
          <w:color w:val="auto"/>
        </w:rPr>
        <w:t>In connection with the Annual Report of Vericel Corporation (Company) on Form 10-K for the year ended December 31, 2018, as filed with the Securities and Exchange Commission on the date hereof (Report), each of the undersigned officers of the Company, certify, pursuant to 18 U.S.C. Section 1350, as adopted pursuant to Section 906 of the Sarbanes-Oxley Act of 2002 (Section 906), the following:</w:t>
      </w:r>
    </w:p>
    <w:p>
      <w:pPr>
        <w:spacing w:after="0" w:line="181" w:lineRule="exact"/>
        <w:rPr>
          <w:sz w:val="20"/>
          <w:szCs w:val="20"/>
          <w:color w:val="auto"/>
        </w:rPr>
      </w:pPr>
    </w:p>
    <w:p>
      <w:pPr>
        <w:ind w:left="780" w:hanging="259"/>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30530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 GERARD J.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3053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Gerard J. Michel</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Chief Financial Officer and Vice President</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of Corporate Development</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26, 2019</w:t>
      </w:r>
    </w:p>
    <w:p>
      <w:pPr>
        <w:spacing w:after="0" w:line="252"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x"/>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lowerRoman"/>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1)"/>
      <w:numFmt w:val="decimal"/>
      <w:start w:val="1"/>
    </w:lvl>
  </w:abstractNum>
  <w:abstractNum w:abstractNumId="22">
    <w:nsid w:val="542289EC"/>
    <w:multiLevelType w:val="hybridMultilevel"/>
    <w:lvl w:ilvl="0">
      <w:lvlJc w:val="left"/>
      <w:lvlText w:val="(%1)"/>
      <w:numFmt w:val="lowerLetter"/>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1."/>
      <w:numFmt w:val="decimal"/>
      <w:start w:val="3"/>
    </w:lvl>
  </w:abstractNum>
  <w:abstractNum w:abstractNumId="25">
    <w:nsid w:val="7644A45C"/>
    <w:multiLevelType w:val="hybridMultilevel"/>
    <w:lvl w:ilvl="0">
      <w:lvlJc w:val="left"/>
      <w:lvlText w:val="%1."/>
      <w:numFmt w:val="decimal"/>
      <w:start w:val="6"/>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1."/>
      <w:numFmt w:val="decimal"/>
      <w:start w:val="16"/>
    </w:lvl>
  </w:abstractNum>
  <w:abstractNum w:abstractNumId="28">
    <w:nsid w:val="579478FE"/>
    <w:multiLevelType w:val="hybridMultilevel"/>
    <w:lvl w:ilvl="0">
      <w:lvlJc w:val="left"/>
      <w:lvlText w:val="(%1)"/>
      <w:numFmt w:val="lowerLetter"/>
      <w:start w:val="1"/>
    </w:lvl>
    <w:lvl w:ilvl="1">
      <w:lvlJc w:val="left"/>
      <w:lvlText w:val="%2."/>
      <w:numFmt w:val="decimal"/>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1."/>
      <w:numFmt w:val="decimal"/>
      <w:start w:val="1"/>
    </w:lvl>
    <w:lvl w:ilvl="1">
      <w:lvlJc w:val="left"/>
      <w:lvlText w:val="(%2)"/>
      <w:numFmt w:val="lowerLetter"/>
      <w:start w:val="1"/>
    </w:lvl>
  </w:abstractNum>
  <w:abstractNum w:abstractNumId="32">
    <w:nsid w:val="79A1DEAA"/>
    <w:multiLevelType w:val="hybridMultilevel"/>
    <w:lvl w:ilvl="0">
      <w:lvlJc w:val="left"/>
      <w:lvlText w:val="%1"/>
      <w:numFmt w:val="decimal"/>
      <w:start w:val="1"/>
    </w:lvl>
    <w:lvl w:ilvl="1">
      <w:lvlJc w:val="left"/>
      <w:lvlText w:val="(%2)"/>
      <w:numFmt w:val="lowerLetter"/>
      <w:start w:val="3"/>
    </w:lvl>
  </w:abstractNum>
  <w:abstractNum w:abstractNumId="33">
    <w:nsid w:val="75C6C33A"/>
    <w:multiLevelType w:val="hybridMultilevel"/>
    <w:lvl w:ilvl="0">
      <w:lvlJc w:val="left"/>
      <w:lvlText w:val="%1."/>
      <w:numFmt w:val="decimal"/>
      <w:start w:val="6"/>
    </w:lvl>
    <w:lvl w:ilvl="1">
      <w:lvlJc w:val="left"/>
      <w:lvlText w:val="(%2)"/>
      <w:numFmt w:val="lowerLetter"/>
      <w:start w:val="1"/>
    </w:lvl>
  </w:abstractNum>
  <w:abstractNum w:abstractNumId="34">
    <w:nsid w:val="12E685FB"/>
    <w:multiLevelType w:val="hybridMultilevel"/>
    <w:lvl w:ilvl="0">
      <w:lvlJc w:val="left"/>
      <w:lvlText w:val="%1"/>
      <w:numFmt w:val="lowerLetter"/>
      <w:start w:val="1"/>
    </w:lvl>
    <w:lvl w:ilvl="1">
      <w:lvlJc w:val="left"/>
      <w:lvlText w:val="(%2)"/>
      <w:numFmt w:val="lowerLetter"/>
      <w:start w:val="2"/>
    </w:lvl>
  </w:abstractNum>
  <w:abstractNum w:abstractNumId="35">
    <w:nsid w:val="70C6A529"/>
    <w:multiLevelType w:val="hybridMultilevel"/>
    <w:lvl w:ilvl="0">
      <w:lvlJc w:val="left"/>
      <w:lvlText w:val="(%1)"/>
      <w:numFmt w:val="lowerLetter"/>
      <w:start w:val="22"/>
    </w:lvl>
    <w:lvl w:ilvl="1">
      <w:lvlJc w:val="left"/>
      <w:lvlText w:val="%2"/>
      <w:numFmt w:val="lowerLetter"/>
      <w:start w:val="1"/>
    </w:lvl>
  </w:abstractNum>
  <w:abstractNum w:abstractNumId="36">
    <w:nsid w:val="520EEDD1"/>
    <w:multiLevelType w:val="hybridMultilevel"/>
    <w:lvl w:ilvl="0">
      <w:lvlJc w:val="left"/>
      <w:lvlText w:val="(%1)"/>
      <w:numFmt w:val="lowerLetter"/>
      <w:start w:val="5"/>
    </w:lvl>
  </w:abstractNum>
  <w:abstractNum w:abstractNumId="37">
    <w:nsid w:val="374A3FE6"/>
    <w:multiLevelType w:val="hybridMultilevel"/>
    <w:lvl w:ilvl="0">
      <w:lvlJc w:val="left"/>
      <w:lvlText w:val="%1."/>
      <w:numFmt w:val="decimal"/>
      <w:start w:val="7"/>
    </w:lvl>
    <w:lvl w:ilvl="1">
      <w:lvlJc w:val="left"/>
      <w:lvlText w:val="(%2)"/>
      <w:numFmt w:val="lowerLetter"/>
      <w:start w:val="1"/>
    </w:lvl>
  </w:abstractNum>
  <w:abstractNum w:abstractNumId="38">
    <w:nsid w:val="4F4EF005"/>
    <w:multiLevelType w:val="hybridMultilevel"/>
    <w:lvl w:ilvl="0">
      <w:lvlJc w:val="left"/>
      <w:lvlText w:val="(%1)"/>
      <w:numFmt w:val="lowerLetter"/>
      <w:start w:val="2"/>
    </w:lvl>
  </w:abstractNum>
  <w:abstractNum w:abstractNumId="39">
    <w:nsid w:val="23F9C13C"/>
    <w:multiLevelType w:val="hybridMultilevel"/>
    <w:lvl w:ilvl="0">
      <w:lvlJc w:val="left"/>
      <w:lvlText w:val="%1"/>
      <w:numFmt w:val="decimal"/>
      <w:start w:val="1"/>
    </w:lvl>
    <w:lvl w:ilvl="1">
      <w:lvlJc w:val="left"/>
      <w:lvlText w:val="(%2)"/>
      <w:numFmt w:val="lowerLetter"/>
      <w:start w:val="3"/>
    </w:lvl>
  </w:abstractNum>
  <w:abstractNum w:abstractNumId="40">
    <w:nsid w:val="649BB77C"/>
    <w:multiLevelType w:val="hybridMultilevel"/>
    <w:lvl w:ilvl="0">
      <w:lvlJc w:val="left"/>
      <w:lvlText w:val="%1."/>
      <w:numFmt w:val="decimal"/>
      <w:start w:val="8"/>
    </w:lvl>
    <w:lvl w:ilvl="1">
      <w:lvlJc w:val="left"/>
      <w:lvlText w:val="(%2)"/>
      <w:numFmt w:val="lowerLetter"/>
      <w:start w:val="1"/>
    </w:lvl>
  </w:abstractNum>
  <w:abstractNum w:abstractNumId="41">
    <w:nsid w:val="275AC794"/>
    <w:multiLevelType w:val="hybridMultilevel"/>
    <w:lvl w:ilvl="0">
      <w:lvlJc w:val="left"/>
      <w:lvlText w:val="(%1)"/>
      <w:numFmt w:val="lowerLetter"/>
      <w:start w:val="7"/>
    </w:lvl>
  </w:abstractNum>
  <w:abstractNum w:abstractNumId="42">
    <w:nsid w:val="39386575"/>
    <w:multiLevelType w:val="hybridMultilevel"/>
    <w:lvl w:ilvl="0">
      <w:lvlJc w:val="left"/>
      <w:lvlText w:val="%1."/>
      <w:numFmt w:val="decimal"/>
      <w:start w:val="1"/>
    </w:lvl>
    <w:lvl w:ilvl="1">
      <w:lvlJc w:val="left"/>
      <w:lvlText w:val="(%2)"/>
      <w:numFmt w:val="lowerLetter"/>
      <w:start w:val="1"/>
    </w:lvl>
  </w:abstractNum>
  <w:abstractNum w:abstractNumId="43">
    <w:nsid w:val="1CF10FD8"/>
    <w:multiLevelType w:val="hybridMultilevel"/>
    <w:lvl w:ilvl="0">
      <w:lvlJc w:val="left"/>
      <w:lvlText w:val="%1"/>
      <w:numFmt w:val="decimal"/>
      <w:start w:val="1"/>
    </w:lvl>
    <w:lvl w:ilvl="1">
      <w:lvlJc w:val="left"/>
      <w:lvlText w:val="(%2)"/>
      <w:numFmt w:val="lowerLetter"/>
      <w:start w:val="3"/>
    </w:lvl>
  </w:abstractNum>
  <w:abstractNum w:abstractNumId="44">
    <w:nsid w:val="180115BE"/>
    <w:multiLevelType w:val="hybridMultilevel"/>
    <w:lvl w:ilvl="0">
      <w:lvlJc w:val="left"/>
      <w:lvlText w:val="%1."/>
      <w:numFmt w:val="decimal"/>
      <w:start w:val="6"/>
    </w:lvl>
    <w:lvl w:ilvl="1">
      <w:lvlJc w:val="left"/>
      <w:lvlText w:val="(%2)"/>
      <w:numFmt w:val="lowerLetter"/>
      <w:start w:val="1"/>
    </w:lvl>
  </w:abstractNum>
  <w:abstractNum w:abstractNumId="45">
    <w:nsid w:val="235BA861"/>
    <w:multiLevelType w:val="hybridMultilevel"/>
    <w:lvl w:ilvl="0">
      <w:lvlJc w:val="left"/>
      <w:lvlText w:val="%1"/>
      <w:numFmt w:val="lowerLetter"/>
      <w:start w:val="1"/>
    </w:lvl>
    <w:lvl w:ilvl="1">
      <w:lvlJc w:val="left"/>
      <w:lvlText w:val="(%2)"/>
      <w:numFmt w:val="lowerLetter"/>
      <w:start w:val="2"/>
    </w:lvl>
  </w:abstractNum>
  <w:abstractNum w:abstractNumId="46">
    <w:nsid w:val="47398C89"/>
    <w:multiLevelType w:val="hybridMultilevel"/>
    <w:lvl w:ilvl="0">
      <w:lvlJc w:val="left"/>
      <w:lvlText w:val="(%1)"/>
      <w:numFmt w:val="lowerLetter"/>
      <w:start w:val="22"/>
    </w:lvl>
    <w:lvl w:ilvl="1">
      <w:lvlJc w:val="left"/>
      <w:lvlText w:val="%2"/>
      <w:numFmt w:val="lowerLetter"/>
      <w:start w:val="1"/>
    </w:lvl>
  </w:abstractNum>
  <w:abstractNum w:abstractNumId="47">
    <w:nsid w:val="354FE9F9"/>
    <w:multiLevelType w:val="hybridMultilevel"/>
    <w:lvl w:ilvl="0">
      <w:lvlJc w:val="left"/>
      <w:lvlText w:val="(%1)"/>
      <w:numFmt w:val="lowerLetter"/>
      <w:start w:val="5"/>
    </w:lvl>
  </w:abstractNum>
  <w:abstractNum w:abstractNumId="48">
    <w:nsid w:val="15B5AF5C"/>
    <w:multiLevelType w:val="hybridMultilevel"/>
    <w:lvl w:ilvl="0">
      <w:lvlJc w:val="left"/>
      <w:lvlText w:val="%1."/>
      <w:numFmt w:val="decimal"/>
      <w:start w:val="7"/>
    </w:lvl>
    <w:lvl w:ilvl="1">
      <w:lvlJc w:val="left"/>
      <w:lvlText w:val="(%2)"/>
      <w:numFmt w:val="lowerLetter"/>
      <w:start w:val="1"/>
    </w:lvl>
  </w:abstractNum>
  <w:abstractNum w:abstractNumId="49">
    <w:nsid w:val="741226BB"/>
    <w:multiLevelType w:val="hybridMultilevel"/>
    <w:lvl w:ilvl="0">
      <w:lvlJc w:val="left"/>
      <w:lvlText w:val="(%1)"/>
      <w:numFmt w:val="lowerLetter"/>
      <w:start w:val="2"/>
    </w:lvl>
  </w:abstractNum>
  <w:abstractNum w:abstractNumId="50">
    <w:nsid w:val="D34B6A8"/>
    <w:multiLevelType w:val="hybridMultilevel"/>
    <w:lvl w:ilvl="0">
      <w:lvlJc w:val="left"/>
      <w:lvlText w:val="%1"/>
      <w:numFmt w:val="decimal"/>
      <w:start w:val="1"/>
    </w:lvl>
    <w:lvl w:ilvl="1">
      <w:lvlJc w:val="left"/>
      <w:lvlText w:val="(%2)"/>
      <w:numFmt w:val="lowerLetter"/>
      <w:start w:val="3"/>
    </w:lvl>
  </w:abstractNum>
  <w:abstractNum w:abstractNumId="51">
    <w:nsid w:val="10233C99"/>
    <w:multiLevelType w:val="hybridMultilevel"/>
    <w:lvl w:ilvl="0">
      <w:lvlJc w:val="left"/>
      <w:lvlText w:val="%1."/>
      <w:numFmt w:val="decimal"/>
      <w:start w:val="8"/>
    </w:lvl>
    <w:lvl w:ilvl="1">
      <w:lvlJc w:val="left"/>
      <w:lvlText w:val="(%2)"/>
      <w:numFmt w:val="lowerLetter"/>
      <w:start w:val="1"/>
    </w:lvl>
  </w:abstractNum>
  <w:abstractNum w:abstractNumId="52">
    <w:nsid w:val="3F6AB60F"/>
    <w:multiLevelType w:val="hybridMultilevel"/>
    <w:lvl w:ilvl="0">
      <w:lvlJc w:val="left"/>
      <w:lvlText w:val="(%1)"/>
      <w:numFmt w:val="lowerLetter"/>
      <w:start w:val="7"/>
    </w:lvl>
  </w:abstractNum>
  <w:abstractNum w:abstractNumId="53">
    <w:nsid w:val="61574095"/>
    <w:multiLevelType w:val="hybridMultilevel"/>
    <w:lvl w:ilvl="0">
      <w:lvlJc w:val="left"/>
      <w:lvlText w:val="%1."/>
      <w:numFmt w:val="decimal"/>
      <w:start w:val="1"/>
    </w:lvl>
    <w:lvl w:ilvl="1">
      <w:lvlJc w:val="left"/>
      <w:lvlText w:val="(%2)"/>
      <w:numFmt w:val="lowerLetter"/>
      <w:start w:val="1"/>
    </w:lvl>
  </w:abstractNum>
  <w:abstractNum w:abstractNumId="54">
    <w:nsid w:val="7E0C57B1"/>
    <w:multiLevelType w:val="hybridMultilevel"/>
    <w:lvl w:ilvl="0">
      <w:lvlJc w:val="left"/>
      <w:lvlText w:val="%1"/>
      <w:numFmt w:val="decimal"/>
      <w:start w:val="1"/>
    </w:lvl>
    <w:lvl w:ilvl="1">
      <w:lvlJc w:val="left"/>
      <w:lvlText w:val="(%2)"/>
      <w:numFmt w:val="lowerLetter"/>
      <w:start w:val="3"/>
    </w:lvl>
  </w:abstractNum>
  <w:abstractNum w:abstractNumId="55">
    <w:nsid w:val="77AE35EB"/>
    <w:multiLevelType w:val="hybridMultilevel"/>
    <w:lvl w:ilvl="0">
      <w:lvlJc w:val="left"/>
      <w:lvlText w:val="%1."/>
      <w:numFmt w:val="decimal"/>
      <w:start w:val="6"/>
    </w:lvl>
    <w:lvl w:ilvl="1">
      <w:lvlJc w:val="left"/>
      <w:lvlText w:val="(%2)"/>
      <w:numFmt w:val="lowerLetter"/>
      <w:start w:val="1"/>
    </w:lvl>
  </w:abstractNum>
  <w:abstractNum w:abstractNumId="56">
    <w:nsid w:val="579BE4F1"/>
    <w:multiLevelType w:val="hybridMultilevel"/>
    <w:lvl w:ilvl="0">
      <w:lvlJc w:val="left"/>
      <w:lvlText w:val="(%1)"/>
      <w:numFmt w:val="lowerLetter"/>
      <w:start w:val="3"/>
    </w:lvl>
  </w:abstractNum>
  <w:abstractNum w:abstractNumId="57">
    <w:nsid w:val="310C50B3"/>
    <w:multiLevelType w:val="hybridMultilevel"/>
    <w:lvl w:ilvl="0">
      <w:lvlJc w:val="left"/>
      <w:lvlText w:val="(%1)"/>
      <w:numFmt w:val="lowerLetter"/>
      <w:start w:val="7"/>
    </w:lvl>
  </w:abstractNum>
  <w:abstractNum w:abstractNumId="58">
    <w:nsid w:val="5FF87E05"/>
    <w:multiLevelType w:val="hybridMultilevel"/>
    <w:lvl w:ilvl="0">
      <w:lvlJc w:val="left"/>
      <w:lvlText w:val="(%1)"/>
      <w:numFmt w:val="lowerLetter"/>
      <w:start w:val="7"/>
    </w:lvl>
  </w:abstractNum>
  <w:abstractNum w:abstractNumId="59">
    <w:nsid w:val="2F305DEF"/>
    <w:multiLevelType w:val="hybridMultilevel"/>
    <w:lvl w:ilvl="0">
      <w:lvlJc w:val="left"/>
      <w:lvlText w:val="(%1)"/>
      <w:numFmt w:val="lowerLetter"/>
      <w:start w:val="8"/>
    </w:lvl>
  </w:abstractNum>
  <w:abstractNum w:abstractNumId="60">
    <w:nsid w:val="25A70BF7"/>
    <w:multiLevelType w:val="hybridMultilevel"/>
    <w:lvl w:ilvl="0">
      <w:lvlJc w:val="left"/>
      <w:lvlText w:val="(%1)"/>
      <w:numFmt w:val="lowerRoman"/>
      <w:start w:val="1"/>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decimal"/>
      <w:start w:val="5"/>
    </w:lvl>
    <w:lvl w:ilvl="1">
      <w:lvlJc w:val="left"/>
      <w:lvlText w:val="(%2)"/>
      <w:numFmt w:val="lowerLetter"/>
      <w:start w:val="1"/>
    </w:lvl>
  </w:abstractNum>
  <w:abstractNum w:abstractNumId="63">
    <w:nsid w:val="1F48EAA1"/>
    <w:multiLevelType w:val="hybridMultilevel"/>
    <w:lvl w:ilvl="0">
      <w:lvlJc w:val="left"/>
      <w:lvlText w:val="%1"/>
      <w:numFmt w:val="decimal"/>
      <w:start w:val="1"/>
    </w:lvl>
    <w:lvl w:ilvl="1">
      <w:lvlJc w:val="left"/>
      <w:lvlText w:val="(%2)"/>
      <w:numFmt w:val="lowerLetter"/>
      <w:start w:val="4"/>
    </w:lvl>
  </w:abstractNum>
  <w:abstractNum w:abstractNumId="64">
    <w:nsid w:val="1381823A"/>
    <w:multiLevelType w:val="hybridMultilevel"/>
    <w:lvl w:ilvl="0">
      <w:lvlJc w:val="left"/>
      <w:lvlText w:val="%1."/>
      <w:numFmt w:val="decimal"/>
      <w:start w:val="6"/>
    </w:lvl>
    <w:lvl w:ilvl="1">
      <w:lvlJc w:val="left"/>
      <w:lvlText w:val="%2"/>
      <w:numFmt w:val="lowerLetter"/>
      <w:start w:val="1"/>
    </w:lvl>
  </w:abstractNum>
  <w:abstractNum w:abstractNumId="65">
    <w:nsid w:val="5DB70AE5"/>
    <w:multiLevelType w:val="hybridMultilevel"/>
    <w:lvl w:ilvl="0">
      <w:lvlJc w:val="left"/>
      <w:lvlText w:val="%1."/>
      <w:numFmt w:val="decimal"/>
      <w:start w:val="12"/>
    </w:lvl>
  </w:abstractNum>
  <w:abstractNum w:abstractNumId="66">
    <w:nsid w:val="100F8FCA"/>
    <w:multiLevelType w:val="hybridMultilevel"/>
    <w:lvl w:ilvl="0">
      <w:lvlJc w:val="left"/>
      <w:lvlText w:val="%1."/>
      <w:numFmt w:val="decimal"/>
      <w:start w:val="13"/>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78" Type="http://schemas.openxmlformats.org/officeDocument/2006/relationships/image" Target="media/image14.png"/><Relationship Id="rId79" Type="http://schemas.openxmlformats.org/officeDocument/2006/relationships/image" Target="media/image15.png"/><Relationship Id="rId80" Type="http://schemas.openxmlformats.org/officeDocument/2006/relationships/image" Target="media/image16.png"/><Relationship Id="rId81" Type="http://schemas.openxmlformats.org/officeDocument/2006/relationships/image" Target="media/image17.png"/><Relationship Id="rId82" Type="http://schemas.openxmlformats.org/officeDocument/2006/relationships/image" Target="media/image18.png"/><Relationship Id="rId83" Type="http://schemas.openxmlformats.org/officeDocument/2006/relationships/image" Target="media/image19.png"/><Relationship Id="rId84" Type="http://schemas.openxmlformats.org/officeDocument/2006/relationships/image" Target="media/image20.png"/><Relationship Id="rId85" Type="http://schemas.openxmlformats.org/officeDocument/2006/relationships/image" Target="media/image21.png"/><Relationship Id="rId86" Type="http://schemas.openxmlformats.org/officeDocument/2006/relationships/image" Target="media/image22.png"/><Relationship Id="rId87" Type="http://schemas.openxmlformats.org/officeDocument/2006/relationships/image" Target="media/image23.png"/><Relationship Id="rId88" Type="http://schemas.openxmlformats.org/officeDocument/2006/relationships/image" Target="media/image24.png"/><Relationship Id="rId21" Type="http://schemas.openxmlformats.org/officeDocument/2006/relationships/hyperlink" Target="http://www.sec.gov/Archives/edgar/data/887359/000129993309004957/0001299933-09-004957-index.htm" TargetMode="External"/><Relationship Id="rId22" Type="http://schemas.openxmlformats.org/officeDocument/2006/relationships/hyperlink" Target="http://www.sec.gov/Archives/edgar/data/887359/000095012310030777/b80276exv3w2.htm" TargetMode="External"/><Relationship Id="rId23" Type="http://schemas.openxmlformats.org/officeDocument/2006/relationships/hyperlink" Target="http://www.sec.gov/Archives/edgar/data/887359/000095012311029237/a59068exv3w1.htm" TargetMode="External"/><Relationship Id="rId24" Type="http://schemas.openxmlformats.org/officeDocument/2006/relationships/hyperlink" Target="http://www.sec.gov/Archives/edgar/data/887359/000110465914083052/a14-25082_1ex3d1.htm" TargetMode="External"/><Relationship Id="rId25" Type="http://schemas.openxmlformats.org/officeDocument/2006/relationships/hyperlink" Target="http://www.sec.gov/Archives/edgar/data/887359/000162828016012668/ex37stonepine-vericelxbloc.htm" TargetMode="External"/><Relationship Id="rId26" Type="http://schemas.openxmlformats.org/officeDocument/2006/relationships/hyperlink" Target="http://www.sec.gov/Archives/edgar/data/887359/000129993310004053/exhibit1.htm" TargetMode="External"/><Relationship Id="rId27" Type="http://schemas.openxmlformats.org/officeDocument/2006/relationships/hyperlink" Target="http://www.sec.gov/Archives/edgar/data/887359/000110465915048492/a15-14884_1ex4d1.htm" TargetMode="External"/><Relationship Id="rId28" Type="http://schemas.openxmlformats.org/officeDocument/2006/relationships/hyperlink" Target="http://www.sec.gov/Archives/edgar/data/887359/000110465915048492/a15-14884_1ex4d3.htm" TargetMode="External"/><Relationship Id="rId29" Type="http://schemas.openxmlformats.org/officeDocument/2006/relationships/hyperlink" Target="http://www.sec.gov/Archives/edgar/data/887359/000110465911046570/a11-24195_2ex4d1.htm" TargetMode="External"/><Relationship Id="rId30" Type="http://schemas.openxmlformats.org/officeDocument/2006/relationships/hyperlink" Target="http://www.sec.gov/Archives/edgar/data/887359/000110465912017111/a12-6864_1ex4d1.htm" TargetMode="External"/><Relationship Id="rId31" Type="http://schemas.openxmlformats.org/officeDocument/2006/relationships/hyperlink" Target="http://www.sec.gov/Archives/edgar/data/887359/000095013704010704/a03811a1exv10w82.txt" TargetMode="External"/><Relationship Id="rId32" Type="http://schemas.openxmlformats.org/officeDocument/2006/relationships/hyperlink" Target="http://www.sec.gov/Archives/edgar/data/887359/000093639205000299/a10790exv10w84.txt" TargetMode="External"/><Relationship Id="rId33" Type="http://schemas.openxmlformats.org/officeDocument/2006/relationships/hyperlink" Target="http://www.sec.gov/Archives/edgar/data/887359/000129993306007268/exhibit1.htm" TargetMode="External"/><Relationship Id="rId34" Type="http://schemas.openxmlformats.org/officeDocument/2006/relationships/hyperlink" Target="http://www.sec.gov/Archives/edgar/data/887359/000129993306007268/exhibit2.htm" TargetMode="External"/><Relationship Id="rId35" Type="http://schemas.openxmlformats.org/officeDocument/2006/relationships/hyperlink" Target="http://www.sec.gov/Archives/edgar/data/887359/000129993310003245/exhibit1.htm" TargetMode="External"/><Relationship Id="rId36" Type="http://schemas.openxmlformats.org/officeDocument/2006/relationships/hyperlink" Target="http://www.sec.gov/Archives/edgar/data/887359/000095012311029237/a59068exv10w3.htm" TargetMode="External"/><Relationship Id="rId37" Type="http://schemas.openxmlformats.org/officeDocument/2006/relationships/hyperlink" Target="http://www.sec.gov/Archives/edgar/data/887359/000110465913018868/a13-6963_1ex10d1.htm" TargetMode="External"/><Relationship Id="rId38" Type="http://schemas.openxmlformats.org/officeDocument/2006/relationships/hyperlink" Target="http://www.sec.gov/Archives/edgar/data/887359/000110465914029503/a14-10941_1ex2d1.htm" TargetMode="External"/><Relationship Id="rId39" Type="http://schemas.openxmlformats.org/officeDocument/2006/relationships/hyperlink" Target="http://www.sec.gov/Archives/edgar/data/887359/000104746914008427/a2221856zdef14a.htm" TargetMode="External"/><Relationship Id="rId40" Type="http://schemas.openxmlformats.org/officeDocument/2006/relationships/hyperlink" Target="http://www.sec.gov/Archives/edgar/data/887359/000162828016012668/ex1057vericel-cambridgelea.htm" TargetMode="External"/><Relationship Id="rId41" Type="http://schemas.openxmlformats.org/officeDocument/2006/relationships/hyperlink" Target="http://www.sec.gov/Archives/edgar/data/887359/000162828016012668/ex1058vericel-cambridgelea.htm" TargetMode="External"/><Relationship Id="rId42" Type="http://schemas.openxmlformats.org/officeDocument/2006/relationships/hyperlink" Target="http://www.sec.gov/Archives/edgar/data/887359/000104746915002731/a2223905zdef14a.htm" TargetMode="External"/><Relationship Id="rId43" Type="http://schemas.openxmlformats.org/officeDocument/2006/relationships/hyperlink" Target="http://www.sec.gov/Archives/edgar/data/887359/000162828016016063/ex102dohmenservicesagreeme.htm" TargetMode="External"/><Relationship Id="rId44" Type="http://schemas.openxmlformats.org/officeDocument/2006/relationships/hyperlink" Target="http://www.sec.gov/Archives/edgar/data/887359/000162828016018710/ex102dohmen-1stamendmentto.htm" TargetMode="External"/><Relationship Id="rId45" Type="http://schemas.openxmlformats.org/officeDocument/2006/relationships/hyperlink" Target="http://www.sec.gov/Archives/edgar/data/887359/000162828016018710/ex103dohmen-2ndamendmentto.htm" TargetMode="External"/><Relationship Id="rId46" Type="http://schemas.openxmlformats.org/officeDocument/2006/relationships/hyperlink" Target="http://www.sec.gov/Archives/edgar/data/887359/000110465916144652/a16-18432_1ex10d2.htm" TargetMode="External"/><Relationship Id="rId47" Type="http://schemas.openxmlformats.org/officeDocument/2006/relationships/hyperlink" Target="http://www.sec.gov/Archives/edgar/data/887359/000162828016020936/ex104dohmen3rdamendmenttos.htm" TargetMode="External"/><Relationship Id="rId48" Type="http://schemas.openxmlformats.org/officeDocument/2006/relationships/hyperlink" Target="http://www.sec.gov/Archives/edgar/data/887359/000110465916158965/a16-22122_1ex10d2.htm" TargetMode="External"/><Relationship Id="rId49" Type="http://schemas.openxmlformats.org/officeDocument/2006/relationships/hyperlink" Target="http://www.sec.gov/Archives/edgar/data/887359/000110465917032855/a17-13123_1ex10d1.htm" TargetMode="External"/><Relationship Id="rId50" Type="http://schemas.openxmlformats.org/officeDocument/2006/relationships/hyperlink" Target="http://www.sec.gov/Archives/edgar/data/887359/000110465917037229/a17-14185_3ex10d1.htm" TargetMode="External"/><Relationship Id="rId51" Type="http://schemas.openxmlformats.org/officeDocument/2006/relationships/hyperlink" Target="http://www.sec.gov/Archives/edgar/data/887359/000110465917037229/a17-14185_3ex10d2.htm" TargetMode="External"/><Relationship Id="rId52" Type="http://schemas.openxmlformats.org/officeDocument/2006/relationships/hyperlink" Target="http://www.sec.gov/Archives/edgar/data/887359/000110465917037227/a17-14185_2ex10d2.htm" TargetMode="External"/><Relationship Id="rId53" Type="http://schemas.openxmlformats.org/officeDocument/2006/relationships/hyperlink" Target="http://www.sec.gov/Archives/edgar/data/887359/000110465917037227/a17-14185_2ex10d3.htm" TargetMode="External"/><Relationship Id="rId54" Type="http://schemas.openxmlformats.org/officeDocument/2006/relationships/hyperlink" Target="http://www.sec.gov/Archives/edgar/data/887359/000110465917057884/a17-22104_1ex10d1.htm" TargetMode="External"/><Relationship Id="rId55" Type="http://schemas.openxmlformats.org/officeDocument/2006/relationships/hyperlink" Target="http://www.sec.gov/Archives/edgar/data/887359/000110465917057884/a17-22104_1ex10d2.htm" TargetMode="External"/><Relationship Id="rId56" Type="http://schemas.openxmlformats.org/officeDocument/2006/relationships/hyperlink" Target="http://www.sec.gov/Archives/edgar/data/887359/000110465917057884/a17-22104_1ex10d3.htm" TargetMode="External"/><Relationship Id="rId57" Type="http://schemas.openxmlformats.org/officeDocument/2006/relationships/hyperlink" Target="http://www.sec.gov/Archives/edgar/data/887359/000162828017011022/ex104-amendment1ictagreeme.htm" TargetMode="External"/><Relationship Id="rId58" Type="http://schemas.openxmlformats.org/officeDocument/2006/relationships/hyperlink" Target="http://www.sec.gov/Archives/edgar/data/887359/000162828017011022/ex105-amendment2ictagreeme.htm" TargetMode="External"/><Relationship Id="rId59" Type="http://schemas.openxmlformats.org/officeDocument/2006/relationships/hyperlink" Target="http://www.sec.gov/Archives/edgar/data/887359/000162828017011022/ex106-sidelettertoamendmen.htm" TargetMode="External"/><Relationship Id="rId60" Type="http://schemas.openxmlformats.org/officeDocument/2006/relationships/hyperlink" Target="http://www.sec.gov/Archives/edgar/data/887359/000162828017011022/ex107-sidelettertoamendent.htm" TargetMode="External"/><Relationship Id="rId61" Type="http://schemas.openxmlformats.org/officeDocument/2006/relationships/hyperlink" Target="http://www.sec.gov/Archives/edgar/data/887359/000162828017011022/ex108amendment1toorsiniagr.htm" TargetMode="External"/><Relationship Id="rId62" Type="http://schemas.openxmlformats.org/officeDocument/2006/relationships/hyperlink" Target="http://www.sec.gov/Archives/edgar/data/887359/000110465917072521/a17-28111_1ex10d2.htm" TargetMode="External"/><Relationship Id="rId63" Type="http://schemas.openxmlformats.org/officeDocument/2006/relationships/hyperlink" Target="http://www.sec.gov/Archives/edgar/data/887359/000110465917075423/a17-28775_1ex10d1.htm" TargetMode="External"/><Relationship Id="rId64" Type="http://schemas.openxmlformats.org/officeDocument/2006/relationships/hyperlink" Target="http://www.sec.gov/Archives/edgar/data/887359/000110465917075423/a17-28775_1ex10d2.htm" TargetMode="External"/><Relationship Id="rId65" Type="http://schemas.openxmlformats.org/officeDocument/2006/relationships/hyperlink" Target="http://www.sec.gov/Archives/edgar/data/887359/000110465917075423/a17-28775_1ex10d3.htm" TargetMode="External"/><Relationship Id="rId66" Type="http://schemas.openxmlformats.org/officeDocument/2006/relationships/hyperlink" Target="http://www.sec.gov/Archives/edgar/data/887359/000110465917075423/a17-28775_1ex10d4.htm" TargetMode="External"/><Relationship Id="rId67" Type="http://schemas.openxmlformats.org/officeDocument/2006/relationships/hyperlink" Target="http://www.sec.gov/Archives/edgar/data/887359/000110465917075423/a17-28775_1ex10d5.htm" TargetMode="External"/><Relationship Id="rId68" Type="http://schemas.openxmlformats.org/officeDocument/2006/relationships/hyperlink" Target="http://www.sec.gov/Archives/edgar/data/887359/000110465917075423/a17-28775_1ex10d6.htm" TargetMode="External"/><Relationship Id="rId69" Type="http://schemas.openxmlformats.org/officeDocument/2006/relationships/hyperlink" Target="http://www.sec.gov/Archives/edgar/data/887359/000110465917075423/a17-28775_1ex10d7.htm" TargetMode="External"/><Relationship Id="rId70" Type="http://schemas.openxmlformats.org/officeDocument/2006/relationships/hyperlink" Target="http://www.sec.gov/Archives/edgar/data/887359/000162828018002753/ex1056secondamendmenttothe.htm" TargetMode="External"/><Relationship Id="rId71" Type="http://schemas.openxmlformats.org/officeDocument/2006/relationships/hyperlink" Target="http://www.sec.gov/Archives/edgar/data/887359/000162828018002753/ex1057thirdamendmenttodist.htm" TargetMode="External"/><Relationship Id="rId72" Type="http://schemas.openxmlformats.org/officeDocument/2006/relationships/hyperlink" Target="http://www.sec.gov/Archives/edgar/data/887359/000162828018013767/a101redactedfinalvericel-f.htm" TargetMode="External"/><Relationship Id="rId73" Type="http://schemas.openxmlformats.org/officeDocument/2006/relationships/hyperlink" Target="http://www.sec.gov/Archives/edgar/data/887359/000162828018013767/a102redactedversionfinal72.htm" TargetMode="External"/><Relationship Id="rId74" Type="http://schemas.openxmlformats.org/officeDocument/2006/relationships/hyperlink" Target="http://www.sec.gov/Archives/edgar/data/887359/000162828018013767/a103redactedvericelfiftham.htm" TargetMode="External"/><Relationship Id="rId75" Type="http://schemas.openxmlformats.org/officeDocument/2006/relationships/hyperlink" Target="http://www.sec.gov/Archives/edgar/data/887359/000162828018002753/ex1058amendedandrestatedno.htm" TargetMode="External"/><Relationship Id="rId76" Type="http://schemas.openxmlformats.org/officeDocument/2006/relationships/hyperlink" Target="http://www.sec.gov/Archives/edgar/data/887359/000162828018006239/ex101-amendedmatricelagree.htm" TargetMode="External"/><Relationship Id="rId77" Type="http://schemas.openxmlformats.org/officeDocument/2006/relationships/hyperlink" Target="http://www.sec.gov/Archives/edgar/data/887359/000104746917001792/a2231357z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2019-12-28T15:53:19Z</dcterms:created>
  <dcterms:modified xsi:type="dcterms:W3CDTF">2019-12-28T15:53:19Z</dcterms:modified>
</cp:coreProperties>
</file>