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68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6829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SIEGAL JONATHAN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BLUE SKY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Vericel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BURLINGTON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01803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17"/>
                <w:szCs w:val="17"/>
                <w:color w:val="0000FF"/>
                <w:w w:val="93"/>
              </w:rPr>
              <w:t>232</w:t>
            </w:r>
          </w:p>
        </w:tc>
        <w:tc>
          <w:tcPr>
            <w:tcW w:w="640" w:type="dxa"/>
            <w:vAlign w:val="bottom"/>
            <w:tcBorders>
              <w:bottom w:val="single" w:sz="8" w:color="2C2C2C"/>
            </w:tcBorders>
          </w:tcPr>
          <w:p>
            <w:pPr>
              <w:jc w:val="center"/>
              <w:ind w:left="180"/>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580" w:type="dxa"/>
            <w:vAlign w:val="bottom"/>
            <w:tcBorders>
              <w:bottom w:val="single" w:sz="8" w:color="2C2C2C"/>
            </w:tcBorders>
            <w:gridSpan w:val="2"/>
          </w:tcPr>
          <w:p>
            <w:pPr>
              <w:jc w:val="center"/>
              <w:ind w:left="13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44.9</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0"/>
              </w:rPr>
              <w:t>886</w:t>
            </w:r>
            <w:r>
              <w:rPr>
                <w:rFonts w:ascii="Times New Roman" w:cs="Times New Roman" w:eastAsia="Times New Roman" w:hAnsi="Times New Roman"/>
                <w:sz w:val="21"/>
                <w:szCs w:val="21"/>
                <w:color w:val="008000"/>
                <w:w w:val="9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17"/>
                <w:szCs w:val="17"/>
                <w:color w:val="0000FF"/>
                <w:w w:val="99"/>
              </w:rPr>
              <w:t>2,500</w:t>
            </w:r>
          </w:p>
        </w:tc>
        <w:tc>
          <w:tcPr>
            <w:tcW w:w="640" w:type="dxa"/>
            <w:vAlign w:val="bottom"/>
            <w:tcBorders>
              <w:bottom w:val="single" w:sz="8" w:color="2C2C2C"/>
            </w:tcBorders>
          </w:tcPr>
          <w:p>
            <w:pPr>
              <w:jc w:val="cente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29.82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3,386</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17"/>
                <w:szCs w:val="17"/>
                <w:color w:val="0000FF"/>
                <w:w w:val="99"/>
              </w:rPr>
              <w:t>2,500</w:t>
            </w:r>
          </w:p>
        </w:tc>
        <w:tc>
          <w:tcPr>
            <w:tcW w:w="640" w:type="dxa"/>
            <w:vAlign w:val="bottom"/>
            <w:tcBorders>
              <w:bottom w:val="single" w:sz="8" w:color="2C2C2C"/>
            </w:tcBorders>
          </w:tcPr>
          <w:p>
            <w:pPr>
              <w:jc w:val="center"/>
              <w:ind w:left="180"/>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580" w:type="dxa"/>
            <w:vAlign w:val="bottom"/>
            <w:tcBorders>
              <w:bottom w:val="single" w:sz="8" w:color="2C2C2C"/>
            </w:tcBorders>
            <w:gridSpan w:val="2"/>
          </w:tcPr>
          <w:p>
            <w:pPr>
              <w:jc w:val="center"/>
              <w:ind w:left="13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44.9</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0"/>
              </w:rPr>
              <w:t>886</w:t>
            </w:r>
            <w:r>
              <w:rPr>
                <w:rFonts w:ascii="Times New Roman" w:cs="Times New Roman" w:eastAsia="Times New Roman" w:hAnsi="Times New Roman"/>
                <w:sz w:val="21"/>
                <w:szCs w:val="21"/>
                <w:color w:val="008000"/>
                <w:w w:val="9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29.82</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2,500</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02/17/2033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6,500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December 10,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shares acquired pursuant to the Issuer's 2015 Employee Stock Purchase Plan in transactions that were exempt under both Rule 16b-3(d) and Rule 16b-3(c).</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representing the right to purchase 9,000 shares, became exercisable in equal quarterly installments, contingent upon continued service to the Company, with the first vesting date on May 17, 2023, which was one quarter after the date on which the option was granted.</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Sean Flynn, as Attorney-in-  </w:t>
      </w:r>
      <w:r>
        <w:rPr>
          <w:rFonts w:ascii="Times New Roman" w:cs="Times New Roman" w:eastAsia="Times New Roman" w:hAnsi="Times New Roman"/>
          <w:sz w:val="32"/>
          <w:szCs w:val="32"/>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Jonathan Siegal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38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8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145" TargetMode="External"/><Relationship Id="rId14" Type="http://schemas.openxmlformats.org/officeDocument/2006/relationships/hyperlink" Target="http://www.sec.gov/cgi-bin/browse-edgar?action=getcompany&amp;CIK=0000887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2026-06-30T15:14:20Z</dcterms:created>
  <dcterms:modified xsi:type="dcterms:W3CDTF">2026-06-30T15:14:20Z</dcterms:modified>
</cp:coreProperties>
</file>