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30, 2024, 48,601,736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$87 and $43, respectively)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48,489 and 47,829,</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(403,177)</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225,952</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00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23"/>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r>
      <w:tr>
        <w:trPr>
          <w:trHeight w:val="22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w:t>
            </w:r>
          </w:p>
        </w:tc>
      </w:tr>
      <w:tr>
        <w:trPr>
          <w:trHeight w:val="223"/>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74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jc w:val="right"/>
              <w:ind w:right="93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35"/>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9"/>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1"/>
        </w:trPr>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w:t>
            </w:r>
          </w:p>
        </w:tc>
      </w:tr>
      <w:tr>
        <w:trPr>
          <w:trHeight w:val="20"/>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jc w:val="right"/>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1"/>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61,834</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539"/>
        </w:trPr>
        <w:tc>
          <w:tcPr>
            <w:tcW w:w="8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61,834</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adults with deep partial-thickness and/or full thickness thermal burns. Following the FDA’s approval of a Biologics License Application for NexoBrid on December 28, 2022, the Company began commercial sales of NexoBrid in the U.S. during the third quarter of 2023. The Company operates its business primarily in the U.S. in one reportable segment — the research, product development, manufacture and distribution of cellular therapies and specialty biologics for use in the treatment of specific conditions.</w:t>
      </w:r>
    </w:p>
    <w:p>
      <w:pPr>
        <w:spacing w:after="0" w:line="21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 exposure to distributors, or third-party service providers in Russia or Ukraine, it is unable to predict the ultimate impact that these actions will have on the global economy or on its financial condition, results of operations, and cash flows as of the date of these condensed consolidated financial statements.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continues to monitor the ongoing conflict in Israel and is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March 31, 2024, the Company had an accumulated deficit of $407.0 million and had a net loss of </w:t>
      </w:r>
      <w:r>
        <w:rPr>
          <w:rFonts w:ascii="Times New Roman" w:cs="Times New Roman" w:eastAsia="Times New Roman" w:hAnsi="Times New Roman"/>
          <w:sz w:val="18"/>
          <w:szCs w:val="18"/>
          <w:color w:val="000000"/>
        </w:rPr>
        <w:t>$3.9 million</w:t>
      </w:r>
      <w:r>
        <w:rPr>
          <w:rFonts w:ascii="Times New Roman" w:cs="Times New Roman" w:eastAsia="Times New Roman" w:hAnsi="Times New Roman"/>
          <w:sz w:val="18"/>
          <w:szCs w:val="18"/>
          <w:color w:val="222222"/>
        </w:rPr>
        <w:t xml:space="preserve"> during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22222"/>
        </w:rPr>
        <w:t xml:space="preserve"> March 31, 2024. The Company had cash and cash equivalents of $62.9 million and investments of $77.1 million as of March 31, 2024.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Company’s current operations through at least 12 months from the issuance of these condensed consolidated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 credit 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193"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The condensed consolidated balance sheet as of December 31, 2023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2023, as filed with the SEC on February 29, 2024 (“Annual Report”).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three months ended March 31, 2024.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as noted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November 2023</w:t>
      </w:r>
      <w:r>
        <w:rPr>
          <w:rFonts w:ascii="Times New Roman" w:cs="Times New Roman" w:eastAsia="Times New Roman" w:hAnsi="Times New Roman"/>
          <w:sz w:val="18"/>
          <w:szCs w:val="18"/>
          <w:color w:val="auto"/>
        </w:rPr>
        <w:t xml:space="preserve">,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reportable segment disclosure requirements, primarily through enhanced disclosures about significant segment expenses. The disclosure requirements must be applied retrospectively to all prior periods presented in the financial statements. The effective date for the standard is for fiscal years beginning after December 15, 2023 and interim periods within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with early adoption permitted. The Company is currently evaluating the effects adoption of this guidance will have on the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December 2023,</w:t>
      </w:r>
      <w:r>
        <w:rPr>
          <w:rFonts w:ascii="Times New Roman" w:cs="Times New Roman" w:eastAsia="Times New Roman" w:hAnsi="Times New Roman"/>
          <w:sz w:val="18"/>
          <w:szCs w:val="18"/>
          <w:color w:val="auto"/>
        </w:rPr>
        <w:t xml:space="preserve">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effects adoption of this guidance will have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197" w:lineRule="exact"/>
        <w:rPr>
          <w:sz w:val="20"/>
          <w:szCs w:val="20"/>
          <w:color w:val="auto"/>
        </w:rPr>
      </w:pPr>
    </w:p>
    <w:p>
      <w:pPr>
        <w:jc w:val="both"/>
        <w:ind w:firstLine="243"/>
        <w:spacing w:after="0" w:line="236"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March 31, 2024. The total allowance for uncollectible consideration as of March 31, 2024 and December 31, 2023 was $5.3 million and $5.6 million, respectively. Changes to the estimate of the amount of consideration that will not be collected could have a material impact on the revenue recognized. A 50 basis points change to the estimated uncollectible percentage could result in an approximately $0.4 million decrease or increase in the revenue recognized for the three months ended March 31, 2024.</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March 31, 2024, the Company did not hold a direct contract or distribution agreement with BARDA, or take title to the product procured by BARDA.</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December 28, 2022, the FDA approved a BLA for NexoBrid, granting a license for commercial use in the U.S. NexoBrid is a topically-administered biological orphan product containing proteolytic enzymes, which is indicated for the removal of eschar in adults with deep partial-thickness and/or full thickness thermal burns.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w:t>
            </w:r>
            <w:r>
              <w:rPr>
                <w:rFonts w:ascii="Times New Roman" w:cs="Times New Roman" w:eastAsia="Times New Roman" w:hAnsi="Times New Roman"/>
                <w:sz w:val="23"/>
                <w:szCs w:val="23"/>
                <w:i w:val="1"/>
                <w:iCs w:val="1"/>
                <w:color w:val="auto"/>
                <w:vertAlign w:val="superscript"/>
              </w:rPr>
              <w:t>(f)</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8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5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8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9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commercial revenue of NexoBrid.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20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4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41,635</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$1.2 million and $1.0 million,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7780" w:type="dxa"/>
            <w:vAlign w:val="bottom"/>
            <w:gridSpan w:val="17"/>
          </w:tcPr>
          <w:p>
            <w:pPr>
              <w:ind w:left="2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2024 and 2023 was $0.2 million.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gridSpan w:val="17"/>
          </w:tcPr>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March 31, 2024 is estimated to be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9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manufacturing, laboratory and office space in Burlington, Massachusetts (the “Premises”), which is currently being constructed. Once constructed, the Premises will serve as the Company’s new corporate headquarters and primary manufacturing facility.</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term of the Burlington Lease began on June 1, 2023, (the “Commencement Date”), when the Company gained control of and commenced tenant improvement work at the Premises.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10" w:lineRule="exact"/>
        <w:rPr>
          <w:sz w:val="20"/>
          <w:szCs w:val="20"/>
          <w:color w:val="auto"/>
        </w:rPr>
      </w:pPr>
    </w:p>
    <w:p>
      <w:pPr>
        <w:jc w:val="both"/>
        <w:ind w:firstLine="243"/>
        <w:spacing w:after="0" w:line="277" w:lineRule="auto"/>
        <w:rPr>
          <w:sz w:val="20"/>
          <w:szCs w:val="20"/>
          <w:color w:val="auto"/>
        </w:rPr>
      </w:pPr>
      <w:r>
        <w:rPr>
          <w:rFonts w:ascii="Times New Roman" w:cs="Times New Roman" w:eastAsia="Times New Roman" w:hAnsi="Times New Roman"/>
          <w:sz w:val="17"/>
          <w:szCs w:val="17"/>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is being used towards the design and construction of the tenant improvements made to the Premises, subject to the terms set forth in the Burlington Lease.</w:t>
      </w:r>
    </w:p>
    <w:p>
      <w:pPr>
        <w:spacing w:after="0" w:line="181"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condensed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 The Company has determined that certain improvements to the Premises are landlord-owned improvements and costs incurred for these improvements are accounted for as a variable lease payment. In the three months ended March 31, 2024, the Company recorded a right-of-use asset related to landlord-owned improvements incurred of approximately $1.8 million.</w:t>
      </w:r>
    </w:p>
    <w:p>
      <w:pPr>
        <w:spacing w:after="0" w:line="22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2024 and 2023, lease expense of less than $0.1 million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months ended March 31, 2024 and 2023</w:t>
      </w:r>
      <w:r>
        <w:rPr>
          <w:rFonts w:ascii="Times New Roman" w:cs="Times New Roman" w:eastAsia="Times New Roman" w:hAnsi="Times New Roman"/>
          <w:sz w:val="18"/>
          <w:szCs w:val="18"/>
          <w:color w:val="222222"/>
        </w:rPr>
        <w:t>, the Company recognized $3.2 million and $1.7 million, respectively, of operating lease expense. For the</w:t>
      </w:r>
      <w:r>
        <w:rPr>
          <w:rFonts w:ascii="Times New Roman" w:cs="Times New Roman" w:eastAsia="Times New Roman" w:hAnsi="Times New Roman"/>
          <w:sz w:val="18"/>
          <w:szCs w:val="18"/>
          <w:color w:val="auto"/>
        </w:rPr>
        <w:t xml:space="preserve"> three months ended March 31, 2023, </w:t>
      </w:r>
      <w:r>
        <w:rPr>
          <w:rFonts w:ascii="Times New Roman" w:cs="Times New Roman" w:eastAsia="Times New Roman" w:hAnsi="Times New Roman"/>
          <w:sz w:val="18"/>
          <w:szCs w:val="18"/>
          <w:color w:val="222222"/>
        </w:rPr>
        <w:t>the Company recognized less than</w:t>
      </w:r>
      <w:r>
        <w:rPr>
          <w:rFonts w:ascii="Times New Roman" w:cs="Times New Roman" w:eastAsia="Times New Roman" w:hAnsi="Times New Roman"/>
          <w:sz w:val="18"/>
          <w:szCs w:val="18"/>
          <w:color w:val="auto"/>
        </w:rPr>
        <w:t xml:space="preserve"> $0.1 million </w:t>
      </w:r>
      <w:r>
        <w:rPr>
          <w:rFonts w:ascii="Times New Roman" w:cs="Times New Roman" w:eastAsia="Times New Roman" w:hAnsi="Times New Roman"/>
          <w:sz w:val="18"/>
          <w:szCs w:val="18"/>
          <w:color w:val="222222"/>
        </w:rPr>
        <w:t>of financing lease expense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r>
      <w:tr>
        <w:trPr>
          <w:trHeight w:val="22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80" w:firstLine="24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all marketable securities held by the Company had remaining contractual maturities of three years or less. There have been no impairments of the Company’s assets measured and carried at fair value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2023 to March 31, 2024.</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33655</wp:posOffset>
            </wp:positionV>
            <wp:extent cx="2520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agency bonds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51"/>
        <w:spacing w:after="0" w:line="281"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$1.5 million of commercial paper and $21.3 million of U.S. government securities had an original maturity of 90 days or less and is recorded as a cash equivalent as of March 31, 2024. Approximately $23.9 million of U.S. government securities and $1.2 million of commercial paper had an original maturity of 90 days or less and is recorded as a cash equivalent as of December 31, 2023.</w:t>
      </w:r>
    </w:p>
    <w:p>
      <w:pPr>
        <w:spacing w:after="0" w:line="195"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Revolving Credit Agreement) and letters of credit exceeds the total Revolving Commitments (as defined in the Revolving Credit Agreement), the Company must prepay the Revolving Loans in an amount equal to such excess. As of March 31, 2024, there are no outstanding borrowings under the Revolving Credit Agreement.</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23"/>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granted service-based options to purchase common stock of 507,162 and 467,957, respectively. The weighted-average grant-date fair value of service-based options granted during the three months ended March 31, 2024 and 2023 was $28.21 and $18.00 per option,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granted 538,425 and 496,505 restricted stock units, respectively. The weighted-average grant-date fair value of restricted stock units granted during the three months ended March 31, 2024 and 2023 was $48.25 and $29.82 per unit,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0" w:type="dxa"/>
            <w:vAlign w:val="bottom"/>
          </w:tcPr>
          <w:p>
            <w:pPr>
              <w:spacing w:after="0"/>
              <w:rPr>
                <w:sz w:val="1"/>
                <w:szCs w:val="1"/>
                <w:color w:val="auto"/>
              </w:rPr>
            </w:pP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The FDA subsequently approved a BLA for the product on December 28, 2022. NexoBrid is a topically-administered biological orphan product, which contains proteolytic enzymes and is indicated for the removal of eschar in adults with deep partial-thickness and/or full thickness thermal burns.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March 31, 2024, the sales milestone payments are not yet probable and therefore, not recorded as a liability. The Company also will pay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Under the supply agreement, the Company is permitted to establish an alternate source of supply in certain circumstances, including the event of a supply failure.</w:t>
      </w:r>
    </w:p>
    <w:p>
      <w:pPr>
        <w:spacing w:after="0" w:line="2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As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 of BARDA’s commitment to procure NexoBrid, the Company has received a percentage of gross profit for sales directly to BARDA. As of March 31, 2024, the Company did not hold a direct contract or distribution agreement with BARDA, or take title to the product procured by 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adults with deep partial-thickness and/or full-thickness thermal burns.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condensed consolidated financial statements.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continue to monitor the ongoing conflict in Israel and are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and Epicel is a permanent skin replacement for the treatment of adult and pediatric patients with deep-dermal or full-thickness burns comprising greater than or equal to 30 percent TBSA. Both autologous cell therapy products are currently manufactured and marketed in the U.S. NexoBrid is a topically-administered biological orphan product containing proteolytic enzymes that is indicated for eschar removal in adults with deep partial-thickness and/or full-thickness burns. We hold exclusive license and supply agreements with MediWound to commercialize NexoBrid in North America. On December 28, 2022, the FDA approved a BLA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NexoBrid, granting a license for commercial use in the U.S. The Company operates its business primarily in the U.S. in one reportable segment — the research, product development, manufacture and distribution of cellular therapies and specialty biologics for use in the treatment of specific conditions.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each managed by a Regional Manager and led by a Senior Vice President of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MACI is currently implanted into the patient’s cartilage defect through an open surgical procedure. We are currently focused on the arthroscopic delivery of MACI to the cartilage defect – a procedure in which a surgeon can evaluate, prepare and treat the cartilage defect under direct arthroscopic visualization using specialized instruments delivered through a number of smaller incisions or portals. The arthroscopic delivery of MACI could increase the ease of MACI’s use for physicians and reduce both the length of the procedure as well as procedure-induced trauma, ultimately resulting in a reduction of a patient’s post-operative pain and accelerating a patient’s recovery. We have designed and are currently developing novel and specialized instruments to be used in and help facilitate such a procedure. We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which we conducted and completed during the third quarter of 2023. The FDA is currently reviewing the data generated during the human factors validation study in the form of a prior approval supplement, which seeks to add instructions for arthroscopic delivery of MACI to the product’s approved labeling. We anticipate the commercial launch of the MACI arthroscopic delivery program during the third quarter of 2024.</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expansion into the ankle will be a significant longer-term growth driver for the product, beginning in the latter half of the decade.</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Our burn care field force consists of individual sales and clinical representatives that regularly engage with our target audience. The team is divided into geographic regions, each managed by a Regional Manager and led by a Vice President of National Burn Care Sales.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portfolio of commercial-stage products now includes NexoBrid (anacaulase-bcdb), a topically-administered biological orphan product containing proteolytic enzymes. The FDA approved NexoBrid on December 28, 2022, and the product is indicated for the removal of eschar in adults with deep partial-thickness and/or full-thickness thermal burns.</w:t>
      </w:r>
    </w:p>
    <w:p>
      <w:pPr>
        <w:spacing w:after="0" w:line="20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March 31, 2024 and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40,181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34,190</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56.2 %</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51,281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41,017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March 31, 2024 compared to the same period in 2023, was driven primarily by MACI volume and price growth, Epicel volume growth and the commercial availability of NexoBrid.</w:t>
      </w:r>
    </w:p>
    <w:p>
      <w:pPr>
        <w:spacing w:after="0" w:line="187" w:lineRule="exact"/>
        <w:rPr>
          <w:sz w:val="20"/>
          <w:szCs w:val="20"/>
          <w:color w:val="auto"/>
        </w:rPr>
      </w:pPr>
    </w:p>
    <w:p>
      <w:pPr>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As a result of the uncertainty and other impacts of the COVID-19 pandemic and the resulting shifts of timing in some revenue,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observable seasonality of MACI revenues has been partially impacted. At this juncture,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pandemic’s effects on our business and results of operations have largely moderated, although there continues to be a level of uncertainty whether MACI seasonality will return to pre-pandemic patterns. In the last five years through 2023, MACI sales volumes from the first through the fourth quarter on average represented 20% (18%-22% range), 22% (16%-24% range), 23% (21%-26%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We are currently unable to predict the level to which seasonality will impact NexoBrid revenue due to only beginning U.S. commercial sales in the third quarter of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months ended March 31, 2024, compared to the same period in 2023, was driven by revenue growth from MACI, Epicel and NexoBrid, combined with our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months ended March 31, 2024 compared to the same period in 2023. The increase is primarily due to higher headcount and employee expenses, as well as increased MACI arthroscopic development program costs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2024 were $34.4 million, compared to $29.5 million for the same period in 2023. The increase in selling, general and administrative expenses was primarily due to higher headcount and employee expenses, as well as lease expense associated with the Burlington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change in other income for the three months ended March 31, 2024, compared to the same periods in 2023 was due to an increase in interest income primarily due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2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months ended March 31, 2024, compared to the same periods in 2023,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$70.7 million, short-term investments totaled $47.7 million and long-term investments totaled $29.4 million as of March 31, 2024. The $7.2 million of cash provided by operations during the three months ended March 31, 2024 was primarily the result of non-cash charges of $9.8 million related to stock-based compensation expense, $1.8 million of operating lease amortization and $1.4 million in depreciation and amortization expense, offset by a net loss of $3.9 million and a net decrease of $1.9 million related to movements in our working capital accounts. The overall increase in cash from our working capital accounts was primarily driven by a decrease in accounts receivable due to cash collections on the sales from the previous sequential quarter and receipts of tenant improvement allowances which exceeded payments on operating leases amortization, offset by a decrease in accounts payable and accrued expenses due to timing of payments.</w:t>
      </w:r>
    </w:p>
    <w:p>
      <w:pPr>
        <w:spacing w:after="0" w:line="202"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color w:val="auto"/>
        </w:rPr>
        <w:t>Our cash and cash equivalents totaled $61.8 million, short-term investments totaled $57.4 million and long-term investments totaled $19.9 million as of March 31, 2023. The $7.9 million of cash provided by operations during the three months ended March 31, 2023 was primarily the result of non-cash charges of $8.7 million related to stock-based compensation expense, $1.1 million of operating lease amortization and $1.2 million in depreciation and amortization expense, offset by a net loss of $7.5 million and a net increase of $4.6 million related to movements in our working capital accounts. The overall increase in cash from our working capital accounts was primarily driven by a decrease in accounts receivable due to cash collections on the sales from the previous sequential quarter, offset by a decrease in accounts payable and accrued expenses due to timing of payments.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the result of $22.6 million in investment purchases and $14.0 million of property and equipment purchases primarily for construction in process related to the Burlington Lease, offset by $11.1 million of investment sales and maturities.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2023 was the result of $21.5 million of investment sales and securities, offset by $9.8 million in investment purchases, a $7.5 million regulatory milestone payment to MediWound resulting from the FDA’s approval of the NexoBrid BLA, and $1.4 million of property and equipment purchases primarily for manufacturing upgrades and construction in process related to the Burlington 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right="500"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2024 was the result of net proceeds from the exercise of stock options and the employee stock purchase plan of $7.0 million, partially offset by the payment of employee withholding taxes related to the vesting of restricted stock units of $4.9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2023 was the result of net proceeds from the exercise of stock options and purchases under the employee stock purchase plan of $2.2 million, partially offset by the payment of employee withholding taxes related to the vesting of restricted stock units of $2.1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We may finance our operations through the sales of equity securities, revolver borrowings or other debt financings, in addition to cash generated from operations.</w:t>
      </w:r>
    </w:p>
    <w:p>
      <w:pPr>
        <w:spacing w:after="0" w:line="22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August 27, 2021, we entered into a Sales Agreement with Leerink Partners (f/k/a SVB Leerink LLC), as sales agent (the “Sales Agreement”),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Leerink Partners is not required to sell any specific number or dollar amount of the ATM Shares under the Sales Agreement. As of March 31, 2024, we have sold no shares pursuant to the Sales Agreement.</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w:t>
      </w:r>
      <w:r>
        <w:rPr>
          <w:rFonts w:ascii="Times New Roman" w:cs="Times New Roman" w:eastAsia="Times New Roman" w:hAnsi="Times New Roman"/>
          <w:sz w:val="18"/>
          <w:szCs w:val="18"/>
          <w:color w:val="000000"/>
        </w:rPr>
        <w:t>As of March 31, 2024,</w:t>
      </w:r>
      <w:r>
        <w:rPr>
          <w:rFonts w:ascii="Times New Roman" w:cs="Times New Roman" w:eastAsia="Times New Roman" w:hAnsi="Times New Roman"/>
          <w:sz w:val="18"/>
          <w:szCs w:val="18"/>
          <w:color w:val="222222"/>
        </w:rPr>
        <w:t xml:space="preserve">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43" w:lineRule="exact"/>
        <w:rPr>
          <w:sz w:val="20"/>
          <w:szCs w:val="20"/>
          <w:color w:val="auto"/>
        </w:rPr>
      </w:pPr>
    </w:p>
    <w:p>
      <w:pPr>
        <w:jc w:val="both"/>
        <w:ind w:firstLine="243"/>
        <w:spacing w:after="0" w:line="239"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2023. In connection with the Burlington Lease, the Company funded the remaining 50% of its required cost amount, or approximately $28.3 million, with cash on hand, pursuant to the Construction Escrow Agreement in April 2024. There have been no other material changes, outside of the ordinary course of business, to our contractual obligations and commitments since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2024. For further information, refer to our summary of significant accounting policies and estimates in our Annual Report on Form 10-K filed for the year ended December 31,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physician and burn center adoption of NexoBrid, supply chain disruptions or other events or factors affecting MediWound’s ability to manufacture and supply sufficient quantities of NexoBrid to meet customer demand, including but not limited to the ongoing Israel-Hamas war, negative impacts on the global economy and capital markets resulting from the conflict in Ukraine and the Israel-Hamas war, adverse developments affecting financial institutions, companies in the financial services industry or the financial services industry generally, global geopolitical tensions or record inflation and potential future impacts on our business or the economy generally stemming from a resurgence of COVID-19 or another similar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2023. Our exposures to market risk have not changed materially since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2024,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2023 filed with the SEC on February 29, 2024.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2024, the following Section 16 officers and directors adopted, modified or terminated a “Rule 10b5-1 trading arrangement” (as defined in Item 408 of Regulation S-K of the Exchange Act):</w:t>
      </w:r>
    </w:p>
    <w:p>
      <w:pPr>
        <w:spacing w:after="0" w:line="189" w:lineRule="exact"/>
        <w:rPr>
          <w:sz w:val="20"/>
          <w:szCs w:val="20"/>
          <w:color w:val="auto"/>
        </w:rPr>
      </w:pPr>
    </w:p>
    <w:p>
      <w:pPr>
        <w:ind w:left="660" w:hanging="85"/>
        <w:spacing w:after="0" w:line="282" w:lineRule="auto"/>
        <w:tabs>
          <w:tab w:leader="none" w:pos="7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2024, Kevin McLaughlin, a member of the Vericel Corporation Board of Directors, entered into a Rule 10b5-1 trading arrangement providing for the potential sale of up to 35,000 shares of our common stock between August 7, 2024, and August 8, 2025;</w:t>
      </w:r>
    </w:p>
    <w:p>
      <w:pPr>
        <w:spacing w:after="0" w:line="188" w:lineRule="exact"/>
        <w:rPr>
          <w:rFonts w:ascii="Times New Roman" w:cs="Times New Roman" w:eastAsia="Times New Roman" w:hAnsi="Times New Roman"/>
          <w:sz w:val="18"/>
          <w:szCs w:val="18"/>
          <w:color w:val="auto"/>
        </w:rPr>
      </w:pPr>
    </w:p>
    <w:p>
      <w:pPr>
        <w:ind w:left="660" w:hanging="85"/>
        <w:spacing w:after="0" w:line="282" w:lineRule="auto"/>
        <w:tabs>
          <w:tab w:leader="none" w:pos="7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2024, Robert Zerbe, Chairman of the Vericel Corporation Board of Directors, entered into a Rule 10b5-1 trading arrangement providing for the potential sale of up to 17,500 shares of our common stock between September 3, 2024, and August 29, 2025;</w:t>
      </w:r>
    </w:p>
    <w:p>
      <w:pPr>
        <w:spacing w:after="0" w:line="188" w:lineRule="exact"/>
        <w:rPr>
          <w:rFonts w:ascii="Times New Roman" w:cs="Times New Roman" w:eastAsia="Times New Roman" w:hAnsi="Times New Roman"/>
          <w:sz w:val="18"/>
          <w:szCs w:val="18"/>
          <w:color w:val="auto"/>
        </w:rPr>
      </w:pPr>
    </w:p>
    <w:p>
      <w:pPr>
        <w:ind w:left="660" w:hanging="85"/>
        <w:spacing w:after="0" w:line="282" w:lineRule="auto"/>
        <w:tabs>
          <w:tab w:leader="none" w:pos="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2024, Sean Flynn, Vericel Corporation’s Chief Legal Officer, entered into a Rule 10b5-1 trading arrangement providing for the potential sale of up to 40,075 shares of our common stock between June 13, 2024 and May 30, 2025;</w:t>
      </w:r>
    </w:p>
    <w:p>
      <w:pPr>
        <w:spacing w:after="0" w:line="229" w:lineRule="exact"/>
        <w:rPr>
          <w:rFonts w:ascii="Times New Roman" w:cs="Times New Roman" w:eastAsia="Times New Roman" w:hAnsi="Times New Roman"/>
          <w:sz w:val="18"/>
          <w:szCs w:val="18"/>
          <w:color w:val="auto"/>
        </w:rPr>
      </w:pPr>
    </w:p>
    <w:p>
      <w:pPr>
        <w:ind w:left="660" w:hanging="85"/>
        <w:spacing w:after="0" w:line="234" w:lineRule="auto"/>
        <w:tabs>
          <w:tab w:leader="none" w:pos="71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March 13, 2024, Jonathan Siegal, Vericel Corporation’s Principal Accounting Officer, entered into a 10b5-1 Plan providing for the potential sale of up to 42,577 shares of our common stock between June 13, 2024 and February 28, 2025; and</w:t>
      </w:r>
    </w:p>
    <w:p>
      <w:pPr>
        <w:spacing w:after="0" w:line="226" w:lineRule="exact"/>
        <w:rPr>
          <w:rFonts w:ascii="Times New Roman" w:cs="Times New Roman" w:eastAsia="Times New Roman" w:hAnsi="Times New Roman"/>
          <w:sz w:val="22"/>
          <w:szCs w:val="22"/>
          <w:color w:val="auto"/>
        </w:rPr>
      </w:pPr>
    </w:p>
    <w:p>
      <w:pPr>
        <w:ind w:left="660" w:right="20" w:hanging="85"/>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2024, Joseph Mara, Vericel Corporation’s Chief Financial Officer, entered into a Rule 10b5-1 trading arrangement providing for the potential sale of up to 5,000 shares of our common stock between June 13, 2024 and May 30, 2025.</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March 31, 2024 by our directors and section 16 officers. Each of the Rule 10b5-1 trading arrangements are in accordance with our Statement of Company Policy on Insider Trading and Disclosure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are filed as a part of this Quarterly Report on Form 10-Q.</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 w:type="dxa"/>
            <w:vAlign w:val="bottom"/>
          </w:tcPr>
          <w:p>
            <w:pPr>
              <w:spacing w:after="0"/>
              <w:rPr>
                <w:sz w:val="2"/>
                <w:szCs w:val="2"/>
                <w:color w:val="auto"/>
              </w:rPr>
            </w:pPr>
          </w:p>
        </w:tc>
        <w:tc>
          <w:tcPr>
            <w:tcW w:w="4220" w:type="dxa"/>
            <w:vAlign w:val="bottom"/>
            <w:gridSpan w:val="15"/>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220" w:type="dxa"/>
            <w:vAlign w:val="bottom"/>
            <w:gridSpan w:val="15"/>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jc w:val="right"/>
              <w:ind w:right="432"/>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right w:val="single" w:sz="8" w:color="CCEEFF"/>
            </w:tcBorders>
            <w:shd w:val="clear" w:color="auto" w:fill="CCEEFF"/>
          </w:tcPr>
          <w:p>
            <w:pPr>
              <w:spacing w:after="0"/>
              <w:rPr>
                <w:sz w:val="19"/>
                <w:szCs w:val="19"/>
                <w:color w:val="auto"/>
              </w:rPr>
            </w:pPr>
          </w:p>
        </w:tc>
        <w:tc>
          <w:tcPr>
            <w:tcW w:w="46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680" w:type="dxa"/>
            <w:vAlign w:val="bottom"/>
            <w:tcBorders>
              <w:top w:val="single" w:sz="8" w:color="0000FF"/>
            </w:tcBorders>
            <w:gridSpan w:val="7"/>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Restated Articles of</w:t>
              </w:r>
            </w:hyperlink>
          </w:p>
        </w:tc>
        <w:tc>
          <w:tcPr>
            <w:tcW w:w="940" w:type="dxa"/>
            <w:vAlign w:val="bottom"/>
            <w:tcBorders>
              <w:top w:val="single" w:sz="8" w:color="CCEEFF"/>
            </w:tcBorders>
            <w:gridSpan w:val="9"/>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jc w:val="right"/>
              <w:ind w:right="432"/>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6"/>
          </w:tcPr>
          <w:p>
            <w:pPr>
              <w:jc w:val="right"/>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vMerge w:val="restart"/>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540" w:type="dxa"/>
            <w:vAlign w:val="bottom"/>
            <w:tcBorders>
              <w:bottom w:val="single" w:sz="8" w:color="0000FF"/>
            </w:tcBorders>
            <w:gridSpan w:val="5"/>
            <w:shd w:val="clear" w:color="auto" w:fill="CCEEFF"/>
          </w:tcPr>
          <w:p>
            <w:pPr>
              <w:spacing w:after="0" w:line="18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tcBorders>
              <w:bottom w:val="single" w:sz="8" w:color="CCEEFF"/>
            </w:tcBorders>
            <w:gridSpan w:val="11"/>
            <w:shd w:val="clear" w:color="auto" w:fill="CCEEFF"/>
          </w:tcPr>
          <w:p>
            <w:pPr>
              <w:spacing w:after="0"/>
              <w:rPr>
                <w:sz w:val="16"/>
                <w:szCs w:val="16"/>
                <w:color w:val="auto"/>
              </w:rPr>
            </w:pPr>
          </w:p>
        </w:tc>
        <w:tc>
          <w:tcPr>
            <w:tcW w:w="120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90"/>
        </w:trPr>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840" w:type="dxa"/>
            <w:vAlign w:val="bottom"/>
            <w:tcBorders>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Incorporation of the Company dated March 22, 2011.</w:t>
              </w:r>
            </w:hyperlink>
          </w:p>
        </w:tc>
        <w:tc>
          <w:tcPr>
            <w:tcW w:w="780" w:type="dxa"/>
            <w:vAlign w:val="bottom"/>
            <w:tcBorders>
              <w:bottom w:val="single" w:sz="8" w:color="CCEEFF"/>
            </w:tcBorders>
            <w:gridSpan w:val="6"/>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20" w:type="dxa"/>
            <w:vAlign w:val="bottom"/>
            <w:gridSpan w:val="16"/>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1240" w:type="dxa"/>
            <w:vAlign w:val="bottom"/>
          </w:tcPr>
          <w:p>
            <w:pPr>
              <w:jc w:val="right"/>
              <w:ind w:right="432"/>
              <w:spacing w:after="0" w:line="15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Incorporation of the Company, dated November 21,</w:t>
              </w:r>
            </w:hyperlink>
          </w:p>
        </w:tc>
        <w:tc>
          <w:tcPr>
            <w:tcW w:w="36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2014.</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jc w:val="right"/>
              <w:ind w:right="432"/>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0" w:type="dxa"/>
            <w:vAlign w:val="bottom"/>
            <w:tcBorders>
              <w:bottom w:val="single" w:sz="8" w:color="0000FF"/>
            </w:tcBorders>
            <w:gridSpan w:val="3"/>
            <w:shd w:val="clear" w:color="auto" w:fill="CCEEFF"/>
          </w:tcPr>
          <w:p>
            <w:pPr>
              <w:spacing w:after="0" w:line="202"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Amended and restated bylaws.</w:t>
              </w:r>
            </w:hyperlink>
          </w:p>
        </w:tc>
        <w:tc>
          <w:tcPr>
            <w:tcW w:w="2420" w:type="dxa"/>
            <w:vAlign w:val="bottom"/>
            <w:tcBorders>
              <w:bottom w:val="single" w:sz="8" w:color="CCEEFF"/>
            </w:tcBorders>
            <w:gridSpan w:val="13"/>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189"/>
        </w:trPr>
        <w:tc>
          <w:tcPr>
            <w:tcW w:w="1240" w:type="dxa"/>
            <w:vAlign w:val="bottom"/>
          </w:tcPr>
          <w:p>
            <w:pPr>
              <w:jc w:val="right"/>
              <w:ind w:right="432"/>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6"/>
                <w:szCs w:val="16"/>
                <w:color w:val="auto"/>
              </w:rPr>
            </w:pPr>
          </w:p>
        </w:tc>
        <w:tc>
          <w:tcPr>
            <w:tcW w:w="4620" w:type="dxa"/>
            <w:vAlign w:val="bottom"/>
            <w:gridSpan w:val="16"/>
          </w:tcPr>
          <w:p>
            <w:pPr>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right w:val="single" w:sz="8" w:color="CCEEFF"/>
            </w:tcBorders>
            <w:shd w:val="clear" w:color="auto" w:fill="CCEEFF"/>
          </w:tcPr>
          <w:p>
            <w:pPr>
              <w:spacing w:after="0"/>
              <w:rPr>
                <w:sz w:val="16"/>
                <w:szCs w:val="16"/>
                <w:color w:val="auto"/>
              </w:rPr>
            </w:pPr>
          </w:p>
        </w:tc>
        <w:tc>
          <w:tcPr>
            <w:tcW w:w="46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vMerge w:val="continue"/>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720" w:type="dxa"/>
            <w:vAlign w:val="bottom"/>
            <w:tcBorders>
              <w:top w:val="single" w:sz="8" w:color="0000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0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6"/>
                <w:szCs w:val="16"/>
                <w:color w:val="auto"/>
              </w:rPr>
            </w:pPr>
          </w:p>
        </w:tc>
        <w:tc>
          <w:tcPr>
            <w:tcW w:w="46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20" w:type="dxa"/>
            <w:vAlign w:val="bottom"/>
            <w:tcBorders>
              <w:top w:val="single" w:sz="8" w:color="0000FF"/>
            </w:tcBorders>
            <w:gridSpan w:val="2"/>
          </w:tcPr>
          <w:p>
            <w:pPr>
              <w:spacing w:after="0"/>
              <w:rPr>
                <w:sz w:val="13"/>
                <w:szCs w:val="13"/>
                <w:color w:val="auto"/>
              </w:rPr>
            </w:pPr>
          </w:p>
        </w:tc>
        <w:tc>
          <w:tcPr>
            <w:tcW w:w="66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right w:val="single" w:sz="8" w:color="CCEEFF"/>
            </w:tcBorders>
            <w:shd w:val="clear" w:color="auto" w:fill="CCEEFF"/>
          </w:tcPr>
          <w:p>
            <w:pPr>
              <w:spacing w:after="0"/>
              <w:rPr>
                <w:sz w:val="13"/>
                <w:szCs w:val="13"/>
                <w:color w:val="auto"/>
              </w:rPr>
            </w:pPr>
          </w:p>
        </w:tc>
        <w:tc>
          <w:tcPr>
            <w:tcW w:w="4620" w:type="dxa"/>
            <w:vAlign w:val="bottom"/>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Section 906 of the Sarbanes-Oxley Act of</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vMerge w:val="continue"/>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08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2002.</w:t>
            </w:r>
          </w:p>
        </w:tc>
        <w:tc>
          <w:tcPr>
            <w:tcW w:w="120" w:type="dxa"/>
            <w:vAlign w:val="bottom"/>
            <w:tcBorders>
              <w:top w:val="single" w:sz="8" w:color="0000FF"/>
            </w:tcBorders>
            <w:shd w:val="clear" w:color="auto" w:fill="CCEEFF"/>
          </w:tcPr>
          <w:p>
            <w:pPr>
              <w:spacing w:after="0"/>
              <w:rPr>
                <w:sz w:val="14"/>
                <w:szCs w:val="14"/>
                <w:color w:val="auto"/>
              </w:rPr>
            </w:pPr>
          </w:p>
        </w:tc>
        <w:tc>
          <w:tcPr>
            <w:tcW w:w="12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101.CAL*</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101.LAB*</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for</w:t>
      </w:r>
    </w:p>
    <w:p>
      <w:pPr>
        <w:spacing w:after="0" w:line="232" w:lineRule="auto"/>
        <w:rPr>
          <w:sz w:val="20"/>
          <w:szCs w:val="20"/>
          <w:color w:val="auto"/>
        </w:rPr>
      </w:pPr>
      <w:r>
        <w:rPr>
          <w:rFonts w:ascii="Times New Roman" w:cs="Times New Roman" w:eastAsia="Times New Roman" w:hAnsi="Times New Roman"/>
          <w:sz w:val="17"/>
          <w:szCs w:val="17"/>
          <w:u w:val="single" w:color="auto"/>
          <w:color w:val="0000FF"/>
        </w:rPr>
        <w:t>Employees under the 2022 Omnibus Plan, amended February</w:t>
      </w:r>
    </w:p>
    <w:p>
      <w:pPr>
        <w:spacing w:after="0"/>
        <w:rPr>
          <w:sz w:val="20"/>
          <w:szCs w:val="20"/>
          <w:color w:val="auto"/>
        </w:rPr>
      </w:pPr>
      <w:r>
        <w:rPr>
          <w:rFonts w:ascii="Times New Roman" w:cs="Times New Roman" w:eastAsia="Times New Roman" w:hAnsi="Times New Roman"/>
          <w:sz w:val="18"/>
          <w:szCs w:val="18"/>
          <w:u w:val="single" w:color="auto"/>
          <w:color w:val="0000FF"/>
        </w:rPr>
        <w:t>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4445</wp:posOffset>
            </wp:positionV>
            <wp:extent cx="699516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14605</wp:posOffset>
            </wp:positionV>
            <wp:extent cx="6995160" cy="26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-120650</wp:posOffset>
            </wp:positionV>
            <wp:extent cx="699516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-120650</wp:posOffset>
            </wp:positionV>
            <wp:extent cx="699516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120" w:space="400"/>
            <w:col w:w="9620"/>
          </w:cols>
          <w:pgMar w:left="320" w:top="117" w:right="439" w:bottom="1440" w:gutter="0" w:footer="0" w:header="0"/>
          <w:type w:val="continuous"/>
        </w:sectPr>
      </w:pPr>
    </w:p>
    <w:p>
      <w:pPr>
        <w:spacing w:after="0" w:line="212" w:lineRule="exact"/>
        <w:rPr>
          <w:sz w:val="20"/>
          <w:szCs w:val="20"/>
          <w:color w:val="auto"/>
        </w:rPr>
      </w:pPr>
    </w:p>
    <w:p>
      <w:pPr>
        <w:ind w:right="3840" w:firstLine="8"/>
        <w:spacing w:after="0" w:line="298" w:lineRule="auto"/>
        <w:tabs>
          <w:tab w:leader="none" w:pos="12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covering executive officers or directors of Vericel. * Filed herewith.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320" w:top="117" w:right="10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Vericel Corporation 2022 Omnibus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 Agreement for Company Employees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 [[FIRSTNAME]] [[LASTNAME]]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 [[SHARESGRANTED]]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 [[GRANTDATE]]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Start Date: [[VESTINGSTARTDATE]]</w:t>
      </w:r>
    </w:p>
    <w:p>
      <w:pPr>
        <w:spacing w:after="0" w:line="220"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Pursuant to the Vericel Corporation 2022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207" w:lineRule="exact"/>
        <w:rPr>
          <w:sz w:val="20"/>
          <w:szCs w:val="20"/>
          <w:color w:val="auto"/>
        </w:rPr>
      </w:pPr>
    </w:p>
    <w:p>
      <w:pPr>
        <w:ind w:right="180" w:firstLine="8"/>
        <w:spacing w:after="0" w:line="255" w:lineRule="auto"/>
        <w:tabs>
          <w:tab w:leader="none" w:pos="64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 of Award</w:t>
      </w:r>
      <w:r>
        <w:rPr>
          <w:rFonts w:ascii="Times New Roman" w:cs="Times New Roman" w:eastAsia="Times New Roman" w:hAnsi="Times New Roman"/>
          <w:sz w:val="21"/>
          <w:szCs w:val="21"/>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Paragraph 2 of this Agreement and (ii) Shares have been issued to the Participant in accordance with the terms of the Plan and this Agreement.</w:t>
      </w:r>
    </w:p>
    <w:p>
      <w:pPr>
        <w:spacing w:after="0" w:line="188" w:lineRule="exact"/>
        <w:rPr>
          <w:rFonts w:ascii="Times New Roman" w:cs="Times New Roman" w:eastAsia="Times New Roman" w:hAnsi="Times New Roman"/>
          <w:sz w:val="21"/>
          <w:szCs w:val="21"/>
          <w:color w:val="auto"/>
        </w:rPr>
      </w:pPr>
    </w:p>
    <w:p>
      <w:pPr>
        <w:ind w:right="120" w:firstLine="8"/>
        <w:spacing w:after="0" w:line="250" w:lineRule="auto"/>
        <w:tabs>
          <w:tab w:leader="none" w:pos="64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Stock Units</w:t>
      </w:r>
      <w:r>
        <w:rPr>
          <w:rFonts w:ascii="Times New Roman" w:cs="Times New Roman" w:eastAsia="Times New Roman" w:hAnsi="Times New Roman"/>
          <w:sz w:val="21"/>
          <w:szCs w:val="21"/>
          <w:color w:val="auto"/>
        </w:rPr>
        <w:t>. The restrictions and conditions of Paragraph 1 of this Agreement shall lapse as to 25% of the number of Restricted Stock Units on each of the first four anniversaries of the Vesting Start Date (each such date, a “Vesting Date”), provided that the Participant remains an employee of the Company or an Affiliate on the relevant Vesting Date. Subject to the terms of the Plan, the Committee may at any time accelerate the vesting schedule specified in this Paragraph 2.</w:t>
      </w:r>
    </w:p>
    <w:p>
      <w:pPr>
        <w:spacing w:after="0" w:line="195" w:lineRule="exact"/>
        <w:rPr>
          <w:rFonts w:ascii="Times New Roman" w:cs="Times New Roman" w:eastAsia="Times New Roman" w:hAnsi="Times New Roman"/>
          <w:sz w:val="21"/>
          <w:szCs w:val="21"/>
          <w:color w:val="auto"/>
        </w:rPr>
      </w:pPr>
    </w:p>
    <w:p>
      <w:pPr>
        <w:ind w:right="160" w:firstLine="8"/>
        <w:spacing w:after="0" w:line="236"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Subject to the discretion of the Committee to permit continued vesting of the Restricted Stock Units, if the Participant’s employment with the Company and its Affiliates terminates for any reason other than the Participant’s death, Disability or Retirement (as defined below),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w:t>
      </w:r>
    </w:p>
    <w:p>
      <w:pPr>
        <w:spacing w:after="0" w:line="204" w:lineRule="exact"/>
        <w:rPr>
          <w:rFonts w:ascii="Times New Roman" w:cs="Times New Roman" w:eastAsia="Times New Roman" w:hAnsi="Times New Roman"/>
          <w:sz w:val="22"/>
          <w:szCs w:val="22"/>
          <w:color w:val="auto"/>
        </w:rPr>
      </w:pPr>
    </w:p>
    <w:p>
      <w:pPr>
        <w:ind w:right="340" w:firstLine="1304"/>
        <w:spacing w:after="0" w:line="268" w:lineRule="exact"/>
        <w:tabs>
          <w:tab w:leader="none" w:pos="159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Upon termination of the Participant’s employment due to the Participant’s death or Disability, the restrictions and conditions of Paragraph 1 of this Agreement shall lapse as to 100% of the number of Restricted Stock Units. For purposes of this Award, “Disability” shall have the meaning set forth in Treas. Reg.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3(i)(4).</w:t>
      </w:r>
    </w:p>
    <w:p>
      <w:pPr>
        <w:spacing w:after="0" w:line="155" w:lineRule="exact"/>
        <w:rPr>
          <w:rFonts w:ascii="Times New Roman" w:cs="Times New Roman" w:eastAsia="Times New Roman" w:hAnsi="Times New Roman"/>
          <w:sz w:val="21"/>
          <w:szCs w:val="21"/>
          <w:color w:val="auto"/>
        </w:rPr>
      </w:pPr>
    </w:p>
    <w:p>
      <w:pPr>
        <w:ind w:right="780" w:firstLine="1304"/>
        <w:spacing w:after="0" w:line="262" w:lineRule="auto"/>
        <w:tabs>
          <w:tab w:leader="none" w:pos="160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Upon termination of the Participant’s employment due to the Participant’s Retirement, the restrictions and conditions of Paragraph 1 of this Agreement shall</w:t>
      </w:r>
    </w:p>
    <w:p>
      <w:pPr>
        <w:sectPr>
          <w:pgSz w:w="11900" w:h="16838" w:orient="portrait"/>
          <w:cols w:equalWidth="0" w:num="1">
            <w:col w:w="11240"/>
          </w:cols>
          <w:pgMar w:left="320" w:top="6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48"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lapse as to 25% of the number of Restricted Stock Units, only to the extent that such restrictions and conditions have not 100% lapsed as of the Participant’s Retirement date. For purposes of this Award, “Retirement” shall mean the Participant’s voluntary termination of employment with the Company and its Affiliates after attainment of age 59, with at least ten (10) years of employment with or service to the Company and its Affiliates, and after having provided the Company with notice of the Participant’s intention to retire at least 90 days prior to the last day of employment.</w:t>
      </w:r>
    </w:p>
    <w:p>
      <w:pPr>
        <w:spacing w:after="0" w:line="217" w:lineRule="exact"/>
        <w:rPr>
          <w:sz w:val="20"/>
          <w:szCs w:val="20"/>
          <w:color w:val="auto"/>
        </w:rPr>
      </w:pPr>
    </w:p>
    <w:p>
      <w:pPr>
        <w:ind w:right="120" w:firstLine="8"/>
        <w:spacing w:after="0" w:line="248" w:lineRule="auto"/>
        <w:tabs>
          <w:tab w:leader="none" w:pos="64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each Vesting Date, or vesting event pursuant to Paragraphs 3(a) or 3(b), as applicable (but in no event later than two and one-half months after the end of the year in which the Vesting Date or vesting event occurs), the Company shall issue to the Participant the number of Shares equal to the aggregate number of Restricted Stock Units that have vested pursuant to Paragraphs 2 and 3 of this Agreement on such date and the Participant shall thereafter have all the rights of a stockholder of the Company with respect to such Shares. Notwithstanding the foregoing, Restricted Stock Units subject to Section 409A that are to be made upon a “separation from service” as defined under Section 409A of the Code to the Participant pursuant to Paragraphs 3(a) and 3(b) on any date when Participant is a “specified employee” as defined under Section 409A of the Code shall not be paid before the date that is six (6) months following Participant’s “separation from service” or, if earlier, Participant’s death, to the extent required by Section 409A.</w:t>
      </w:r>
    </w:p>
    <w:p>
      <w:pPr>
        <w:spacing w:after="0" w:line="21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34" w:lineRule="auto"/>
        <w:tabs>
          <w:tab w:leader="none" w:pos="193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Award</w:t>
      </w:r>
      <w:r>
        <w:rPr>
          <w:rFonts w:ascii="Times New Roman" w:cs="Times New Roman" w:eastAsia="Times New Roman" w:hAnsi="Times New Roman"/>
          <w:sz w:val="22"/>
          <w:szCs w:val="22"/>
          <w:color w:val="auto"/>
        </w:rPr>
        <w:t>. In the event of a Change in Control, to the extent the successor company (or a subsidiary or parent thereof) does not assume or substitute for the Award on substantially the same terms and conditions, the Award shall (i) vest and become nonforfeitable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Award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Award shall become fully vested and nonforfeitable on the date the Participant’s employment is terminated.</w:t>
      </w:r>
    </w:p>
    <w:p>
      <w:pPr>
        <w:spacing w:after="0" w:line="192" w:lineRule="exact"/>
        <w:rPr>
          <w:rFonts w:ascii="Times New Roman" w:cs="Times New Roman" w:eastAsia="Times New Roman" w:hAnsi="Times New Roman"/>
          <w:sz w:val="22"/>
          <w:szCs w:val="22"/>
          <w:color w:val="auto"/>
        </w:rPr>
      </w:pPr>
    </w:p>
    <w:p>
      <w:pPr>
        <w:ind w:right="60" w:firstLine="1304"/>
        <w:spacing w:after="0" w:line="235"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except as otherwise provided in Paragraph 5(d),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w:t>
      </w:r>
    </w:p>
    <w:p>
      <w:pPr>
        <w:sectPr>
          <w:pgSz w:w="11900" w:h="16838" w:orient="portrait"/>
          <w:cols w:equalWidth="0" w:num="1">
            <w:col w:w="11240"/>
          </w:cols>
          <w:pgMar w:left="320" w:top="6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48"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engaged in such other behavior materially detrimental to the interests of the Company, in each case as the Committee determines. The Committee’s determination of the reason for termination of the Participant’s employment shall be conclusive and binding on the Participant and his or her representatives or legatees.</w:t>
      </w:r>
    </w:p>
    <w:p>
      <w:pPr>
        <w:spacing w:after="0" w:line="200" w:lineRule="exact"/>
        <w:rPr>
          <w:sz w:val="20"/>
          <w:szCs w:val="20"/>
          <w:color w:val="auto"/>
        </w:rPr>
      </w:pPr>
    </w:p>
    <w:p>
      <w:pPr>
        <w:ind w:firstLine="1304"/>
        <w:spacing w:after="0" w:line="232" w:lineRule="auto"/>
        <w:tabs>
          <w:tab w:leader="none" w:pos="193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purposes of this Agreement, except as otherwise provided in Paragraph 5(d),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 provided the Participant provides at least ninety (90) days’ notice to the Company following the initial occurrence of any such event and the Company fails to cure such event within thirty (30) days thereafter.</w:t>
      </w:r>
    </w:p>
    <w:p>
      <w:pPr>
        <w:spacing w:after="0" w:line="194" w:lineRule="exact"/>
        <w:rPr>
          <w:rFonts w:ascii="Times New Roman" w:cs="Times New Roman" w:eastAsia="Times New Roman" w:hAnsi="Times New Roman"/>
          <w:sz w:val="22"/>
          <w:szCs w:val="22"/>
          <w:color w:val="auto"/>
        </w:rPr>
      </w:pPr>
    </w:p>
    <w:p>
      <w:pPr>
        <w:ind w:right="60" w:firstLine="1304"/>
        <w:spacing w:after="0" w:line="239" w:lineRule="auto"/>
        <w:tabs>
          <w:tab w:leader="none" w:pos="19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 or Plan</w:t>
      </w:r>
      <w:r>
        <w:rPr>
          <w:rFonts w:ascii="Times New Roman" w:cs="Times New Roman" w:eastAsia="Times New Roman" w:hAnsi="Times New Roman"/>
          <w:sz w:val="22"/>
          <w:szCs w:val="22"/>
          <w:color w:val="auto"/>
        </w:rPr>
        <w:t>. The provisions of this Paragraph 5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20"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195" w:lineRule="exact"/>
        <w:rPr>
          <w:rFonts w:ascii="Times New Roman" w:cs="Times New Roman" w:eastAsia="Times New Roman" w:hAnsi="Times New Roman"/>
          <w:sz w:val="21"/>
          <w:szCs w:val="21"/>
          <w:color w:val="auto"/>
        </w:rPr>
      </w:pPr>
    </w:p>
    <w:p>
      <w:pPr>
        <w:ind w:right="40" w:firstLine="8"/>
        <w:spacing w:after="0" w:line="251" w:lineRule="auto"/>
        <w:tabs>
          <w:tab w:leader="none" w:pos="64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Participant shall, not later than the date as of which the receipt of this Award becomes a taxable event for Federal income tax purposes, pay to the Company or make arrangements satisfactory to the Committee for payment of any Federal, state, and local taxes required by law to be withheld on account of such taxable event. Unless otherwise determined by the Committee, the Company shall cause the required tax withholding obligation to be satisfied by withholding from Shares to be issued to the Participant a number of Shares with an aggregate Fair Market Value that would satisfy the withholding amount due.</w:t>
      </w:r>
    </w:p>
    <w:p>
      <w:pPr>
        <w:spacing w:after="0" w:line="208" w:lineRule="exact"/>
        <w:rPr>
          <w:rFonts w:ascii="Times New Roman" w:cs="Times New Roman" w:eastAsia="Times New Roman" w:hAnsi="Times New Roman"/>
          <w:sz w:val="22"/>
          <w:szCs w:val="22"/>
          <w:color w:val="auto"/>
        </w:rPr>
      </w:pPr>
    </w:p>
    <w:p>
      <w:pPr>
        <w:ind w:right="200" w:firstLine="8"/>
        <w:spacing w:after="0" w:line="271" w:lineRule="auto"/>
        <w:tabs>
          <w:tab w:leader="none" w:pos="64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is intended to comply with Section 409A of the Code or be exempt from the requirements of Section 409A of the Code as a “short-term</w:t>
      </w:r>
    </w:p>
    <w:p>
      <w:pPr>
        <w:sectPr>
          <w:pgSz w:w="11900" w:h="16838" w:orient="portrait"/>
          <w:cols w:equalWidth="0" w:num="1">
            <w:col w:w="11240"/>
          </w:cols>
          <w:pgMar w:left="320" w:top="60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6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deferral” as described in Section 409A and shall be interpreted in such a manner that all provisions relating to the settlement of the Award are consistent with such intent.</w:t>
      </w:r>
    </w:p>
    <w:p>
      <w:pPr>
        <w:spacing w:after="0" w:line="185" w:lineRule="exact"/>
        <w:rPr>
          <w:sz w:val="20"/>
          <w:szCs w:val="20"/>
          <w:color w:val="auto"/>
        </w:rPr>
      </w:pPr>
    </w:p>
    <w:p>
      <w:pPr>
        <w:jc w:val="both"/>
        <w:ind w:right="80" w:firstLine="8"/>
        <w:spacing w:after="0" w:line="256"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203" w:lineRule="exact"/>
        <w:rPr>
          <w:rFonts w:ascii="Times New Roman" w:cs="Times New Roman" w:eastAsia="Times New Roman" w:hAnsi="Times New Roman"/>
          <w:sz w:val="22"/>
          <w:szCs w:val="22"/>
          <w:color w:val="auto"/>
        </w:rPr>
      </w:pPr>
    </w:p>
    <w:p>
      <w:pPr>
        <w:ind w:right="700" w:firstLine="8"/>
        <w:spacing w:after="0" w:line="271"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State of Michigan, other than its conflict of laws principles.</w:t>
      </w:r>
    </w:p>
    <w:p>
      <w:pPr>
        <w:spacing w:after="0" w:line="198" w:lineRule="exact"/>
        <w:rPr>
          <w:rFonts w:ascii="Times New Roman" w:cs="Times New Roman" w:eastAsia="Times New Roman" w:hAnsi="Times New Roman"/>
          <w:sz w:val="22"/>
          <w:szCs w:val="22"/>
          <w:color w:val="auto"/>
        </w:rPr>
      </w:pPr>
    </w:p>
    <w:p>
      <w:pPr>
        <w:ind w:right="1120" w:firstLine="8"/>
        <w:spacing w:after="0" w:line="271" w:lineRule="auto"/>
        <w:tabs>
          <w:tab w:leader="none" w:pos="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purposes only and shall not affect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right="40" w:firstLine="8"/>
        <w:spacing w:after="0" w:line="257"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the Company should be addressed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Sidney Street</w:t>
      </w:r>
    </w:p>
    <w:p>
      <w:pPr>
        <w:ind w:left="66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9" w:lineRule="exact"/>
        <w:rPr>
          <w:sz w:val="20"/>
          <w:szCs w:val="20"/>
          <w:color w:val="auto"/>
        </w:rPr>
      </w:pPr>
    </w:p>
    <w:p>
      <w:pPr>
        <w:ind w:right="440" w:firstLine="1296"/>
        <w:spacing w:after="0" w:line="258" w:lineRule="auto"/>
        <w:rPr>
          <w:sz w:val="20"/>
          <w:szCs w:val="20"/>
          <w:color w:val="auto"/>
        </w:rPr>
      </w:pPr>
      <w:r>
        <w:rPr>
          <w:rFonts w:ascii="Times New Roman" w:cs="Times New Roman" w:eastAsia="Times New Roman" w:hAnsi="Times New Roman"/>
          <w:sz w:val="22"/>
          <w:szCs w:val="22"/>
          <w:color w:val="auto"/>
        </w:rPr>
        <w:t>Notice to the Participant should be addressed to the Participant at the Participant’s address as it appears on the Company’s records.</w:t>
      </w:r>
    </w:p>
    <w:p>
      <w:pPr>
        <w:spacing w:after="0" w:line="185" w:lineRule="exact"/>
        <w:rPr>
          <w:sz w:val="20"/>
          <w:szCs w:val="20"/>
          <w:color w:val="auto"/>
        </w:rPr>
      </w:pPr>
    </w:p>
    <w:p>
      <w:pPr>
        <w:ind w:right="160" w:firstLine="1296"/>
        <w:spacing w:after="0" w:line="244" w:lineRule="auto"/>
        <w:rPr>
          <w:sz w:val="20"/>
          <w:szCs w:val="20"/>
          <w:color w:val="auto"/>
        </w:rPr>
      </w:pPr>
      <w:r>
        <w:rPr>
          <w:rFonts w:ascii="Times New Roman" w:cs="Times New Roman" w:eastAsia="Times New Roman" w:hAnsi="Times New Roman"/>
          <w:sz w:val="22"/>
          <w:szCs w:val="22"/>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214" w:lineRule="exact"/>
        <w:rPr>
          <w:sz w:val="20"/>
          <w:szCs w:val="20"/>
          <w:color w:val="auto"/>
        </w:rPr>
      </w:pPr>
    </w:p>
    <w:p>
      <w:pPr>
        <w:jc w:val="both"/>
        <w:ind w:right="180" w:firstLine="8"/>
        <w:spacing w:after="0" w:line="257" w:lineRule="auto"/>
        <w:tabs>
          <w:tab w:leader="none" w:pos="64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Neither the Company nor any Affiliate is obligated by or as a result of the Plan or this Agreement to continue the Participant in employment and neither the Plan nor this Agreement shall interfere in any way with the right of the Company or any Affiliate to terminate the employment of the Participant at any time.</w:t>
      </w:r>
    </w:p>
    <w:p>
      <w:pPr>
        <w:spacing w:after="0" w:line="199" w:lineRule="exact"/>
        <w:rPr>
          <w:rFonts w:ascii="Times New Roman" w:cs="Times New Roman" w:eastAsia="Times New Roman" w:hAnsi="Times New Roman"/>
          <w:sz w:val="22"/>
          <w:szCs w:val="22"/>
          <w:color w:val="auto"/>
        </w:rPr>
      </w:pPr>
    </w:p>
    <w:p>
      <w:pPr>
        <w:ind w:right="100" w:firstLine="8"/>
        <w:spacing w:after="0" w:line="257" w:lineRule="auto"/>
        <w:tabs>
          <w:tab w:leader="none" w:pos="64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ectPr>
          <w:pgSz w:w="11900" w:h="16838" w:orient="portrait"/>
          <w:cols w:equalWidth="0" w:num="1">
            <w:col w:w="11240"/>
          </w:cols>
          <w:pgMar w:left="320" w:top="6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61" w:lineRule="exact"/>
        <w:rPr>
          <w:sz w:val="20"/>
          <w:szCs w:val="20"/>
          <w:color w:val="auto"/>
        </w:rPr>
      </w:pPr>
    </w:p>
    <w:p>
      <w:pPr>
        <w:ind w:firstLine="8"/>
        <w:spacing w:after="0" w:line="249" w:lineRule="auto"/>
        <w:tabs>
          <w:tab w:leader="none" w:pos="64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ectPr>
          <w:pgSz w:w="11900" w:h="16838" w:orient="portrait"/>
          <w:cols w:equalWidth="0" w:num="1">
            <w:col w:w="11240"/>
          </w:cols>
          <w:pgMar w:left="320" w:top="6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2024,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8, 2024</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4"/>
    </w:lvl>
    <w:lvl w:ilvl="1">
      <w:lvlJc w:val="left"/>
      <w:lvlText w:val="%2."/>
      <w:numFmt w:val="lowerLetter"/>
      <w:start w:val="1"/>
    </w:lvl>
  </w:abstractNum>
  <w:abstractNum w:abstractNumId="9">
    <w:nsid w:val="109CF92E"/>
    <w:multiLevelType w:val="hybridMultilevel"/>
    <w:lvl w:ilvl="0">
      <w:lvlJc w:val="left"/>
      <w:lvlText w:val="%1"/>
      <w:numFmt w:val="decimal"/>
      <w:start w:val="1"/>
    </w:lvl>
    <w:lvl w:ilvl="1">
      <w:lvlJc w:val="left"/>
      <w:lvlText w:val="%2."/>
      <w:numFmt w:val="lowerLetter"/>
      <w:start w:val="3"/>
    </w:lvl>
  </w:abstractNum>
  <w:abstractNum w:abstractNumId="10">
    <w:nsid w:val="DED7263"/>
    <w:multiLevelType w:val="hybridMultilevel"/>
    <w:lvl w:ilvl="0">
      <w:lvlJc w:val="left"/>
      <w:lvlText w:val="%1."/>
      <w:numFmt w:val="decimal"/>
      <w:start w:val="6"/>
    </w:lvl>
    <w:lvl w:ilvl="1">
      <w:lvlJc w:val="left"/>
      <w:lvlText w:val="%2"/>
      <w:numFmt w:val="lowerLetter"/>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5"/>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49" Type="http://schemas.openxmlformats.org/officeDocument/2006/relationships/hyperlink" Target="https://www.sec.gov/Archives/edgar/data/887359/000129993309004957/exhibit1.htm" TargetMode="External"/><Relationship Id="rId50" Type="http://schemas.openxmlformats.org/officeDocument/2006/relationships/hyperlink" Target="https://www.sec.gov/Archives/edgar/data/887359/000095012310030777/b80276exv3w2.htm" TargetMode="External"/><Relationship Id="rId51" Type="http://schemas.openxmlformats.org/officeDocument/2006/relationships/hyperlink" Target="https://www.sec.gov/Archives/edgar/data/887359/000095012311029237/a59068exv3w1.htm" TargetMode="External"/><Relationship Id="rId52" Type="http://schemas.openxmlformats.org/officeDocument/2006/relationships/hyperlink" Target="https://www.sec.gov/Archives/edgar/data/887359/000110465914083052/a14-25082_1ex3d1.htm" TargetMode="External"/><Relationship Id="rId53" Type="http://schemas.openxmlformats.org/officeDocument/2006/relationships/hyperlink" Target="https://www.sec.gov/Archives/edgar/data/887359/000129993310004053/exhibit1.htm" TargetMode="External"/><Relationship Id="rId54"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2024-05-08T08:13:43Z</dcterms:created>
  <dcterms:modified xsi:type="dcterms:W3CDTF">2024-05-08T08:13:43Z</dcterms:modified>
</cp:coreProperties>
</file>