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MCLAUGHLIN KEVIN F</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VERICEL CORPORATION</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64 SIDNEY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CAMBRIDGE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02139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Vericel Corp</w:t>
              </w:r>
            </w:hyperlink>
            <w:r>
              <w:rPr/>
              <w:t xml:space="preserve"> [ </w:t>
            </w:r>
            <w:r>
              <w:rPr>
                <w:rFonts w:ascii="Times;serif" w:hAnsi="Times;serif"/>
                <w:color w:val="0000FF"/>
                <w:sz w:val="24"/>
                <w:shd w:fill="FFFFFF" w:val="clear"/>
              </w:rPr>
              <w:t>VCEL</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05/13/2026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89"/>
        <w:gridCol w:w="904"/>
        <w:gridCol w:w="773"/>
        <w:gridCol w:w="600"/>
        <w:gridCol w:w="349"/>
        <w:gridCol w:w="847"/>
        <w:gridCol w:w="498"/>
        <w:gridCol w:w="756"/>
        <w:gridCol w:w="1165"/>
        <w:gridCol w:w="99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8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0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8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8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05/13/2026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3,500</w:t>
            </w:r>
          </w:p>
        </w:tc>
        <w:tc>
          <w:tcPr>
            <w:tcW w:w="4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2.63</w:t>
            </w:r>
            <w:r>
              <w:rPr/>
              <w:t xml:space="preserve"> </w:t>
            </w:r>
          </w:p>
        </w:tc>
        <w:tc>
          <w:tcPr>
            <w:tcW w:w="11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21,800</w:t>
            </w:r>
          </w:p>
        </w:tc>
        <w:tc>
          <w:tcPr>
            <w:tcW w:w="9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8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05/13/2026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3,500</w:t>
            </w:r>
          </w:p>
        </w:tc>
        <w:tc>
          <w:tcPr>
            <w:tcW w:w="4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(1)</w:t>
            </w:r>
            <w:r>
              <w:rPr/>
              <w:t xml:space="preserve"> </w:t>
            </w:r>
          </w:p>
        </w:tc>
        <w:tc>
          <w:tcPr>
            <w:tcW w:w="75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32.83</w:t>
            </w:r>
            <w:r>
              <w:rPr/>
              <w:t xml:space="preserve"> </w:t>
            </w:r>
          </w:p>
        </w:tc>
        <w:tc>
          <w:tcPr>
            <w:tcW w:w="11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18,300</w:t>
            </w:r>
          </w:p>
        </w:tc>
        <w:tc>
          <w:tcPr>
            <w:tcW w:w="9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8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05/13/2026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3,500</w:t>
            </w:r>
          </w:p>
        </w:tc>
        <w:tc>
          <w:tcPr>
            <w:tcW w:w="4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13.05</w:t>
            </w:r>
            <w:r>
              <w:rPr/>
              <w:t xml:space="preserve"> </w:t>
            </w:r>
          </w:p>
        </w:tc>
        <w:tc>
          <w:tcPr>
            <w:tcW w:w="11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21,800</w:t>
            </w:r>
          </w:p>
        </w:tc>
        <w:tc>
          <w:tcPr>
            <w:tcW w:w="9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8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05/13/2026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3,500</w:t>
            </w:r>
          </w:p>
        </w:tc>
        <w:tc>
          <w:tcPr>
            <w:tcW w:w="4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(1)</w:t>
            </w:r>
            <w:r>
              <w:rPr/>
              <w:t xml:space="preserve"> </w:t>
            </w:r>
          </w:p>
        </w:tc>
        <w:tc>
          <w:tcPr>
            <w:tcW w:w="75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32.82</w:t>
            </w:r>
            <w:r>
              <w:rPr/>
              <w:t xml:space="preserve"> </w:t>
            </w:r>
          </w:p>
        </w:tc>
        <w:tc>
          <w:tcPr>
            <w:tcW w:w="11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18,300</w:t>
            </w:r>
          </w:p>
        </w:tc>
        <w:tc>
          <w:tcPr>
            <w:tcW w:w="9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804"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606"/>
        <w:gridCol w:w="276"/>
        <w:gridCol w:w="906"/>
        <w:gridCol w:w="801"/>
        <w:gridCol w:w="891"/>
        <w:gridCol w:w="681"/>
        <w:gridCol w:w="801"/>
        <w:gridCol w:w="936"/>
        <w:gridCol w:w="831"/>
        <w:gridCol w:w="846"/>
      </w:tblGrid>
      <w:tr>
        <w:trPr>
          <w:tblHeader w:val="true"/>
        </w:trPr>
        <w:tc>
          <w:tcPr>
            <w:tcW w:w="1180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2.63</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05/13/2026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3,500</w:t>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05/03/2027</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3,500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13.05</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05/13/2026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3,500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05/02/2028</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3,500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14,000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sales reported in this Form 4 were effected by an automatic sale pursuant to a Rule 10b5-1 trading plan adopted by the reporting person on May 12,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These options, representing the right to purchase a total of 17,500 shares, were originally granted on May 3, 2017, and became exercisable in equal monthly installments over the course of one year, contingent upon continued service to the Company.</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These options, representing the right to purchase a total of 17,500 shares, were originally granted on May 2, 2018, and became exercisable in equal monthly installments over the course of one year, contingent upon continued service to the Company.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Sean Flynn, as Attorney-in-Fact for Kevin McLaughlin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05/15/2026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214938" TargetMode="External"/><Relationship Id="rId5" Type="http://schemas.openxmlformats.org/officeDocument/2006/relationships/hyperlink" Target="http://www.sec.gov/cgi-bin/browse-edgar?action=getcompany&amp;CIK=000088735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733</Words>
  <Characters>3899</Characters>
  <CharactersWithSpaces>4533</CharactersWithSpaces>
  <Paragraphs>145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