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60280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6028055"/>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Hopper Jonathan Mark</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 BLUE SKY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Vericel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VCEL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06/26/2026</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837"/>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316"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660" w:type="dxa"/>
            <w:vAlign w:val="bottom"/>
            <w:gridSpan w:val="8"/>
            <w:vMerge w:val="restart"/>
          </w:tcPr>
          <w:p>
            <w:pPr>
              <w:jc w:val="right"/>
              <w:ind w:right="159"/>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9"/>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60" w:type="dxa"/>
            <w:vAlign w:val="bottom"/>
            <w:gridSpan w:val="8"/>
            <w:vMerge w:val="continue"/>
          </w:tcPr>
          <w:p>
            <w:pPr>
              <w:spacing w:after="0"/>
              <w:rPr>
                <w:sz w:val="7"/>
                <w:szCs w:val="7"/>
                <w:color w:val="auto"/>
              </w:rPr>
            </w:pPr>
          </w:p>
        </w:tc>
        <w:tc>
          <w:tcPr>
            <w:tcW w:w="366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BURLINGTON  MA</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01803</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4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40" w:type="dxa"/>
            <w:vAlign w:val="bottom"/>
            <w:gridSpan w:val="7"/>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5"/>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20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76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Transaction  Disposed Of (D) (Instr. 3, 4 and 5)</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jc w:val="center"/>
              <w:ind w:left="57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jc w:val="right"/>
              <w:ind w:right="159"/>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70"/>
              <w:spacing w:after="0"/>
              <w:rPr>
                <w:sz w:val="20"/>
                <w:szCs w:val="20"/>
                <w:color w:val="auto"/>
              </w:rPr>
            </w:pPr>
            <w:r>
              <w:rPr>
                <w:rFonts w:ascii="Times New Roman" w:cs="Times New Roman" w:eastAsia="Times New Roman" w:hAnsi="Times New Roman"/>
                <w:sz w:val="17"/>
                <w:szCs w:val="17"/>
                <w:color w:val="0000FF"/>
                <w:w w:val="98"/>
              </w:rPr>
              <w:t>06/26/2026</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8"/>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5,000</w:t>
            </w:r>
          </w:p>
        </w:tc>
        <w:tc>
          <w:tcPr>
            <w:tcW w:w="640" w:type="dxa"/>
            <w:vAlign w:val="bottom"/>
            <w:tcBorders>
              <w:bottom w:val="single" w:sz="8" w:color="2C2C2C"/>
            </w:tcBorders>
          </w:tcPr>
          <w:p>
            <w:pPr>
              <w:jc w:val="center"/>
              <w:ind w:left="179"/>
              <w:spacing w:after="0"/>
              <w:rPr>
                <w:sz w:val="20"/>
                <w:szCs w:val="20"/>
                <w:color w:val="auto"/>
              </w:rPr>
            </w:pPr>
            <w:r>
              <w:rPr>
                <w:rFonts w:ascii="Times New Roman" w:cs="Times New Roman" w:eastAsia="Times New Roman" w:hAnsi="Times New Roman"/>
                <w:sz w:val="17"/>
                <w:szCs w:val="17"/>
                <w:color w:val="0000FF"/>
                <w:w w:val="97"/>
              </w:rPr>
              <w:t>A</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29.82</w:t>
            </w:r>
          </w:p>
        </w:tc>
        <w:tc>
          <w:tcPr>
            <w:tcW w:w="118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80,753</w:t>
            </w:r>
            <w:r>
              <w:rPr>
                <w:rFonts w:ascii="Times New Roman" w:cs="Times New Roman" w:eastAsia="Times New Roman" w:hAnsi="Times New Roman"/>
                <w:sz w:val="21"/>
                <w:szCs w:val="21"/>
                <w:color w:val="008000"/>
                <w:vertAlign w:val="superscript"/>
              </w:rPr>
              <w:t>(1)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70"/>
              <w:spacing w:after="0"/>
              <w:rPr>
                <w:sz w:val="20"/>
                <w:szCs w:val="20"/>
                <w:color w:val="auto"/>
              </w:rPr>
            </w:pPr>
            <w:r>
              <w:rPr>
                <w:rFonts w:ascii="Times New Roman" w:cs="Times New Roman" w:eastAsia="Times New Roman" w:hAnsi="Times New Roman"/>
                <w:sz w:val="17"/>
                <w:szCs w:val="17"/>
                <w:color w:val="0000FF"/>
                <w:w w:val="98"/>
              </w:rPr>
              <w:t>06/26/2026</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8"/>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5,000</w:t>
            </w:r>
          </w:p>
        </w:tc>
        <w:tc>
          <w:tcPr>
            <w:tcW w:w="640" w:type="dxa"/>
            <w:vAlign w:val="bottom"/>
            <w:tcBorders>
              <w:bottom w:val="single" w:sz="8" w:color="2C2C2C"/>
            </w:tcBorders>
          </w:tcPr>
          <w:p>
            <w:pPr>
              <w:jc w:val="center"/>
              <w:ind w:left="179"/>
              <w:spacing w:after="0" w:line="312" w:lineRule="exact"/>
              <w:rPr>
                <w:sz w:val="20"/>
                <w:szCs w:val="20"/>
                <w:color w:val="auto"/>
              </w:rPr>
            </w:pPr>
            <w:r>
              <w:rPr>
                <w:rFonts w:ascii="Times New Roman" w:cs="Times New Roman" w:eastAsia="Times New Roman" w:hAnsi="Times New Roman"/>
                <w:sz w:val="33"/>
                <w:szCs w:val="33"/>
                <w:color w:val="0000FF"/>
                <w:w w:val="83"/>
                <w:vertAlign w:val="subscript"/>
              </w:rPr>
              <w:t>D</w:t>
            </w:r>
            <w:r>
              <w:rPr>
                <w:rFonts w:ascii="Times New Roman" w:cs="Times New Roman" w:eastAsia="Times New Roman" w:hAnsi="Times New Roman"/>
                <w:sz w:val="11"/>
                <w:szCs w:val="11"/>
                <w:color w:val="008000"/>
                <w:w w:val="83"/>
              </w:rPr>
              <w:t>(2)</w:t>
            </w:r>
          </w:p>
        </w:tc>
        <w:tc>
          <w:tcPr>
            <w:tcW w:w="540" w:type="dxa"/>
            <w:vAlign w:val="bottom"/>
            <w:tcBorders>
              <w:bottom w:val="single" w:sz="8" w:color="2C2C2C"/>
            </w:tcBorders>
          </w:tcPr>
          <w:p>
            <w:pPr>
              <w:jc w:val="center"/>
              <w:ind w:left="17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45</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75,753</w:t>
            </w:r>
            <w:r>
              <w:rPr>
                <w:rFonts w:ascii="Times New Roman" w:cs="Times New Roman" w:eastAsia="Times New Roman" w:hAnsi="Times New Roman"/>
                <w:sz w:val="21"/>
                <w:szCs w:val="21"/>
                <w:color w:val="008000"/>
                <w:vertAlign w:val="superscript"/>
              </w:rPr>
              <w:t>(1)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70"/>
              <w:spacing w:after="0"/>
              <w:rPr>
                <w:sz w:val="20"/>
                <w:szCs w:val="20"/>
                <w:color w:val="auto"/>
              </w:rPr>
            </w:pPr>
            <w:r>
              <w:rPr>
                <w:rFonts w:ascii="Times New Roman" w:cs="Times New Roman" w:eastAsia="Times New Roman" w:hAnsi="Times New Roman"/>
                <w:sz w:val="17"/>
                <w:szCs w:val="17"/>
                <w:color w:val="0000FF"/>
                <w:w w:val="98"/>
              </w:rPr>
              <w:t>06/26/2026</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8"/>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5,000</w:t>
            </w:r>
          </w:p>
        </w:tc>
        <w:tc>
          <w:tcPr>
            <w:tcW w:w="640" w:type="dxa"/>
            <w:vAlign w:val="bottom"/>
            <w:tcBorders>
              <w:bottom w:val="single" w:sz="8" w:color="2C2C2C"/>
            </w:tcBorders>
          </w:tcPr>
          <w:p>
            <w:pPr>
              <w:jc w:val="center"/>
              <w:ind w:left="179"/>
              <w:spacing w:after="0"/>
              <w:rPr>
                <w:sz w:val="20"/>
                <w:szCs w:val="20"/>
                <w:color w:val="auto"/>
              </w:rPr>
            </w:pPr>
            <w:r>
              <w:rPr>
                <w:rFonts w:ascii="Times New Roman" w:cs="Times New Roman" w:eastAsia="Times New Roman" w:hAnsi="Times New Roman"/>
                <w:sz w:val="17"/>
                <w:szCs w:val="17"/>
                <w:color w:val="0000FF"/>
                <w:w w:val="97"/>
              </w:rPr>
              <w:t>A</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29.82</w:t>
            </w:r>
          </w:p>
        </w:tc>
        <w:tc>
          <w:tcPr>
            <w:tcW w:w="118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80,753</w:t>
            </w:r>
            <w:r>
              <w:rPr>
                <w:rFonts w:ascii="Times New Roman" w:cs="Times New Roman" w:eastAsia="Times New Roman" w:hAnsi="Times New Roman"/>
                <w:sz w:val="21"/>
                <w:szCs w:val="21"/>
                <w:color w:val="008000"/>
                <w:vertAlign w:val="superscript"/>
              </w:rPr>
              <w:t>(1)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70"/>
              <w:spacing w:after="0"/>
              <w:rPr>
                <w:sz w:val="20"/>
                <w:szCs w:val="20"/>
                <w:color w:val="auto"/>
              </w:rPr>
            </w:pPr>
            <w:r>
              <w:rPr>
                <w:rFonts w:ascii="Times New Roman" w:cs="Times New Roman" w:eastAsia="Times New Roman" w:hAnsi="Times New Roman"/>
                <w:sz w:val="17"/>
                <w:szCs w:val="17"/>
                <w:color w:val="0000FF"/>
                <w:w w:val="98"/>
              </w:rPr>
              <w:t>06/26/2026</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8"/>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5,000</w:t>
            </w:r>
          </w:p>
        </w:tc>
        <w:tc>
          <w:tcPr>
            <w:tcW w:w="640" w:type="dxa"/>
            <w:vAlign w:val="bottom"/>
            <w:tcBorders>
              <w:bottom w:val="single" w:sz="8" w:color="2C2C2C"/>
            </w:tcBorders>
          </w:tcPr>
          <w:p>
            <w:pPr>
              <w:jc w:val="center"/>
              <w:ind w:left="179"/>
              <w:spacing w:after="0" w:line="312" w:lineRule="exact"/>
              <w:rPr>
                <w:sz w:val="20"/>
                <w:szCs w:val="20"/>
                <w:color w:val="auto"/>
              </w:rPr>
            </w:pPr>
            <w:r>
              <w:rPr>
                <w:rFonts w:ascii="Times New Roman" w:cs="Times New Roman" w:eastAsia="Times New Roman" w:hAnsi="Times New Roman"/>
                <w:sz w:val="33"/>
                <w:szCs w:val="33"/>
                <w:color w:val="0000FF"/>
                <w:w w:val="83"/>
                <w:vertAlign w:val="subscript"/>
              </w:rPr>
              <w:t>D</w:t>
            </w:r>
            <w:r>
              <w:rPr>
                <w:rFonts w:ascii="Times New Roman" w:cs="Times New Roman" w:eastAsia="Times New Roman" w:hAnsi="Times New Roman"/>
                <w:sz w:val="11"/>
                <w:szCs w:val="11"/>
                <w:color w:val="008000"/>
                <w:w w:val="83"/>
              </w:rPr>
              <w:t>(2)</w:t>
            </w:r>
          </w:p>
        </w:tc>
        <w:tc>
          <w:tcPr>
            <w:tcW w:w="540" w:type="dxa"/>
            <w:vAlign w:val="bottom"/>
            <w:tcBorders>
              <w:bottom w:val="single" w:sz="8" w:color="2C2C2C"/>
            </w:tcBorders>
          </w:tcPr>
          <w:p>
            <w:pPr>
              <w:jc w:val="center"/>
              <w:ind w:left="17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45</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75,753</w:t>
            </w:r>
            <w:r>
              <w:rPr>
                <w:rFonts w:ascii="Times New Roman" w:cs="Times New Roman" w:eastAsia="Times New Roman" w:hAnsi="Times New Roman"/>
                <w:sz w:val="21"/>
                <w:szCs w:val="21"/>
                <w:color w:val="008000"/>
                <w:vertAlign w:val="superscript"/>
              </w:rPr>
              <w:t>(1)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0" w:type="dxa"/>
            <w:vAlign w:val="bottom"/>
            <w:gridSpan w:val="12"/>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29.82</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3"/>
                <w:szCs w:val="13"/>
                <w:color w:val="0000FF"/>
              </w:rPr>
              <w:t>06/26/2026</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6"/>
                <w:szCs w:val="16"/>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5,000</w:t>
            </w:r>
          </w:p>
        </w:tc>
        <w:tc>
          <w:tcPr>
            <w:tcW w:w="320" w:type="dxa"/>
            <w:vAlign w:val="bottom"/>
          </w:tcPr>
          <w:p>
            <w:pPr>
              <w:spacing w:after="0"/>
              <w:rPr>
                <w:sz w:val="16"/>
                <w:szCs w:val="16"/>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02/17/2033</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5,000</w:t>
            </w:r>
          </w:p>
        </w:tc>
        <w:tc>
          <w:tcPr>
            <w:tcW w:w="180" w:type="dxa"/>
            <w:vAlign w:val="bottom"/>
          </w:tcPr>
          <w:p>
            <w:pPr>
              <w:spacing w:after="0"/>
              <w:rPr>
                <w:sz w:val="16"/>
                <w:szCs w:val="16"/>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25,000</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jc w:val="right"/>
              <w:ind w:right="159"/>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29.82</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3"/>
                <w:szCs w:val="13"/>
                <w:color w:val="0000FF"/>
              </w:rPr>
              <w:t>06/26/2026</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6"/>
                <w:szCs w:val="16"/>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5,000</w:t>
            </w:r>
          </w:p>
        </w:tc>
        <w:tc>
          <w:tcPr>
            <w:tcW w:w="320" w:type="dxa"/>
            <w:vAlign w:val="bottom"/>
          </w:tcPr>
          <w:p>
            <w:pPr>
              <w:spacing w:after="0"/>
              <w:rPr>
                <w:sz w:val="16"/>
                <w:szCs w:val="16"/>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02/17/2033</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5,000</w:t>
            </w:r>
          </w:p>
        </w:tc>
        <w:tc>
          <w:tcPr>
            <w:tcW w:w="180" w:type="dxa"/>
            <w:vAlign w:val="bottom"/>
          </w:tcPr>
          <w:p>
            <w:pPr>
              <w:spacing w:after="0"/>
              <w:rPr>
                <w:sz w:val="16"/>
                <w:szCs w:val="16"/>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20,000</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jc w:val="right"/>
              <w:ind w:right="159"/>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include shares acquired pursuant to the Issuer's 2015 Employee Stock Purchase Plan in transactions that were exempt under both Rule 16b-3(d) and Rule 16b-3(c).</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by an automatic sale pursuant to a Rule 10b5-1 trading plan adopted by the reporting person on May 30, 2025.</w:t>
      </w:r>
    </w:p>
    <w:p>
      <w:pPr>
        <w:spacing w:after="0" w:line="45" w:lineRule="exact"/>
        <w:rPr>
          <w:rFonts w:ascii="Times New Roman" w:cs="Times New Roman" w:eastAsia="Times New Roman" w:hAnsi="Times New Roman"/>
          <w:sz w:val="13"/>
          <w:szCs w:val="13"/>
          <w:color w:val="008000"/>
        </w:rPr>
      </w:pPr>
    </w:p>
    <w:p>
      <w:pPr>
        <w:ind w:left="40" w:right="240" w:firstLine="3"/>
        <w:spacing w:after="0" w:line="25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representing the right to purchase 30,000 shares, became exercisable in equal quarterly installments, contingent upon continued service to the Company, with the first vesting date on May 17, 2023, which was one quarter after the date on which the option was granted.</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Sean Flynn, as Attorney-in-  </w:t>
      </w:r>
      <w:r>
        <w:rPr>
          <w:rFonts w:ascii="Times New Roman" w:cs="Times New Roman" w:eastAsia="Times New Roman" w:hAnsi="Times New Roman"/>
          <w:sz w:val="32"/>
          <w:szCs w:val="32"/>
          <w:color w:val="0000FF"/>
          <w:vertAlign w:val="subscript"/>
        </w:rPr>
        <w:t>06/30/2026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188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88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Jonathan Hopper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092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9220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26325" TargetMode="External"/><Relationship Id="rId14" Type="http://schemas.openxmlformats.org/officeDocument/2006/relationships/hyperlink" Target="http://www.sec.gov/cgi-bin/browse-edgar?action=getcompany&amp;CIK=00008873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2026-06-30T15:11:08Z</dcterms:created>
  <dcterms:modified xsi:type="dcterms:W3CDTF">2026-06-30T15:11:08Z</dcterms:modified>
</cp:coreProperties>
</file>