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4" w:lineRule="exact"/>
        <w:rPr>
          <w:sz w:val="24"/>
          <w:szCs w:val="24"/>
          <w:color w:val="auto"/>
        </w:rPr>
      </w:pPr>
    </w:p>
    <w:p>
      <w:pPr>
        <w:jc w:val="center"/>
        <w:ind w:left="5400" w:right="220" w:hanging="5177"/>
        <w:spacing w:after="0" w:line="238" w:lineRule="auto"/>
        <w:tabs>
          <w:tab w:leader="none" w:pos="52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jc w:val="center"/>
        <w:ind w:right="-19"/>
        <w:spacing w:after="0" w:line="195" w:lineRule="auto"/>
        <w:rPr>
          <w:sz w:val="20"/>
          <w:szCs w:val="20"/>
          <w:color w:val="auto"/>
        </w:rPr>
      </w:pPr>
      <w:r>
        <w:rPr>
          <w:rFonts w:ascii="Times New Roman" w:cs="Times New Roman" w:eastAsia="Times New Roman" w:hAnsi="Times New Roman"/>
          <w:sz w:val="18"/>
          <w:szCs w:val="18"/>
          <w:b w:val="1"/>
          <w:bCs w:val="1"/>
          <w:color w:val="auto"/>
        </w:rPr>
        <w:t>or</w:t>
      </w:r>
    </w:p>
    <w:p>
      <w:pPr>
        <w:ind w:left="540" w:hanging="346"/>
        <w:spacing w:after="0" w:line="222" w:lineRule="auto"/>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jc w:val="center"/>
        <w:ind w:right="-19"/>
        <w:spacing w:after="0" w:line="223" w:lineRule="auto"/>
        <w:rPr>
          <w:sz w:val="20"/>
          <w:szCs w:val="20"/>
          <w:color w:val="auto"/>
        </w:rPr>
      </w:pPr>
      <w:r>
        <w:rPr>
          <w:rFonts w:ascii="Times New Roman" w:cs="Times New Roman" w:eastAsia="Times New Roman" w:hAnsi="Times New Roman"/>
          <w:sz w:val="22"/>
          <w:szCs w:val="22"/>
          <w:b w:val="1"/>
          <w:bCs w:val="1"/>
          <w:color w:val="auto"/>
        </w:rPr>
        <w:t>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99060</wp:posOffset>
            </wp:positionV>
            <wp:extent cx="1268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p>
      <w:pPr>
        <w:spacing w:after="0" w:line="29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4" w:lineRule="exact"/>
        <w:rPr>
          <w:sz w:val="24"/>
          <w:szCs w:val="24"/>
          <w:color w:val="auto"/>
        </w:rPr>
      </w:pPr>
    </w:p>
    <w:p>
      <w:pPr>
        <w:sectPr>
          <w:pgSz w:w="11900" w:h="16838" w:orient="portrait"/>
          <w:cols w:equalWidth="0" w:num="2">
            <w:col w:w="7140" w:space="720"/>
            <w:col w:w="3380"/>
          </w:cols>
          <w:pgMar w:left="320" w:top="1438"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438"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110490</wp:posOffset>
            </wp:positionV>
            <wp:extent cx="126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4120" w:type="dxa"/>
            <w:vAlign w:val="bottom"/>
          </w:tcPr>
          <w:p>
            <w:pPr>
              <w:jc w:val="center"/>
              <w:ind w:left="222"/>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31"/>
        </w:trPr>
        <w:tc>
          <w:tcPr>
            <w:tcW w:w="34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4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370"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7" w:lineRule="exact"/>
        <w:rPr>
          <w:sz w:val="24"/>
          <w:szCs w:val="24"/>
          <w:color w:val="auto"/>
        </w:rPr>
      </w:pPr>
    </w:p>
    <w:p>
      <w:pPr>
        <w:ind w:right="240"/>
        <w:spacing w:after="0" w:line="24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8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800" w:type="dxa"/>
        <w:tblCellMar>
          <w:top w:w="0" w:type="dxa"/>
          <w:left w:w="0" w:type="dxa"/>
          <w:bottom w:w="0" w:type="dxa"/>
          <w:right w:w="0" w:type="dxa"/>
        </w:tblCellMar>
      </w:tblPr>
      <w:tr>
        <w:trPr>
          <w:trHeight w:val="216"/>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Non-accelerated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9"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May 1, 2025, 50,342,969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gridSpan w:val="13"/>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24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60" w:type="dxa"/>
            <w:vAlign w:val="bottom"/>
            <w:gridSpan w:val="7"/>
          </w:tcPr>
          <w:p>
            <w:pPr>
              <w:spacing w:after="0"/>
              <w:rPr>
                <w:sz w:val="16"/>
                <w:szCs w:val="16"/>
                <w:color w:val="auto"/>
              </w:rPr>
            </w:pPr>
          </w:p>
        </w:tc>
        <w:tc>
          <w:tcPr>
            <w:tcW w:w="400" w:type="dxa"/>
            <w:vAlign w:val="bottom"/>
            <w:gridSpan w:val="2"/>
          </w:tcPr>
          <w:p>
            <w:pPr>
              <w:jc w:val="center"/>
              <w:ind w:left="232"/>
              <w:spacing w:after="0" w:line="194"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Loss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7"/>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3"/>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tcPr>
          <w:p>
            <w:pPr>
              <w:spacing w:after="0"/>
              <w:rPr>
                <w:sz w:val="18"/>
                <w:szCs w:val="18"/>
                <w:color w:val="auto"/>
              </w:rPr>
            </w:pP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gridSpan w:val="6"/>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tcPr>
          <w:p>
            <w:pPr>
              <w:spacing w:after="0"/>
              <w:rPr>
                <w:sz w:val="18"/>
                <w:szCs w:val="18"/>
                <w:color w:val="auto"/>
              </w:rPr>
            </w:pPr>
          </w:p>
        </w:tc>
        <w:tc>
          <w:tcPr>
            <w:tcW w:w="6900" w:type="dxa"/>
            <w:vAlign w:val="bottom"/>
            <w:gridSpan w:val="8"/>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60" w:type="dxa"/>
            <w:vAlign w:val="bottom"/>
            <w:gridSpan w:val="9"/>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2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2"/>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74,520</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41,693</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$3 and $10, respectively)</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61,375</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212,777</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70,098</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432,722</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50,286</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89,593</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140,755</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50,252 and 49,628,</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684,778</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(392,815)</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291,967</w:t>
            </w:r>
          </w:p>
        </w:tc>
        <w:tc>
          <w:tcPr>
            <w:tcW w:w="0" w:type="dxa"/>
            <w:vAlign w:val="bottom"/>
          </w:tcPr>
          <w:p>
            <w:pPr>
              <w:spacing w:after="0"/>
              <w:rPr>
                <w:sz w:val="1"/>
                <w:szCs w:val="1"/>
                <w:color w:val="auto"/>
              </w:rPr>
            </w:pPr>
          </w:p>
        </w:tc>
      </w:tr>
      <w:tr>
        <w:trPr>
          <w:trHeight w:val="223"/>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432,722</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98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3"/>
        </w:trPr>
        <w:tc>
          <w:tcPr>
            <w:tcW w:w="7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08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51,281</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51,281</w:t>
            </w: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w:t>
            </w:r>
          </w:p>
        </w:tc>
      </w:tr>
      <w:tr>
        <w:trPr>
          <w:trHeight w:val="223"/>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35,354</w:t>
            </w:r>
          </w:p>
        </w:tc>
      </w:tr>
      <w:tr>
        <w:trPr>
          <w:trHeight w:val="22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r>
      <w:tr>
        <w:trPr>
          <w:trHeight w:val="229"/>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34,400</w:t>
            </w:r>
          </w:p>
        </w:tc>
      </w:tr>
      <w:tr>
        <w:trPr>
          <w:trHeight w:val="22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49,065</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40,818</w:t>
            </w:r>
          </w:p>
        </w:tc>
      </w:tr>
      <w:tr>
        <w:trPr>
          <w:trHeight w:val="22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760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Basic and diluted</w:t>
            </w:r>
          </w:p>
        </w:tc>
        <w:tc>
          <w:tcPr>
            <w:tcW w:w="1080" w:type="dxa"/>
            <w:vAlign w:val="bottom"/>
            <w:tcBorders>
              <w:bottom w:val="single" w:sz="8" w:color="auto"/>
            </w:tcBorders>
          </w:tcPr>
          <w:p>
            <w:pPr>
              <w:jc w:val="right"/>
              <w:ind w:right="877"/>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915"/>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(0.08)</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49,905</w:t>
            </w:r>
          </w:p>
        </w:tc>
        <w:tc>
          <w:tcPr>
            <w:tcW w:w="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48,141</w:t>
            </w:r>
          </w:p>
        </w:tc>
      </w:tr>
      <w:tr>
        <w:trPr>
          <w:trHeight w:val="21"/>
        </w:trPr>
        <w:tc>
          <w:tcPr>
            <w:tcW w:w="7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300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r>
      <w:tr>
        <w:trPr>
          <w:trHeight w:val="23"/>
        </w:trPr>
        <w:tc>
          <w:tcPr>
            <w:tcW w:w="7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w:t>
            </w:r>
          </w:p>
        </w:tc>
      </w:tr>
      <w:tr>
        <w:trPr>
          <w:trHeight w:val="20"/>
        </w:trPr>
        <w:tc>
          <w:tcPr>
            <w:tcW w:w="7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6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2560" w:type="dxa"/>
            <w:vAlign w:val="bottom"/>
            <w:gridSpan w:val="5"/>
            <w:vMerge w:val="continue"/>
          </w:tcPr>
          <w:p>
            <w:pPr>
              <w:spacing w:after="0"/>
              <w:rPr>
                <w:sz w:val="9"/>
                <w:szCs w:val="9"/>
                <w:color w:val="auto"/>
              </w:rPr>
            </w:pPr>
          </w:p>
        </w:tc>
        <w:tc>
          <w:tcPr>
            <w:tcW w:w="150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9"/>
                <w:szCs w:val="9"/>
                <w:color w:val="auto"/>
              </w:rPr>
            </w:pPr>
          </w:p>
        </w:tc>
        <w:tc>
          <w:tcPr>
            <w:tcW w:w="12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81"/>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49,628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684,778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(392,815)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291,967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2025</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50,252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699,412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(404,061)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295,487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6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3"/>
            <w:vMerge w:val="restart"/>
          </w:tcPr>
          <w:p>
            <w:pPr>
              <w:jc w:val="right"/>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5"/>
                <w:szCs w:val="5"/>
                <w:color w:val="auto"/>
              </w:rPr>
            </w:pPr>
          </w:p>
        </w:tc>
        <w:tc>
          <w:tcPr>
            <w:tcW w:w="1060" w:type="dxa"/>
            <w:vAlign w:val="bottom"/>
            <w:vMerge w:val="restart"/>
          </w:tcPr>
          <w:p>
            <w:pPr>
              <w:jc w:val="center"/>
              <w:ind w:right="81"/>
              <w:spacing w:after="0" w:line="124"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6"/>
        </w:trPr>
        <w:tc>
          <w:tcPr>
            <w:tcW w:w="4600" w:type="dxa"/>
            <w:vAlign w:val="bottom"/>
          </w:tcPr>
          <w:p>
            <w:pPr>
              <w:spacing w:after="0"/>
              <w:rPr>
                <w:sz w:val="3"/>
                <w:szCs w:val="3"/>
                <w:color w:val="auto"/>
              </w:rPr>
            </w:pP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3"/>
                <w:szCs w:val="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46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629,229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225,952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641,180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(407,039)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233,896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costs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(22,555)</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(14,017)</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(16,124)</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information:</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 and lease liability recognized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12,115</w:t>
            </w: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held for employee tax remittance included in accounts payable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543"/>
        </w:trPr>
        <w:tc>
          <w:tcPr>
            <w:tcW w:w="8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amounts within the condensed consolidated balance sheets: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62,938</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70,742</w:t>
            </w:r>
          </w:p>
        </w:tc>
      </w:tr>
      <w:tr>
        <w:trPr>
          <w:trHeight w:val="21"/>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5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a leading provider of advanced therapies for the sports medicine and severe burn care markets. Vericel currently markets three commercial-stage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MACI (autologous cultured chondrocytes on porcine collagen membrane) is an autologous cellularized scaffold product that is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U.S. Food &amp; Drug Administration (“FDA”) approved a supplemental Biologics License Application (“sBLA”) expanding the MACI indication to add instructions for the arthroscopic delivery of MACI to the product’s approved labeling. MACI Arthro™ allows surgeons to evaluate and prepare the cartilage defect site as well as deliver the MACI implant through small incisions using custom-designed arthroscopic instruments developed by the Company (“MACI Arthro instruments”). MACI Arthro became commercially available in the United States during the third quarter of 2024 and the Company began selling the MACI Arthro instruments at that time.</w:t>
      </w:r>
    </w:p>
    <w:p>
      <w:pPr>
        <w:spacing w:after="0" w:line="2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Epicel (cultured epidermal autografts) is a permanent skin replacement Humanitarian Use Device (“HUD”) indicated for the treatment of adult and pediatric patients with deep-dermal or full-thickness burns comprising greater than or equal to 30 percent of a patient’s total body surface area (“TBSA”). The Company also holds an exclusive license from MediWound Ltd. (“MediWound”) for North American rights to NexoBrid (anacaulase-bcdb), a topically administered biological orphan product containing proteolytic enzymes, which is indicated for the removal of eschar in adult and pediatric patients with deep partial-thickness and/or full thickness thermal burns.</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222222"/>
        </w:rPr>
        <w:t>Liquidity</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March 31, 2025, the Company had an accumulated deficit of $404.1 million and had a net loss of </w:t>
      </w:r>
      <w:r>
        <w:rPr>
          <w:rFonts w:ascii="Times New Roman" w:cs="Times New Roman" w:eastAsia="Times New Roman" w:hAnsi="Times New Roman"/>
          <w:sz w:val="18"/>
          <w:szCs w:val="18"/>
          <w:color w:val="000000"/>
        </w:rPr>
        <w:t>$11.2 million</w:t>
      </w:r>
      <w:r>
        <w:rPr>
          <w:rFonts w:ascii="Times New Roman" w:cs="Times New Roman" w:eastAsia="Times New Roman" w:hAnsi="Times New Roman"/>
          <w:sz w:val="18"/>
          <w:szCs w:val="18"/>
          <w:color w:val="222222"/>
        </w:rPr>
        <w:t xml:space="preserve"> during the </w:t>
      </w:r>
      <w:r>
        <w:rPr>
          <w:rFonts w:ascii="Times New Roman" w:cs="Times New Roman" w:eastAsia="Times New Roman" w:hAnsi="Times New Roman"/>
          <w:sz w:val="18"/>
          <w:szCs w:val="18"/>
          <w:color w:val="000000"/>
        </w:rPr>
        <w:t>three months ended</w:t>
      </w:r>
      <w:r>
        <w:rPr>
          <w:rFonts w:ascii="Times New Roman" w:cs="Times New Roman" w:eastAsia="Times New Roman" w:hAnsi="Times New Roman"/>
          <w:sz w:val="18"/>
          <w:szCs w:val="18"/>
          <w:color w:val="222222"/>
        </w:rPr>
        <w:t xml:space="preserve"> March 31, 2025. The Company had cash and cash equivalents of $73.5 million and investments of $82.8 million as of March 31, 2025. The Company expects that cash from the sales of its products and existing cash, cash equivalents, investments, and available borrowing capacity will be sufficient </w:t>
      </w:r>
      <w:r>
        <w:rPr>
          <w:rFonts w:ascii="Times New Roman" w:cs="Times New Roman" w:eastAsia="Times New Roman" w:hAnsi="Times New Roman"/>
          <w:sz w:val="18"/>
          <w:szCs w:val="18"/>
          <w:color w:val="000000"/>
        </w:rPr>
        <w:t>to support the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Company’s current operations through at least 12 months from the issuance of these condensed consolidated financial statements. If revenues decline for a sustained period, the Company may need to access additional capital; however, the Company may not be able to obtain additional financing on acceptable terms or at all. The terms of any additional financing may adversely affect the holdings or the rights of the Company’s shareholders.</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222222"/>
        </w:rPr>
        <w:t>Financial instruments that potentially subject the Company to significant concentration of credit risk consist primarily of cash, cash equivalents and investments in marketable debt securities. The Company may maintain deposits in financial institutions in excess of the insurance coverage offered by the Federal Deposit Insurance Corporation, the loss of which could have a negative effect on its operations and liquidity. The Company believes that it is not exposed to significant credit risk as its deposits, including cash and cash equivalents, are held at multiple high-credit-quality financial institutions. The Company has not experienced any losses on these deposits; however, no assurances can be provided that there will not be losses experienced in the future. The Company believes that the market risk arising from its holdings of these financial instruments is mitigated based on the fact that many of these securities are either government-backed or of high credit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Vericel are unaudited and have been prepared in accordance with the rules and regulations of the U.S. Securities and Exchange Commission (“SEC”). The preparation of condensed consolidated financial statements in conformity with U.S. generally accepted accounting principles (“U.S. GAAP”) requires management to make 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of which form the basis for making judgments about the carrying values of assets, liabilities and equity and the amount of revenue and expenses.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2024 has been derived from the audited consolidated financial statements at that date, but does not include all the information and notes required by U.S. GAAP for complete financial statements. These c</w:t>
      </w:r>
      <w:r>
        <w:rPr>
          <w:rFonts w:ascii="Times New Roman" w:cs="Times New Roman" w:eastAsia="Times New Roman" w:hAnsi="Times New Roman"/>
          <w:sz w:val="18"/>
          <w:szCs w:val="18"/>
          <w:color w:val="222222"/>
        </w:rPr>
        <w:t>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statements </w:t>
      </w:r>
      <w:r>
        <w:rPr>
          <w:rFonts w:ascii="Times New Roman" w:cs="Times New Roman" w:eastAsia="Times New Roman" w:hAnsi="Times New Roman"/>
          <w:sz w:val="18"/>
          <w:szCs w:val="18"/>
          <w:color w:val="000000"/>
        </w:rPr>
        <w:t>should be read in conjunction with the audited consolidated financial statements and the notes thereto included in the Company’s Annual Report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on Form 10-K for the year ended December 31, 2024, as filed with the SEC on February 27, 2025 (“Annual Report”).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No new accounting standards were adopted during the three months ended March 31, 2025. </w:t>
      </w:r>
      <w:r>
        <w:rPr>
          <w:rFonts w:ascii="Times New Roman" w:cs="Times New Roman" w:eastAsia="Times New Roman" w:hAnsi="Times New Roman"/>
          <w:sz w:val="18"/>
          <w:szCs w:val="18"/>
          <w:color w:val="222222"/>
        </w:rPr>
        <w:t>The Company considers the applicability and impact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recent Accounting Standards Updates (“ASUs”) issued by the Financial Accounting Standards Board (“FASB”), as noted below:</w:t>
      </w:r>
    </w:p>
    <w:p>
      <w:pPr>
        <w:spacing w:after="0" w:line="18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Improvements to Income Tax Disclosures</w:t>
      </w:r>
      <w:r>
        <w:rPr>
          <w:rFonts w:ascii="Times New Roman" w:cs="Times New Roman" w:eastAsia="Times New Roman" w:hAnsi="Times New Roman"/>
          <w:sz w:val="18"/>
          <w:szCs w:val="18"/>
          <w:color w:val="auto"/>
        </w:rPr>
        <w:t xml:space="preserve">, to provide more detailed income tax disclosure requirements. The guidance requires entities to disclose disaggregated information about their effective tax rate reconciliation as well as information on income taxes paid. The disclosure requirements will be applied on a prospective basis, with the option to apply it retrospectively. The effective date for the standard is for fiscal years beginning after </w:t>
      </w:r>
      <w:r>
        <w:rPr>
          <w:rFonts w:ascii="Times New Roman" w:cs="Times New Roman" w:eastAsia="Times New Roman" w:hAnsi="Times New Roman"/>
          <w:sz w:val="18"/>
          <w:szCs w:val="18"/>
          <w:i w:val="1"/>
          <w:iCs w:val="1"/>
          <w:color w:val="auto"/>
        </w:rPr>
        <w:t>December 15, 2024,</w:t>
      </w:r>
      <w:r>
        <w:rPr>
          <w:rFonts w:ascii="Times New Roman" w:cs="Times New Roman" w:eastAsia="Times New Roman" w:hAnsi="Times New Roman"/>
          <w:sz w:val="18"/>
          <w:szCs w:val="18"/>
          <w:color w:val="auto"/>
        </w:rPr>
        <w:t xml:space="preserve"> with early adoption permitted. The Company is currently evaluating the impact of this guidance on its related disclosures.</w:t>
      </w:r>
    </w:p>
    <w:p>
      <w:pPr>
        <w:spacing w:after="0" w:line="21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new disclosures to disaggregate prescribed natural expenses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income statement caption. This standard is effective for annual periods in fiscal years beginning after December 15, 2026, and interim periods thereafter, with early adoption permitted, and will be applied on a prospective basis. The Company is currently evaluating the impact of this guidance on the consolidated financial statements and disclosures.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Product Sales, Net</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of MACI biopsy kits, MACI implants, MACI Arthro instruments, Epicel grafts, and NexoBrid following the five-step model in Accounting Standards Codification 606, </w:t>
      </w: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set forth in an approved contract or sales order. The Company recognizes MACI kit revenue upon delivery of the biopsy kit, at which time the customer (the facility) is in control of the kit. The kit is used by the treating surgeon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Arthro Instruments</w:t>
      </w:r>
    </w:p>
    <w:p>
      <w:pPr>
        <w:spacing w:after="0" w:line="254" w:lineRule="exact"/>
        <w:rPr>
          <w:sz w:val="20"/>
          <w:szCs w:val="20"/>
          <w:color w:val="auto"/>
        </w:rPr>
      </w:pPr>
    </w:p>
    <w:p>
      <w:pPr>
        <w:jc w:val="both"/>
        <w:ind w:firstLine="243"/>
        <w:spacing w:after="0" w:line="273" w:lineRule="auto"/>
        <w:rPr>
          <w:sz w:val="20"/>
          <w:szCs w:val="20"/>
          <w:color w:val="auto"/>
        </w:rPr>
      </w:pPr>
      <w:r>
        <w:rPr>
          <w:rFonts w:ascii="Times New Roman" w:cs="Times New Roman" w:eastAsia="Times New Roman" w:hAnsi="Times New Roman"/>
          <w:sz w:val="18"/>
          <w:szCs w:val="18"/>
          <w:color w:val="auto"/>
        </w:rPr>
        <w:t>MACI Arthro instruments are sold directly to hospitals and ambulatory surgical centers based upon rates set forth in price lists. The Company recognizes revenue from the sale of MACI Arthro instruments upon delivery of the instruments, at which time the customer (the facility) is in control of the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instruments. MACI Arthro instruments can be used by an orthopedic surgeon to deliver MACI to a treated patient using an arthroscopic approach. The customer’s order of a MACI implant is separate from the process of ordering the MACI Arthro instruments. Therefore, the sale of the MACI Arthro instruments and any sale of an implant are distinct and are accounted for separately.</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each specialty pharmacy a fee in each instance when it dispenses MACI for use in treating a patient. Both Orsini and AllCare perform collection activities to collect payment from customers. In addition, the Company sells MACI directly to hospitals pursuant to an agreed upon purchase order and to a distributor, DMS Pharmaceutical Group, Inc. (“DMS”) at a contracted rate for the treatment of patients at military facilities throughout the U.S. The Company engages a third party to provide services in connection with a patient support program to manage patient cases and to ensure that complete and correct billing information is provided to the insurers and hospitals.</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a MACI implant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1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When the Company sells MACI through its specialty pharmacies,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8"/>
          <w:szCs w:val="18"/>
          <w:i w:val="1"/>
          <w:iCs w:val="1"/>
          <w:color w:val="auto"/>
        </w:rPr>
        <w:t>ASC 326, Financial Instruments - Credit Losses</w:t>
      </w:r>
      <w:r>
        <w:rPr>
          <w:rFonts w:ascii="Times New Roman" w:cs="Times New Roman" w:eastAsia="Times New Roman" w:hAnsi="Times New Roman"/>
          <w:sz w:val="18"/>
          <w:szCs w:val="18"/>
          <w:color w:val="auto"/>
        </w:rPr>
        <w:t>.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receivables as of March 31, 2025. The total allowance for uncollectible consideration as of March 31, 2025 and December 31, 2024 was $5.1 million and $5.4 million, respectively. Changes to the estimate of the amount of consideration that will not be collected could have a material impact on the revenue recognized. A 50 basis points change to the estimated uncollectible percentage could result in an approximately $0.5 million decrease or increase in the revenue recognized for the three months ended March 31, 2025.</w:t>
      </w:r>
    </w:p>
    <w:p>
      <w:pPr>
        <w:spacing w:after="0" w:line="21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period.</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The Company recognizes product revenue from sales of Epicel upon delivery to the hospital, at which time the customer is in control of the Epicel grafts and the claim is billable to the hospital.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pursuant to which MediWound will manufacture and supply NexoBrid on a unit price basis, which may be increased pursuant to the terms of the agreements.</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December 2022, the FDA approved a BLA for NexoBrid, granting a license for its commercial use in the U.S. NexoBrid is a topically-administered biological orphan product containing proteolytic enzymes. Through the 2022 BLA, NexoBrid was originally indicated for the removal of eschar in adults with deep partial-thickness and/or full thickness thermal burns. In August 2024, the FDA authorized the expansion of the product’s indication to include pediatric patients.</w:t>
      </w:r>
    </w:p>
    <w:p>
      <w:pPr>
        <w:spacing w:after="0" w:line="20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sells NexoBrid to specialty distributors. These customers subsequently resell NexoBrid to hospitals and burn centers. Product revenue is recorded net of reserves for specialty distributor fees, prompt payment or other discounts and allowances for returns, as applicable. The Company recognizes product revenue from sales of NexoBrid when the specialty distributors take control of the product, which typically occurs upon delivery to the specialty distributors.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 for the periods indicated:</w:t>
      </w: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MACI implants, kits, and instruments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based on contracted rate sold through a specialty pharmacy </w:t>
            </w:r>
            <w:r>
              <w:rPr>
                <w:rFonts w:ascii="Times New Roman" w:cs="Times New Roman" w:eastAsia="Times New Roman" w:hAnsi="Times New Roman"/>
                <w:sz w:val="23"/>
                <w:szCs w:val="23"/>
                <w:color w:val="auto"/>
                <w:vertAlign w:val="superscript"/>
              </w:rPr>
              <w:t>(a)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27,196</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subject to third party reimbursement sold through a specialty pharmacy </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and instruments - direct bill</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23"/>
        </w:trPr>
        <w:tc>
          <w:tcPr>
            <w:tcW w:w="824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Total MACI implants, kits, and instruments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40,181</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 bill (hospital)</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0" w:type="dxa"/>
            <w:vAlign w:val="bottom"/>
          </w:tcPr>
          <w:p>
            <w:pPr>
              <w:spacing w:after="0"/>
              <w:rPr>
                <w:sz w:val="1"/>
                <w:szCs w:val="1"/>
                <w:color w:val="auto"/>
              </w:rPr>
            </w:pPr>
          </w:p>
        </w:tc>
      </w:tr>
      <w:tr>
        <w:trPr>
          <w:trHeight w:val="270"/>
        </w:trPr>
        <w:tc>
          <w:tcPr>
            <w:tcW w:w="8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NexoBrid</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154305</wp:posOffset>
            </wp:positionV>
            <wp:extent cx="6943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27" w:lineRule="exact"/>
        <w:rPr>
          <w:sz w:val="20"/>
          <w:szCs w:val="20"/>
          <w:color w:val="auto"/>
        </w:rPr>
      </w:pPr>
    </w:p>
    <w:p>
      <w:pPr>
        <w:ind w:left="520" w:right="80" w:hanging="251"/>
        <w:spacing w:after="0" w:line="261" w:lineRule="auto"/>
        <w:tabs>
          <w:tab w:leader="none" w:pos="4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81" w:lineRule="exact"/>
        <w:rPr>
          <w:rFonts w:ascii="Times New Roman" w:cs="Times New Roman" w:eastAsia="Times New Roman" w:hAnsi="Times New Roman"/>
          <w:sz w:val="14"/>
          <w:szCs w:val="14"/>
          <w:color w:val="auto"/>
        </w:rPr>
      </w:pPr>
    </w:p>
    <w:p>
      <w:pPr>
        <w:ind w:left="520" w:right="80" w:hanging="251"/>
        <w:spacing w:after="0" w:line="261" w:lineRule="auto"/>
        <w:tabs>
          <w:tab w:leader="none" w:pos="50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pharmacy does not have a direct contract with the underlying payer and are subject to third-party reimbursement. The amount of reimbursement is established based on publicly available rates, fee schedules or past payer precedents.</w:t>
      </w:r>
    </w:p>
    <w:p>
      <w:pPr>
        <w:spacing w:after="0" w:line="81" w:lineRule="exact"/>
        <w:rPr>
          <w:rFonts w:ascii="Times New Roman" w:cs="Times New Roman" w:eastAsia="Times New Roman" w:hAnsi="Times New Roman"/>
          <w:sz w:val="14"/>
          <w:szCs w:val="14"/>
          <w:color w:val="auto"/>
        </w:rPr>
      </w:pPr>
    </w:p>
    <w:p>
      <w:pPr>
        <w:ind w:left="520" w:right="80" w:hanging="251"/>
        <w:spacing w:after="0" w:line="261" w:lineRule="auto"/>
        <w:tabs>
          <w:tab w:leader="none" w:pos="48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81" w:lineRule="exact"/>
        <w:rPr>
          <w:rFonts w:ascii="Times New Roman" w:cs="Times New Roman" w:eastAsia="Times New Roman" w:hAnsi="Times New Roman"/>
          <w:sz w:val="14"/>
          <w:szCs w:val="14"/>
          <w:color w:val="auto"/>
        </w:rPr>
      </w:pPr>
    </w:p>
    <w:p>
      <w:pPr>
        <w:ind w:left="520" w:right="80" w:hanging="251"/>
        <w:spacing w:after="0" w:line="261" w:lineRule="auto"/>
        <w:tabs>
          <w:tab w:leader="none" w:pos="48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81" w:lineRule="exact"/>
        <w:rPr>
          <w:rFonts w:ascii="Times New Roman" w:cs="Times New Roman" w:eastAsia="Times New Roman" w:hAnsi="Times New Roman"/>
          <w:sz w:val="14"/>
          <w:szCs w:val="14"/>
          <w:color w:val="auto"/>
        </w:rPr>
      </w:pPr>
    </w:p>
    <w:p>
      <w:pPr>
        <w:jc w:val="both"/>
        <w:ind w:left="520" w:right="80" w:hanging="251"/>
        <w:spacing w:after="0" w:line="241" w:lineRule="auto"/>
        <w:tabs>
          <w:tab w:leader="none" w:pos="47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to changes to the initial expected reimbursement or collection expectations upon completion of the billing claims process. The change in estimates is a result of additional information, changes in collection expectations or actual cash collections received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Selected Balance Sheet Components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1"/>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7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24"/>
                <w:szCs w:val="24"/>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77,990</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0" w:type="dxa"/>
            <w:vAlign w:val="bottom"/>
          </w:tcPr>
          <w:p>
            <w:pPr>
              <w:spacing w:after="0"/>
              <w:rPr>
                <w:sz w:val="1"/>
                <w:szCs w:val="1"/>
                <w:color w:val="auto"/>
              </w:rPr>
            </w:pP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130,060</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(26,899)</w:t>
            </w:r>
          </w:p>
        </w:tc>
        <w:tc>
          <w:tcPr>
            <w:tcW w:w="0" w:type="dxa"/>
            <w:vAlign w:val="bottom"/>
          </w:tcPr>
          <w:p>
            <w:pPr>
              <w:spacing w:after="0"/>
              <w:rPr>
                <w:sz w:val="1"/>
                <w:szCs w:val="1"/>
                <w:color w:val="auto"/>
              </w:rPr>
            </w:pP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2025 and 2024 was $2.5 million and $1.2 million,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 (in</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1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1720" w:type="dxa"/>
            <w:vAlign w:val="bottom"/>
            <w:gridSpan w:val="2"/>
            <w:vMerge w:val="continue"/>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 license</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778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Amortization expense for the three months ended March 31, 2025 and 2024 was $0.2 million.</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8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Future amortization expense of intangible assets as of March 31, 2025 is estimated to be as follows: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7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Bonus-related compensation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Employee-related accruals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r>
      <w:tr>
        <w:trPr>
          <w:trHeight w:val="229"/>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48"/>
        </w:trPr>
        <w:tc>
          <w:tcPr>
            <w:tcW w:w="78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leases facilities in Ann Arbor, Michigan, Cambridge, Massachusetts and Burlington, Massachusetts. The Ann Arbor facility includes office space, and the Cambridge facility includes clean rooms, laboratories for MACI and Epicel manufacturing and office space. The Company also leases offsite warehouse space and certain equipment.</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(as amended, the “Burlington Lease”) to lease approximately 126,000 square feet of manufacturing, laboratory and office space in Burlington, Massachusetts (the “Premises”), which has been under construction. The Burlington facility is substantially complete, and the Company is currently utilizing the facility’s office space. The remaining tenant improvements to the manufacturing suites and related equipment remain ongoing and will be placed in service when they are ready for their intended uses. Once validated, the facility’s manufacturing component will eventually become the primary manufacturing facility for MACI and Epicel.</w:t>
      </w:r>
    </w:p>
    <w:p>
      <w:pPr>
        <w:spacing w:after="0" w:line="21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April 2023, in connection with the Burlington Lease, the Company entered into a construction escrow agreement (the “Construction Escrow Agreement”) with the facility’s landlord and an escrow agent. Pursuant to the terms of the Construction Escrow Agreement, in April 2023, the Company began funding, into an escrow account maintained by the escrow agent, a portion of its share of tenant improvement construction costs at the facility, which are designated as restricted cash. At the same time, the facility’s landlord began funding a portion of its tenant improvement allowance through a separate escrow account. The Company funded the remaining 50% of its required cost amount, or approximately $28.3 million, with cash on hand, pursuant to the Construction Escrow Agreement in April 2024.</w:t>
      </w:r>
    </w:p>
    <w:p>
      <w:pPr>
        <w:spacing w:after="0" w:line="21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has determined that certain improvements to the Premises are landlord-owned improvements and costs incurred for these improvements are accounted for as a variable lease payment. In the three months ended March 31, 2024, the Company recorded a right-of-use asset related to landlord-owned improvements incurred of approximately $1.8 million.</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March 31, 2025 and 2024, lease expense of less than $0.2 million and $0.1 million, respectively, was recorded related to short-term leases. </w:t>
      </w:r>
      <w:r>
        <w:rPr>
          <w:rFonts w:ascii="Times New Roman" w:cs="Times New Roman" w:eastAsia="Times New Roman" w:hAnsi="Times New Roman"/>
          <w:sz w:val="18"/>
          <w:szCs w:val="18"/>
          <w:color w:val="222222"/>
        </w:rPr>
        <w:t>For the</w:t>
      </w:r>
      <w:r>
        <w:rPr>
          <w:rFonts w:ascii="Times New Roman" w:cs="Times New Roman" w:eastAsia="Times New Roman" w:hAnsi="Times New Roman"/>
          <w:sz w:val="18"/>
          <w:szCs w:val="18"/>
          <w:color w:val="auto"/>
        </w:rPr>
        <w:t xml:space="preserve"> three months ended March 31, 2025 and 2024</w:t>
      </w:r>
      <w:r>
        <w:rPr>
          <w:rFonts w:ascii="Times New Roman" w:cs="Times New Roman" w:eastAsia="Times New Roman" w:hAnsi="Times New Roman"/>
          <w:sz w:val="18"/>
          <w:szCs w:val="18"/>
          <w:color w:val="222222"/>
        </w:rPr>
        <w:t>, the Company recognized $3.0 million and $3.2 million, respectively, of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lease expense. For the </w:t>
      </w:r>
      <w:r>
        <w:rPr>
          <w:rFonts w:ascii="Times New Roman" w:cs="Times New Roman" w:eastAsia="Times New Roman" w:hAnsi="Times New Roman"/>
          <w:sz w:val="18"/>
          <w:szCs w:val="18"/>
          <w:color w:val="000000"/>
        </w:rPr>
        <w:t>three months ended March 31, 2025,</w:t>
      </w:r>
      <w:r>
        <w:rPr>
          <w:rFonts w:ascii="Times New Roman" w:cs="Times New Roman" w:eastAsia="Times New Roman" w:hAnsi="Times New Roman"/>
          <w:sz w:val="18"/>
          <w:szCs w:val="18"/>
          <w:color w:val="222222"/>
        </w:rPr>
        <w:t xml:space="preserve"> the Company recognized less than </w:t>
      </w:r>
      <w:r>
        <w:rPr>
          <w:rFonts w:ascii="Times New Roman" w:cs="Times New Roman" w:eastAsia="Times New Roman" w:hAnsi="Times New Roman"/>
          <w:sz w:val="18"/>
          <w:szCs w:val="18"/>
          <w:color w:val="000000"/>
        </w:rPr>
        <w:t>$0.1 million</w:t>
      </w:r>
      <w:r>
        <w:rPr>
          <w:rFonts w:ascii="Times New Roman" w:cs="Times New Roman" w:eastAsia="Times New Roman" w:hAnsi="Times New Roman"/>
          <w:sz w:val="18"/>
          <w:szCs w:val="18"/>
          <w:color w:val="222222"/>
        </w:rPr>
        <w:t xml:space="preserve"> of financing lease expense</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5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70,098</w:t>
            </w: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70,784</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17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w:t>
            </w: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5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89,593</w:t>
            </w: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liabilities</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99,536</w:t>
            </w:r>
          </w:p>
        </w:tc>
      </w:tr>
      <w:tr>
        <w:trPr>
          <w:trHeight w:val="21"/>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54" w:lineRule="exact"/>
        <w:rPr>
          <w:sz w:val="20"/>
          <w:szCs w:val="20"/>
          <w:color w:val="auto"/>
        </w:rPr>
      </w:pPr>
    </w:p>
    <w:p>
      <w:pPr>
        <w:jc w:val="both"/>
        <w:ind w:right="80" w:firstLine="243"/>
        <w:spacing w:after="0" w:line="267"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condensed consolidated balance sheets on a settlement date basis. The following tables summarize the gross unrealized gains and losses of the Company’s marketable securities:</w:t>
      </w: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90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81,569</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81,573</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80" w:firstLine="243"/>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all marketable securities held by the Company had remaining contractual maturities of three years or less. There have been no impairments of the Company’s assets measured and carried at fair value during the three months ended March 31, 2025 and 2024.</w:t>
      </w:r>
    </w:p>
    <w:p>
      <w:pPr>
        <w:sectPr>
          <w:pgSz w:w="11900" w:h="16838" w:orient="portrait"/>
          <w:cols w:equalWidth="0" w:num="1">
            <w:col w:w="11320"/>
          </w:cols>
          <w:pgMar w:left="320" w:top="11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0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corporate notes, U.S. government securities,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deferred compensation plan liabilities are recorded at the value of the amount owed to the plan participants, with changes in value recognized as compensation expense. The calculation of the deferred compensation plan obligation is derived from observable market data by reference to hypothetical investments selected by the participants. There were no transfers into or out of Level 3 from December 31, 2024 to March 31, 2025.</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financial instruments that are measured at fair value on a recurring basis:</w:t>
      </w:r>
    </w:p>
    <w:p>
      <w:pPr>
        <w:sectPr>
          <w:pgSz w:w="11900" w:h="16838" w:orient="portrait"/>
          <w:cols w:equalWidth="0" w:num="1">
            <w:col w:w="11240"/>
          </w:cols>
          <w:pgMar w:left="320" w:top="117" w:right="339" w:bottom="1440" w:gutter="0" w:footer="0" w:header="0"/>
        </w:sectPr>
      </w:pPr>
    </w:p>
    <w:p>
      <w:pPr>
        <w:spacing w:after="0" w:line="28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33655</wp:posOffset>
            </wp:positionV>
            <wp:extent cx="25114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33655</wp:posOffset>
            </wp:positionV>
            <wp:extent cx="2537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3" w:lineRule="exact"/>
        <w:rPr>
          <w:sz w:val="20"/>
          <w:szCs w:val="20"/>
          <w:color w:val="auto"/>
        </w:rPr>
      </w:pPr>
    </w:p>
    <w:p>
      <w:pPr>
        <w:sectPr>
          <w:pgSz w:w="11900" w:h="16838" w:orient="portrait"/>
          <w:cols w:equalWidth="0" w:num="2">
            <w:col w:w="7920" w:space="720"/>
            <w:col w:w="26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securities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251"/>
        <w:spacing w:after="0" w:line="302" w:lineRule="auto"/>
        <w:tabs>
          <w:tab w:leader="none" w:pos="37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$16.4 million and $16.2 million of U.S. government securities had an original maturity of 90 days or less and were recorded as a cash equivalent as of March 31, 2025 and December 31, 2024, respectively.</w:t>
      </w:r>
    </w:p>
    <w:p>
      <w:pPr>
        <w:spacing w:after="0" w:line="193"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Credit Agreement</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$6.2 million. Amounts available under the Revolving Credit Agreement are for the working capital needs and other general corporate purposes of the Company. The Company incurred and capitalized approximately $1.1 million of debt issuance costs related to the Revolving Credit Agreement.</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permitted to voluntarily prepay borrowings under the Revolving Credit Agreement, in whole or in part, without premium or penalty. On any business day on which the total amount of outstanding Revolving Loans (as defined in the Revolving Credit Agreement) and letters of credit exceeds the total Revolving Commitments (as defined in the Revolving Credit Agreement), the Company must prepay the Revolving Loans in an amount equal to such excess. As of March 31, 2025, there are no outstanding borrowings under the Revolving Credit Agreement.</w:t>
      </w:r>
    </w:p>
    <w:p>
      <w:pPr>
        <w:spacing w:after="0" w:line="20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Vericel Corporation 2022 Omnibus Incentive Plan (“2022 Plan”) was approved on April 27, 2022, and the Vericel Corporation Amended and Restated 2022 Omnibus Incentive Plan was approved on April 30, 2025 (“Amended and Restated 2022 Plan”). The Amended and Restated 2022 Plan provides incentives through the grant of stock options, stock appreciation rights, restricted stock awards and restricted stock units. The exercise price of stock options granted under the Amended and Restated 2022 Plan shall not be less than the fair market value of the Company’s common stock on the date of grant. The Amended and Restated 2022 Plan amended and restated the 2022 Plan, which replaced the 1992 Stock Option Plan, the 2001 Stock Option Plan, the Amended and Restated 2004 Equity Incentive Plan, the 2009 Second Amended and Restated Omnibus Incentive Plan, the 2017 Omnibus Incentive Plan, and the Amended and Restated 2019 Omnibus Incentive Plan (collectively the “Prior Plans”), and no new grants have been granted under the Prior Plans after approval of the 2022 Plan. However, the expiration or forfeiture of options previously granted under the Prior Plans will increase the number of shares available for issuance under the Amended and Restated 2022 Plan.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the employee stock purchase plan) is summarized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2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0" w:type="dxa"/>
            <w:vAlign w:val="bottom"/>
          </w:tcPr>
          <w:p>
            <w:pPr>
              <w:spacing w:after="0"/>
              <w:rPr>
                <w:sz w:val="1"/>
                <w:szCs w:val="1"/>
                <w:color w:val="auto"/>
              </w:rPr>
            </w:pPr>
          </w:p>
        </w:tc>
      </w:tr>
      <w:tr>
        <w:trPr>
          <w:trHeight w:val="223"/>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granted service-based options to purchase common stock of 502,098 and 507,162, respectively. The weighted-average grant-date fair value of service-based options granted during the three months ended March 31, 2025 and 2024 was $29.93 and $28.21 per option,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granted 468,886 and 538,425 restricted stock units, respectively. The weighted-average grant-date fair value of restricted stock units granted during the three months ended March 31, 2025 and 2024 was $54.30 and $48.25 per unit,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Common Share</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net loss per common share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48,141</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loss per common share:</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57"/>
        </w:trPr>
        <w:tc>
          <w:tcPr>
            <w:tcW w:w="8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NexoBrid License and Supply Agreements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in North America. NexoBrid is a topically-administered biological orphan product containing proteolytic enzymes, for which the FDA approved a BLA in December 2022 permitting the product’s use for the removal of eschar in adults with deep partial-thickness and/or full thickness thermal burns. Subsequently, in August 2024, the FDA approved a supplemental BLA expanding NexoBrid’s indication to include pediatric patients.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Pursuant to the terms of the license agreement, following the FDA approval of NexoBrid, MediWound transferred the BLA to Vericel. NexoBrid is approved in the European Union (“EU”) and other international markets and has been designated as an orphan biologic in the U.S., EU and other international markets.</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The FDA’s December 2022 approval of NexoBrid resulted in the achievement of a $7.5 million regulatory milestone payment pursuant to the terms of the license agreement. The Company recorded the $7.5 million milestone for the licensing rights to commercially sell NexoBrid in the U.S. as an intangible asset as of December 31, 2022. The $7.5 million milestone payment was paid to MediWound in February of 2023.</w:t>
      </w:r>
    </w:p>
    <w:p>
      <w:pPr>
        <w:spacing w:after="0" w:line="20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Additionally, the Company is obligated to pay MediWound up to $125.0 million, which is contingent upon meeting certain sales milestones. The first sales milestone payment of $7.5 million would be triggered when annual net sales of NexoBrid or improvements to NexoBrid in North America exceed $75.0 million. As of March 31, 2025, the sales milestone payments are not yet probable and therefore, not recorded as a liability. The Company also pays MediWound tiered royalties on net sales ranging from mid-high single-digit to mid-teen percentages, subject to customary reductions. Pursuant to the terms of the Company’s supply agreement with MediWound, MediWound is manufacturing, and will continue to manufacture, NexoBrid for the Company on a unit price basis, which may be increased pursuant to the terms of the supply agreement. MediWound is obligated to supply the Company with NexoBrid for sale in North America on an exclusive basis for the first five years of the term of the supply agreement. Under the supply agreement, the Company possesses the option to extend the initial term of the agreement by an additional 24 months, which it did in May 2022. After the initial term, the Company may extend the supply agreement on an annual basis for up to 10 additional years, at its sole discretion. In March 2025, the Company exercised the first of these annual extensions, extending the term of the supply agreement through at least May 2027. Under the supply agreement, the Company is permitted to establish an alternate source of supply in certain circumstances, including the event of a supply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Additionally, beginning in 2020, BARDA procured quantities of NexoBrid from MediWound for use as a medical countermeasure in the event of a mass casualty emergency in the U.S. involving thermal burns. The initial, quarterly, procurement of NexoBrid by BARDA under its agreement with MediWound was completed during the third quarter of 2022. As a part of BARDA’s commitment to procure NexoBrid, the Company received a percentage of gross profit for sales directly to BARDA. As of March 31, 2025, the Company did not hold a direct contract or distribution agreement with BARDA, or take title to the product procured by BARDA.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From time-to-time,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operates its business primarily in the U.S. in one reportable segment - the research, product development, manufacture and distribution of cellular therapies and specialty biologics for use in the treatment of specific conditions. The Company is managed on a consolidated basis.</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was determined to be the Company’s chief operating decision maker (“CODM”). The CODM reviews and evaluates revenue, expenses and consolidated net income (loss), consistent with what is reported on the consolidated statement of operations, for purposes of assessing performance, making operating decisions, allocating resources, and planning and forecasting for future periods.</w:t>
      </w:r>
    </w:p>
    <w:p>
      <w:pPr>
        <w:spacing w:after="0" w:line="20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within the Company’s consolidated statements of operations, see below for disaggregated amounts that comprise selling, general and administrative expenses: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22,803</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41,804</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243"/>
        <w:spacing w:after="0" w:line="247"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leading provider of advanced therapies for the sports medicine and severe burn care markets. Whether we are treating damaged cartilage or severe burns, we provide advanced therapies to repair serious injuries and restore lives. Our highly differentiated portfolio of cell therapy and specialty biologic products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that is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MACI Arthro™ allows surgeons to evaluate and prepare the cartilage defect site as well as deliver the MACI implant through small incisions using custom-designed arthroscopic instruments developed by the Company (“MACI Arthro instruments”). MACI Arthro became commercially available in the United States during the third quarter of 2024 and the Company began selling the MACI Arthro instruments at that time.</w:t>
      </w:r>
    </w:p>
    <w:p>
      <w:pPr>
        <w:spacing w:after="0" w:line="219" w:lineRule="exact"/>
        <w:rPr>
          <w:sz w:val="20"/>
          <w:szCs w:val="20"/>
          <w:color w:val="auto"/>
        </w:rPr>
      </w:pPr>
    </w:p>
    <w:p>
      <w:pPr>
        <w:jc w:val="both"/>
        <w:ind w:firstLine="243"/>
        <w:spacing w:after="0" w:line="229" w:lineRule="auto"/>
        <w:rPr>
          <w:sz w:val="20"/>
          <w:szCs w:val="20"/>
          <w:color w:val="auto"/>
        </w:rPr>
      </w:pPr>
      <w:r>
        <w:rPr>
          <w:rFonts w:ascii="Times New Roman" w:cs="Times New Roman" w:eastAsia="Times New Roman" w:hAnsi="Times New Roman"/>
          <w:sz w:val="18"/>
          <w:szCs w:val="18"/>
          <w:color w:val="auto"/>
        </w:rPr>
        <w:t>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indicated for the treatment of adult and pediatric patients with deep-dermal or full-thickness burns comprising greater than or equal to 30 percent of a patient’s total body surface area (“TBSA”). We also hold an exclusive license from MediWound Ltd.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(anacaulase-bcdb), a topically-administered biological orphan product containing proteolytic enzymes, which is indicated for the removal of eschar in adult and pediatric patients with deep partial-thickness and/or full-thickness thermal burns.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Ongoing Conflicts in the Middle East</w:t>
      </w:r>
    </w:p>
    <w:p>
      <w:pPr>
        <w:spacing w:after="0" w:line="24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continue to monitor the ongoing conflicts in the Middle East region involving Israel, and we are in close communication with MediWound leadership. MediWound’s NexoBrid manufacturing operations are continuing and, as of the date of this disclosure, MediWound does not anticipate a material disruption to its ongoing supply of commercial NexoBrid to the U.S. To the extent the conflicts in the Middle East region intensify or expand and MediWound’s facilities in Israel are damaged 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destroyed, travel to and from Israel is halted or inhibited, or significant key MediWound operational personnel are called to military service, MediWound’s ability to continue to supply NexoBrid to the U.S. market could be disrupted. As of the date of this report, we maintain an ample supply of NexoBrid at our U.S.-based third-party logistics provider.</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Trade Policy</w:t>
      </w:r>
    </w:p>
    <w:p>
      <w:pPr>
        <w:spacing w:after="0" w:line="24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U.S government recently announced a broad range of tariffs on foreign goods imported into the U.S., with certain nations and regions responding with retaliatory tariffs on U.S. goods.</w:t>
      </w:r>
    </w:p>
    <w:p>
      <w:pPr>
        <w:spacing w:after="0" w:line="18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continue to monitor evolving trade policies as part of our ongoing risk assessment process. We anticipate minimal impact on our business and operations from these tariffs, or future tariffs on pharmaceuticals that may be announced. All of our operations are located in the U.S. and 100% of our revenue in 2025, and for the next several years, is expected to be derived from domestic sales. The majority of our manufacturing costs are fixed costs consisting of labor and overhead required to produce MACI and Epicel at our manufacturing facility in Massachusetts. Materials to support manufacturing operations are primarily purchased from U.S. suppliers. Based on the limited costs associated with imported materials, we expect that current or future tariffs will have an insignificant impact on its cost of goods sold and gross margin moving forward. In addition, because we maintain significant safety stock of most materials, including NexoBrid finished product and the ACI-Maix collagen membrane used to manufacture MACI, we expect that the impact of current or future tariffs on its cost of goods sold and gross margin in 2025 and 2026 will be negligible.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 In January 2022, we entered into a lease agreement (as amended, the “Burlington Lease”) to lease approximately 126,000 square feet of manufacturing, laboratory and office space in Burlington, Massachusetts, which has been under construction. The Burlington facility is substantially complete, and we are currently utilizing the facility’s office space. Once validated, the facility’s manufacturing component will eventually become the primary manufacturing facility for MACI and Epicel.</w:t>
      </w:r>
    </w:p>
    <w:p>
      <w:pPr>
        <w:spacing w:after="0" w:line="21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current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In connection with our MACI product, we sell MACI biopsy kits, which are used by treating surgeons to obtain a sample of cartilage tissue, which is later sent to us. If a patient decides to move forward with MACI treatment, we subsequently use the cartilage sample to manufacture a MACI implant. When an orthopedic surgeon decides to treat a patient by implanting MACI through an arthroscopic approach the surgeon may choose to use our custom MACI Arthro instruments during the procedure, which we sell by way of a separate transaction.</w:t>
      </w:r>
    </w:p>
    <w:p>
      <w:pPr>
        <w:spacing w:after="0" w:line="21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Epicel is a permanent skin replacement indicated for the treatment of adult and pediatric patients with deep-dermal or full-thickness burns comprising greater than or equal to 30 percent of a patient’s TBSA. Both autologous cell therapy products are currently manufactured and marketed in the U.S. NexoBrid is a topically-administered biological orphan product containing proteolytic enzymes that is indicated for eschar removal in adult and pediatric patients with deep partial-thickness and/or full-thickness burns. We hold exclusive license and supply agreements with MediWound to commercialize NexoBrid in North America. The Company operates its business primarily in the U.S. in one reportable segment - the research, product development, manufacture and distribution of cellular therapies and specialty biologics for use in the treatment of specific conditions.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formal specialty training in sports medicine, and a subpopulation of general orthopedic surgeons who perform a high volume of cartilage repair procedures involving the knee. Our MACI commercial team consists of individual sales representatives that regularly engage with our target audience. The team is divided into geographic regions and is managed by a senior sales leadership team.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14" w:lineRule="exact"/>
        <w:rPr>
          <w:sz w:val="20"/>
          <w:szCs w:val="20"/>
          <w:color w:val="auto"/>
        </w:rPr>
      </w:pPr>
    </w:p>
    <w:p>
      <w:pPr>
        <w:jc w:val="both"/>
        <w:ind w:firstLine="243"/>
        <w:spacing w:after="0" w:line="247" w:lineRule="auto"/>
        <w:rPr>
          <w:sz w:val="20"/>
          <w:szCs w:val="20"/>
          <w:color w:val="auto"/>
        </w:rPr>
      </w:pPr>
      <w:r>
        <w:rPr>
          <w:rFonts w:ascii="Times New Roman" w:cs="Times New Roman" w:eastAsia="Times New Roman" w:hAnsi="Times New Roman"/>
          <w:sz w:val="18"/>
          <w:szCs w:val="18"/>
          <w:color w:val="auto"/>
        </w:rPr>
        <w:t>MACI consists of autologous cultured chondrocytes, which are human-derived cells that are obtained from the patient’s own cartilage, and which are seeded onto resorbable Type I/III collagen membrane.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permitting the repair of single or multiple full-thickness cartilage defects of the knee up to 4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 size via an arthroscopic approach. MACI Arthro provides a less invasive technique compared to the open arthrotomy approach and allows surgeons to evaluate, prepare and treat the cartilage defect, and deliver the MACI implant, under direct arthroscopic visualization and, should the surgeon so choose, to use specialized and custom-designed instruments (the “MACI Arthro instruments”) through small incisions or portals. The arthroscopic delivery of MACI could increase the ease of MACI’s use for physicians and may reduce both the length of the procedure as well as procedure-induced trauma, which may result in a reduction of a patient’s post-operative pain and accelerate a patient’s recovery. MACI Arthro became commercially available in the United States during the third quarter of 2024 and we began selling the MACI Arthro instruments at that time. We believe that the availability of MACI Arthro provides a significant growth opportunity for the overall MACI business. In conjunction with the launch of MACI Arthro, we have expanded our target surgeon base from 5,000 to 7,000 to include orthopedic surgeons that perform high volumes of knee cartilage repair surgeries, predominantly through arthroscopic procedures.</w:t>
      </w:r>
    </w:p>
    <w:p>
      <w:pPr>
        <w:spacing w:after="0" w:line="22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also are evaluating the feasibility and potential market opportunity involved in delivering MACI treatment to patients suffering from cartilage damage in the ankle. We believe that this potential lifecycle enhancement and indication expansion for MACI will require conducting an additional randomized clinical trial concerning the product’s use in the ankle and we are on track to initiate a MACI Ankle clinical trial beginning in 2025. If approved, we believe MACI’s label expansion allowing its use to repair cartilage defects in the ankle will be a significant long-term growth driver for the product in the coming years.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TBSA. Epicel is regulated by the Center for Biologics Evaluation and Research (“CBER”) of the FDA under medical device authorities, and is the only FDA-approved cultured epidermal autograft product available for large total surface area burns in both adult and pediatric patients. Epicel was designated as a HUD in 1998 and a Humanitarian Device Exemption (“HDE”) application for the product was submitted in 1999. HUDs are devices that are intended for diseases or conditions that affect fewer than 8,000 individuals annually in the U.S., and certain HUDs are restricted by the amount which a manufacturer may charge for its use.</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Epicel is not price-restricted in this manner because on February 18, 2016, the FDA approved our HDE supplement to revise the labeled indications of use for Epicel to specifically include pediatric patients, thus allowing Epicel to be sold for profit.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portfolio of commercial-stage products also includes NexoBrid (anacaulase-bcdb), a topically-administered biological orphan product containing proteolytic enzymes, for which the FDA approved a BLA in December 2022, permitting the product’s use for the removal of eschar in adults with deep partial-thickness and/or full thickness thermal burns. Subsequently, in August 2024, the FDA approved a sBLA expanding NexoBrid’s indication to include pediatric patients.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firstLine="243"/>
        <w:spacing w:after="0" w:line="254"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will permit us to treat a significantly larger segment of hospitalized burn patients than with Epicel alone. The expansion of our target addressable market supports a broader commercial footprint, and we believe that this may help drive both increased NexoBrid use as well as increased Epicel awareness throughout the burn care space. Both our Epicel and NexoBrid products are serviced by our burn care field force, which consists of individual sales and clinical representatives that regularly engage with our target audience. The team is divided into geographical regions and is managed by a senior sales leadership team.</w:t>
      </w:r>
    </w:p>
    <w:p>
      <w:pPr>
        <w:spacing w:after="0" w:line="21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to commercialize NexoBrid in North America. 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summary of our condensed consolidated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41,804</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49,065</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(12,792)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134.1 %</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191.2 %</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March 31, 2025 and 2024</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Revenue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 by product is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6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46,297</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40,181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206.7 %</w:t>
            </w:r>
          </w:p>
        </w:tc>
        <w:tc>
          <w:tcPr>
            <w:tcW w:w="0" w:type="dxa"/>
            <w:vAlign w:val="bottom"/>
          </w:tcPr>
          <w:p>
            <w:pPr>
              <w:spacing w:after="0"/>
              <w:rPr>
                <w:sz w:val="1"/>
                <w:szCs w:val="1"/>
                <w:color w:val="auto"/>
              </w:rPr>
            </w:pPr>
          </w:p>
        </w:tc>
      </w:tr>
      <w:tr>
        <w:trPr>
          <w:trHeight w:val="223"/>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52,598</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51,281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Total revenue increase for the three months ended March 31, 2025, compared to the same period in 2024, was driven primarily by MACI volume and price growth and NexoBrid volume growth, partially offset by lower Epicel volume.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Sales of MACI implants have historically experienced a level of seasonality throughout the year. In the last five years through 2024, MACI sales volumes from the first through the fourth quarter on average represented 21% (20%-22% range), 22% (16%-24% range), 23% (21%-26% range) and 34% (33%-38% range) respectively, of total annual volumes. Historically, MACI orders are normally stronger in the fourth quarter due to several factors including the satisfaction by patients of insurance deductible limits and the time of year patients prefer to start rehabilitation. Due to the low incidence and variable occurrence of severe burns, Epicel revenue has inherent variability from quarter-to-quarter and does not exhibit significant seasonality. U.S. sales of NexoBrid began September of 2023, and as such we are still relatively early in its commercial launch, but we do not expect NexoBrid revenue to experience significant seasonality given its emergent use in treating severe burns.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Gross profit increase for the three months ended March 31, 2025, compared to the same period in 2024, was driven by MACI revenue growth, combined with our primarily fixed manufacturing cost structure which consists mainly of labor and facility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research and development expenses, which include materials, professional fees and an allocation of employee-related salary and fringe benefit costs for our research and development projects: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6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MACI</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Epicel</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NexoBrid</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102.5 %</w:t>
            </w:r>
          </w:p>
        </w:tc>
        <w:tc>
          <w:tcPr>
            <w:tcW w:w="0" w:type="dxa"/>
            <w:vAlign w:val="bottom"/>
          </w:tcPr>
          <w:p>
            <w:pPr>
              <w:spacing w:after="0"/>
              <w:rPr>
                <w:sz w:val="1"/>
                <w:szCs w:val="1"/>
                <w:color w:val="auto"/>
              </w:rPr>
            </w:pPr>
          </w:p>
        </w:tc>
      </w:tr>
      <w:tr>
        <w:trPr>
          <w:trHeight w:val="223"/>
        </w:trPr>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for the three months ended March 31, 2025, compared to the same period in 2024. The increase is primarily due to higher headcount and employee expenses.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2025 were $41.8 million, compared to $34.4 million for the same period in 2024. The increase in selling, general and administrative expenses was primarily due to higher headcount and employee expenses, including stock compensation, an increase in marketing programs and events, and depreciation expense for the new facility in Burlington, 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w:t>
      </w:r>
    </w:p>
    <w:p>
      <w:pPr>
        <w:spacing w:after="0" w:line="2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decrease in other income for the three months ended March 31, 2025, compared to the same period in 2024 was due to a decrease in interest income primarily due to fluctuations in the rates of return on our investments in various marketable debt securities and money market funds.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28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23"/>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increase in stock-based compensation expense for the three months ended March 31, 2025, compared to the same period in 2024, was due primarily to fluctuations in stock prices and the mix of service-based options and restricted stock units, which impacts the fair value of the options and restricted stock units awarded and the expense recognized in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40" w:type="dxa"/>
            <w:vAlign w:val="bottom"/>
            <w:gridSpan w:val="4"/>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(25,452)</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23"/>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cash, cash equivalents and restricted cash totaled $79.7 million, short-term investments totaled $39.4 million and long-term investments totaled $43.3 million as of March 31, 2025. The $6.6 million of cash provided by operations during the three months ended March 31, 2025 was primarily the result of non-cash charges of $11.5 million related to stock-based compensation expense, $2.7 million in depreciation and amortization expense and $1.4 million of operating lease amortization, partially offset by a net loss of $11.2 million and a net increase of $1.4 million related to movements in our working capital accounts. The overall increase in cash from our working capital accounts was primarily driven by a decrease in accounts receivable due to cash collections and receipts of tenant improvement allowances which exceeded payments on operating leases amortization, offset by a decrease in accounts payable and accrued expenses due to timing of payments.</w:t>
      </w:r>
    </w:p>
    <w:p>
      <w:pPr>
        <w:spacing w:after="0" w:line="21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cash, cash equivalents and restricted cash totaled $70.7 million, short-term investments totaled $47.7 million and long-term investments totaled $29.4 million as of March 31, 2024. The $7.2 million of cash provided by operations during the three months ended March 31, 2024 was primarily the result of non-cash charges of $9.8 million related to stock-based compensation expense, $1.8 million of operating lease amortization and $1.4 million in depreciation and amortization expense, offset by a net loss of $3.9 million and a net decrease of $1.9 million related to movements in our working capital accounts. The overall increase in cash from our working capital accounts was primarily driven by a decrease in accounts receivable due to cash collections on the sales from the previous sequential quarter and receipts of tenant improvement allowances which exceeded payments on operating leases amortization, offset by a decrease in accounts payable and accrued expenses due to timing of payments.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2025 was the result of $14.2 million of property and equipment purchases primarily for construction in process related to the Burlington Lease and $13.4 million in investment purchases, partially offset by $12.5 million of investment sales and maturities.</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2024 was the result of $22.6 million in investment purchases and $14.0 million of property and equipment purchases primarily for construction in process related to the Burlington Lease, partially offset by $11.1 million of investment sales and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54" w:lineRule="exact"/>
        <w:rPr>
          <w:sz w:val="20"/>
          <w:szCs w:val="20"/>
          <w:color w:val="auto"/>
        </w:rPr>
      </w:pPr>
    </w:p>
    <w:p>
      <w:pPr>
        <w:jc w:val="both"/>
        <w:ind w:right="500"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2025 was the result of net proceeds from the exercise of stock options and the employee stock purchase plan of $9.4 million, partially offset by the payment of employee withholding taxes related to the vesting of restricted stock units of $6.2 million.</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2024 was the result of net proceeds from the exercise of stock options and purchases under the employee stock purchase plan of $7.0 million, partially offset by the payment of employee withholding taxes related to the vesting of restricted stock units of $4.9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including NexoBrid. To date, we have financed our operations primarily through cash received through MACI, Epicel and NexoBrid sales, debt, and public and private sales of our equity securities. In the future, we may finance our operations through the sales of equity securities, revolver borrowings or other debt financings, in addition to cash generated from operations.</w:t>
      </w:r>
    </w:p>
    <w:p>
      <w:pPr>
        <w:spacing w:after="0" w:line="21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available borrowing capacity will be sufficient to support our current operations through at least 12 months from the issuance of the condensed consolidated financial statements included in this report. Our actual cash requirements may differ from projections and will depend on many factors, including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global macroeconomic conditions, costs associated with possible acquisitions or development of complementary business activities, and the cost to market our products.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2025, we were not party to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222222"/>
        </w:rPr>
        <w:t xml:space="preserve">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w:t>
      </w:r>
      <w:r>
        <w:rPr>
          <w:rFonts w:ascii="Times New Roman" w:cs="Times New Roman" w:eastAsia="Times New Roman" w:hAnsi="Times New Roman"/>
          <w:sz w:val="18"/>
          <w:szCs w:val="18"/>
          <w:color w:val="000000"/>
        </w:rPr>
        <w:t>As of March 31, 2025,</w:t>
      </w:r>
      <w:r>
        <w:rPr>
          <w:rFonts w:ascii="Times New Roman" w:cs="Times New Roman" w:eastAsia="Times New Roman" w:hAnsi="Times New Roman"/>
          <w:sz w:val="18"/>
          <w:szCs w:val="18"/>
          <w:color w:val="222222"/>
        </w:rPr>
        <w:t xml:space="preserve"> there are no outstanding borrowings under the Revolving Credit Agreement, and we are in compliance with all applicable covenant requirements. See Note 8, “Revolving Credit Agreement” in the accompanying condensed consolidated financial statements for further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in the heading “Management’s Discussion and Analysis of Financial Conditions and Results of Operations - Contractual Obligations” in our Annual Report on Form 10-K for the year ended December 31, 2024. There have been no other material changes, outside of the ordinary course of business, to our contractual obligations and commitments since December 31,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liabilities, revenues, expenses, and related disclosures. Actual results may differ materially from these estimates under different assumptions and conditions.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in the three months ended March 31, 2025. For further information, refer to our summary of significant accounting policies and estimates in our Annual Report on Form 10-K filed for the year ended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8"/>
          <w:szCs w:val="18"/>
          <w:color w:val="auto"/>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MACI Arthro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growth in profit, gross margins and operating margins, the ability to continue to scale our manufacturing operations to meet the demand for our cell therapy products, including the timely completion and qualification of a new manufacturing facility in Burlington, Massachusetts, the ability to sustain profitability, contributions to adjusted EBITDA, the expected target surgeon audience, potential fluctuations in sales and volumes and our results of operations over the course of the year, timing and conduct of clinical trial and product development activities, timing and likelihood of the FDA’s potential approval of the use of MACI to treat cartilage defects in the ankle, the estimate of the commercial growth potential of our products and product candidates, competitive developments, changes in third-party coverage and reimbursement, including recent and future healthcare reform measures and private payor initiatives, surgeon adoption of MACI Arthro, physician and burn center adoption of NexoBrid, labor strikes, changes in surgeon and hospital treatment prioritizations caused by the temporary shortage of essential medical supplies, supply chain disruptions or other events or factors that might affect our ability to manufacture MACI or Epicel or affect MediWound’s ability to manufacture and supply sufficient quantities of NexoBrid to meet customer demand, including but not limited to the ongoing conflicts in the Middle East region involving Israel, negative impacts on the global economy and capital markets resulting from the conflict in Ukraine and the Middle East conflicts, changes in trade policies and regulations, including the potential for increases or changes in duties, current and potentially new tariffs or quotas, lingering effects of adverse developments affecting financial institutions, companies in the financial services industry or the financial services industry generally, possible changes in governmental monetary and fiscal policies, including, but not limited to, Federal Reserve policies in connection with continued inflationary pressures, the impact from future regulatory, judicial and legislative changes to our industry, global geopolitical tensions and potential future impacts on our business or the economy generally stemming from a public health emergency.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on Form 10-K under “Part I, Item 1A Risk Factors.”</w:t>
      </w:r>
    </w:p>
    <w:p>
      <w:pPr>
        <w:spacing w:after="0" w:line="23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of our Annual Report on Form 10-K for the year ended December 31, 2024. Our exposures to market risk have not changed materially since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March 31, 2025, the Company’s Certifying Officers concluded that the Company’s disclosure controls and procedures were effective.</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management of the Company, with the participation of its Certifying Officers,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there were no material changes made in our internal control over financial reporting (as such term is defined in Rules 13a-15(f) and 15d-15(f) of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 to time we may become involved in disputes in connection with the operation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Factors that could cause the Company’s actual results to differ materially from those in this Quarterly Report are any of the risks described in our Annual Report on Form 10-K for the fiscal year ended December 31, 2024, filed with the SEC on February 27, 2025. Any of these factors could result in a significant or material adverse effect on our results of operations or financial condition. Additional risk factors not presently known to us or that we currently deem immaterial may also impair our business or results of operations. With the exception of the risk factor below, as of the date of this Quarterly Report on Form 10-Q, there have been no material changes to the risk factors disclosed in our Annual Report on Form 10-K for the fiscal year ended December 31, 2024.</w:t>
      </w:r>
    </w:p>
    <w:p>
      <w:pPr>
        <w:spacing w:after="0" w:line="210" w:lineRule="exact"/>
        <w:rPr>
          <w:sz w:val="20"/>
          <w:szCs w:val="20"/>
          <w:color w:val="auto"/>
        </w:rPr>
      </w:pPr>
    </w:p>
    <w:p>
      <w:pPr>
        <w:jc w:val="both"/>
        <w:ind w:firstLine="24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and/or other disruptions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regulatory submissions and new products can be affected by a variety of factors, including government budget and funding levels, the ability to hire and retain key personnel, and statutory, regulatory, and policy changes. For example, the Trump administration has taken several executive actions, including the issuance of several Executive Orders, that could impose significant burdens on, or otherwise materially delay, the FDA’s ability to engage in routine oversight activities, such as implementing statutes through rulemaking, issuance of guidance, and review and approval of marketing applications. The average time to review and approve regulatory submissions at the agency has fluctuated in recent years as a result of some of these factors. In addition, government funding of the SEC and other government agencies on which our operations may depend, including those that fund research and development activities, is subject to the political process, which is inherently unpredictable. On January 20, 2025, President Trump signed an executive order creating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advisory commission, the “Department of Government Efficiency” to reform federal government processes and reduce expenditures. Potential changes in U.S. federal government budgetary priorities and spending could adversely affect funding and staffing levels at the FDA, which could impose constraints on its ability to engage in oversight and respond in a timely manner to product related submissions, including with respect to its ongoing review of our Investigational New Drug application, amendments and supplements for MACI Ankle clinical trial activity for which we expect to begin enrollment during the second half of 2025.</w:t>
      </w:r>
    </w:p>
    <w:p>
      <w:pPr>
        <w:spacing w:after="0" w:line="21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to review and/or approve product candidates or changes to existing products, approve the qualification of the Burlington manufacturing facility and/or conduct required inspections of our and/or third-party manufacturing and testing facilities, and approve and/or inspect third-party contractors and/or potential new or alternate suppliers of materials used in our MACI and Epicel cell manufacturing processes, all of which would adversely affect our business. For example, beginning on February 13, 2025, the Department of Health and Human Services began firing a large number of its probationary employees, a category that includes new federal employees and employees recently promoted or transferred to new positions or agencies. Larger layoffs may follow, according to a memorandum issued by the Office of Personnel Management on February 26, 2025. These terminations, if they withstand legal challenges, may significantly delay and impede our interactions with FDA. Similar results may stem from the recent confirmed resignations of some senior FDA employees with responsibility for regulation of drugs and biologics, as well as possible future layoffs and resignations. If such layoffs, further resignations, or other disruptions occur in the future, it could significantly impact the ability of the FDA to perform any of the functions described above, which could have a material adverse effect on our business.</w:t>
      </w:r>
    </w:p>
    <w:p>
      <w:pPr>
        <w:spacing w:after="0" w:line="22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Additionally, with the change in presidential administrations in 2025, there is substantial uncertainty as to how, if at all, the new administration will seek to modify or revise the requirements and policies of the FDA and other regulatory agencies with jurisdiction over our products and product candidates. The FDA’s policies may change, and additional government regulations may be enacted that could prevent, limit or delay regulatory approval of our products. We cannot predict the likelihood, nature or extent of government regulation that may arise from future legislation or administrative or executive action. If we are slow or unable to adapt to any changes in existing requirements or the adoption of new requirements or policies, or if we are not able to maintain regulatory compliance, we may lose any marketing approval that we may have obtained.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following Section 16 officers or directors adopted, modified or terminated a “Rule 10b5-1 trading arrangement” (as defined in Item 408 of Regulation S-K of the Exchange Act).</w:t>
      </w:r>
    </w:p>
    <w:p>
      <w:pPr>
        <w:spacing w:after="0" w:line="189" w:lineRule="exact"/>
        <w:rPr>
          <w:sz w:val="20"/>
          <w:szCs w:val="20"/>
          <w:color w:val="auto"/>
        </w:rPr>
      </w:pPr>
    </w:p>
    <w:p>
      <w:pPr>
        <w:ind w:left="260" w:hanging="252"/>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2025, Sean Flynn, Vericel Corporation’s Chief Legal Officer, entered into a Rule 10b5-1 trading arrangement providing for the potential sale of up to 41,825 shares of our common stock between June 5, 2025 and June 30, 2026; and</w:t>
      </w:r>
    </w:p>
    <w:p>
      <w:pPr>
        <w:spacing w:after="0" w:line="188"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14, 2025, Jonathan Siegal, Vericel Corporation’s Principal Accounting Officer, entered into a 10b5-1 Plan providing for the potential sale of up to 51,798 shares of our common stock between June 12, 2025 and February 27, 2026.</w:t>
      </w:r>
    </w:p>
    <w:p>
      <w:pPr>
        <w:spacing w:after="0" w:line="18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three months ended March 31, 2025 by our Section 16 officers or directors.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Exhibits listed in the Exhibit Index are filed as a part of this Quarterly Report on Form 10-Q.</w:t>
      </w: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5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3.3</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3.4</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3.5</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4.1</w:t>
      </w:r>
    </w:p>
    <w:p>
      <w:pPr>
        <w:spacing w:after="0" w:line="20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31.1*</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31.2*</w:t>
      </w:r>
    </w:p>
    <w:p>
      <w:pPr>
        <w:spacing w:after="0" w:line="38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32.1*</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6"/>
          <w:szCs w:val="16"/>
          <w:color w:val="auto"/>
        </w:rPr>
        <w:t>*</w:t>
      </w:r>
    </w:p>
    <w:p>
      <w:pPr>
        <w:spacing w:after="0" w:line="2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101.INS*</w:t>
      </w:r>
    </w:p>
    <w:p>
      <w:pPr>
        <w:spacing w:after="0" w:line="2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101.SCH*</w:t>
      </w:r>
    </w:p>
    <w:p>
      <w:pPr>
        <w:spacing w:after="0" w:line="20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101.CAL*</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101.LAB*</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101.PRE*</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101.DEF*</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20" w:type="dxa"/>
            <w:vAlign w:val="bottom"/>
            <w:gridSpan w:val="10"/>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gridSpan w:val="10"/>
            <w:vMerge w:val="continue"/>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5"/>
        </w:trPr>
        <w:tc>
          <w:tcPr>
            <w:tcW w:w="2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December 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10"/>
          </w:tcPr>
          <w:p>
            <w:pPr>
              <w:spacing w:after="0" w:line="20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Restated Articles of Incorporation of the Company.</w:t>
              </w:r>
            </w:hyperlink>
          </w:p>
        </w:tc>
        <w:tc>
          <w:tcPr>
            <w:tcW w:w="12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Certificate of Amendment to Restated Articles of</w:t>
              </w:r>
            </w:hyperlink>
          </w:p>
        </w:tc>
        <w:tc>
          <w:tcPr>
            <w:tcW w:w="940" w:type="dxa"/>
            <w:vAlign w:val="bottom"/>
            <w:gridSpan w:val="6"/>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Incorporation of the Company dated February 9,</w:t>
              </w:r>
            </w:hyperlink>
          </w:p>
        </w:tc>
        <w:tc>
          <w:tcPr>
            <w:tcW w:w="400" w:type="dxa"/>
            <w:vAlign w:val="bottom"/>
            <w:tcBorders>
              <w:bottom w:val="single" w:sz="8" w:color="0000FF"/>
            </w:tcBorders>
            <w:gridSpan w:val="4"/>
          </w:tcPr>
          <w:p>
            <w:pPr>
              <w:jc w:val="right"/>
              <w:spacing w:after="0" w:line="136" w:lineRule="exact"/>
              <w:rPr>
                <w:rFonts w:ascii="Times New Roman" w:cs="Times New Roman" w:eastAsia="Times New Roman" w:hAnsi="Times New Roman"/>
                <w:sz w:val="15"/>
                <w:szCs w:val="15"/>
                <w:color w:val="0000FF"/>
              </w:rPr>
            </w:pPr>
            <w:hyperlink r:id="rId50">
              <w:r>
                <w:rPr>
                  <w:rFonts w:ascii="Times New Roman" w:cs="Times New Roman" w:eastAsia="Times New Roman" w:hAnsi="Times New Roman"/>
                  <w:sz w:val="15"/>
                  <w:szCs w:val="15"/>
                  <w:color w:val="0000FF"/>
                </w:rPr>
                <w:t>2010.</w:t>
              </w:r>
            </w:hyperlink>
          </w:p>
        </w:tc>
        <w:tc>
          <w:tcPr>
            <w:tcW w:w="22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120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8"/>
                <w:szCs w:val="18"/>
                <w:color w:val="auto"/>
              </w:rPr>
              <w:t>S-1</w:t>
            </w: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333-160044</w:t>
            </w:r>
          </w:p>
        </w:tc>
        <w:tc>
          <w:tcPr>
            <w:tcW w:w="1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March 31, 2010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Certificate of Amendment to Restated Articles of</w:t>
              </w:r>
            </w:hyperlink>
          </w:p>
        </w:tc>
        <w:tc>
          <w:tcPr>
            <w:tcW w:w="1080" w:type="dxa"/>
            <w:vAlign w:val="bottom"/>
            <w:gridSpan w:val="7"/>
          </w:tcPr>
          <w:p>
            <w:pPr>
              <w:spacing w:after="0"/>
              <w:rPr>
                <w:sz w:val="19"/>
                <w:szCs w:val="19"/>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9"/>
                <w:szCs w:val="1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25, 2011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tcBorders>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Incorporation of the Company dated March 22, 2011.</w:t>
              </w:r>
            </w:hyperlink>
          </w:p>
        </w:tc>
        <w:tc>
          <w:tcPr>
            <w:tcW w:w="780" w:type="dxa"/>
            <w:vAlign w:val="bottom"/>
            <w:gridSpan w:val="4"/>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10"/>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Certificate of Amendment to the Restated Articles of</w:t>
              </w:r>
            </w:hyperlink>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Incorporation of the Company, dated November 21,</w:t>
              </w:r>
            </w:hyperlink>
          </w:p>
        </w:tc>
        <w:tc>
          <w:tcPr>
            <w:tcW w:w="360" w:type="dxa"/>
            <w:vAlign w:val="bottom"/>
            <w:tcBorders>
              <w:bottom w:val="single" w:sz="8" w:color="0000FF"/>
            </w:tcBorders>
            <w:gridSpan w:val="3"/>
          </w:tcPr>
          <w:p>
            <w:pPr>
              <w:jc w:val="right"/>
              <w:spacing w:after="0" w:line="136" w:lineRule="exact"/>
              <w:rPr>
                <w:rFonts w:ascii="Times New Roman" w:cs="Times New Roman" w:eastAsia="Times New Roman" w:hAnsi="Times New Roman"/>
                <w:sz w:val="15"/>
                <w:szCs w:val="15"/>
                <w:color w:val="0000FF"/>
              </w:rPr>
            </w:pPr>
            <w:hyperlink r:id="rId52">
              <w:r>
                <w:rPr>
                  <w:rFonts w:ascii="Times New Roman" w:cs="Times New Roman" w:eastAsia="Times New Roman" w:hAnsi="Times New Roman"/>
                  <w:sz w:val="15"/>
                  <w:szCs w:val="15"/>
                  <w:color w:val="0000FF"/>
                </w:rPr>
                <w:t>2014.</w:t>
              </w:r>
            </w:hyperlink>
          </w:p>
        </w:tc>
        <w:tc>
          <w:tcPr>
            <w:tcW w:w="460" w:type="dxa"/>
            <w:vAlign w:val="bottom"/>
            <w:gridSpan w:val="2"/>
          </w:tcPr>
          <w:p>
            <w:pPr>
              <w:spacing w:after="0"/>
              <w:rPr>
                <w:sz w:val="13"/>
                <w:szCs w:val="13"/>
                <w:color w:val="auto"/>
              </w:rPr>
            </w:pPr>
          </w:p>
        </w:tc>
        <w:tc>
          <w:tcPr>
            <w:tcW w:w="120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202" w:lineRule="exact"/>
              <w:rPr>
                <w:rFonts w:ascii="Times New Roman" w:cs="Times New Roman" w:eastAsia="Times New Roman" w:hAnsi="Times New Roman"/>
                <w:sz w:val="18"/>
                <w:szCs w:val="18"/>
                <w:color w:val="0000FF"/>
                <w:w w:val="98"/>
              </w:rPr>
            </w:pPr>
            <w:hyperlink r:id="rId53">
              <w:r>
                <w:rPr>
                  <w:rFonts w:ascii="Times New Roman" w:cs="Times New Roman" w:eastAsia="Times New Roman" w:hAnsi="Times New Roman"/>
                  <w:sz w:val="18"/>
                  <w:szCs w:val="18"/>
                  <w:color w:val="0000FF"/>
                  <w:w w:val="98"/>
                </w:rPr>
                <w:t>Amended and restated bylaws.</w:t>
              </w:r>
            </w:hyperlink>
          </w:p>
        </w:tc>
        <w:tc>
          <w:tcPr>
            <w:tcW w:w="2420" w:type="dxa"/>
            <w:vAlign w:val="bottom"/>
            <w:gridSpan w:val="8"/>
          </w:tcPr>
          <w:p>
            <w:pPr>
              <w:spacing w:after="0"/>
              <w:rPr>
                <w:sz w:val="17"/>
                <w:szCs w:val="17"/>
                <w:color w:val="auto"/>
              </w:rPr>
            </w:pPr>
          </w:p>
        </w:tc>
        <w:tc>
          <w:tcPr>
            <w:tcW w:w="12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gridSpan w:val="10"/>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Description of Capital Stock.</w:t>
              </w:r>
            </w:hyperlink>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25,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-925195</wp:posOffset>
            </wp:positionV>
            <wp:extent cx="699516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995160" cy="26543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-393700</wp:posOffset>
            </wp:positionV>
            <wp:extent cx="699516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995160" cy="26543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-1465580</wp:posOffset>
            </wp:positionV>
            <wp:extent cx="699516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u w:val="single" w:color="auto"/>
          <w:color w:val="0000FF"/>
        </w:rPr>
        <w:t>Section 302 of the Sarbanes-Oxley Act of 2002.</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Section 302 of the Sarbanes-Oxley Act of 2002.</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377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ind w:left="20"/>
        <w:spacing w:after="0" w:line="219" w:lineRule="auto"/>
        <w:rPr>
          <w:sz w:val="20"/>
          <w:szCs w:val="20"/>
          <w:color w:val="auto"/>
        </w:rPr>
      </w:pPr>
      <w:r>
        <w:rPr>
          <w:rFonts w:ascii="Times New Roman" w:cs="Times New Roman" w:eastAsia="Times New Roman" w:hAnsi="Times New Roman"/>
          <w:sz w:val="18"/>
          <w:szCs w:val="18"/>
          <w:u w:val="single" w:color="auto"/>
          <w:color w:val="0000FF"/>
        </w:rPr>
        <w:t>Officer pursuant to Section 906 of the Sarbanes-Oxley Act of</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2002.</w:t>
      </w:r>
    </w:p>
    <w:p>
      <w:pPr>
        <w:ind w:left="20"/>
        <w:spacing w:after="0" w:line="229" w:lineRule="auto"/>
        <w:rPr>
          <w:sz w:val="20"/>
          <w:szCs w:val="20"/>
          <w:color w:val="auto"/>
        </w:rPr>
      </w:pPr>
      <w:r>
        <w:rPr>
          <w:rFonts w:ascii="Times New Roman" w:cs="Times New Roman" w:eastAsia="Times New Roman" w:hAnsi="Times New Roman"/>
          <w:sz w:val="18"/>
          <w:szCs w:val="18"/>
          <w:u w:val="single" w:color="auto"/>
          <w:color w:val="0000FF"/>
        </w:rPr>
        <w:t>Employment Agreement, by and between Karen Mahoney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and the Company, dated July 24, 2024.</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-127635</wp:posOffset>
            </wp:positionV>
            <wp:extent cx="699516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14605</wp:posOffset>
            </wp:positionV>
            <wp:extent cx="6995160" cy="266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995160" cy="266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u w:val="single" w:color="auto"/>
          <w:color w:val="0000FF"/>
        </w:rPr>
        <w:t>and contained in Exhibit 101)</w:t>
      </w:r>
    </w:p>
    <w:p>
      <w:pPr>
        <w:spacing w:after="0" w:line="200" w:lineRule="exact"/>
        <w:rPr>
          <w:sz w:val="20"/>
          <w:szCs w:val="20"/>
          <w:color w:val="auto"/>
        </w:rPr>
      </w:pPr>
    </w:p>
    <w:p>
      <w:pPr>
        <w:sectPr>
          <w:pgSz w:w="11900" w:h="16838" w:orient="portrait"/>
          <w:cols w:equalWidth="0" w:num="2">
            <w:col w:w="1240" w:space="260"/>
            <w:col w:w="9640"/>
          </w:cols>
          <w:pgMar w:left="320" w:top="117" w:right="43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3"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 covering executive officers or directors of Vericel.</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79"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00" w:lineRule="exact"/>
        <w:rPr>
          <w:sz w:val="20"/>
          <w:szCs w:val="20"/>
          <w:color w:val="auto"/>
        </w:rPr>
      </w:pPr>
    </w:p>
    <w:p>
      <w:pPr>
        <w:spacing w:after="0" w:line="28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20"/>
          </w:cols>
          <w:pgMar w:left="320" w:top="117" w:right="10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51" w:lineRule="exact"/>
        <w:rPr>
          <w:sz w:val="20"/>
          <w:szCs w:val="20"/>
          <w:color w:val="auto"/>
        </w:rPr>
      </w:pPr>
    </w:p>
    <w:p>
      <w:pPr>
        <w:ind w:right="320" w:firstLine="648"/>
        <w:spacing w:after="0" w:line="257" w:lineRule="auto"/>
        <w:rPr>
          <w:sz w:val="20"/>
          <w:szCs w:val="20"/>
          <w:color w:val="auto"/>
        </w:rPr>
      </w:pPr>
      <w:r>
        <w:rPr>
          <w:rFonts w:ascii="Times New Roman" w:cs="Times New Roman" w:eastAsia="Times New Roman" w:hAnsi="Times New Roman"/>
          <w:sz w:val="22"/>
          <w:szCs w:val="22"/>
          <w:color w:val="auto"/>
        </w:rPr>
        <w:t>This Employment Agreement (“Agreement”) is entered into between Vericel Corporation, a Michigan corporation (the “Company”) and Karen Mahoney (the “Executive”), effective as of July 25, 2024, unless another date is agreed to by the Executive and the Company (the “Effective Date”).</w:t>
      </w:r>
    </w:p>
    <w:p>
      <w:pPr>
        <w:spacing w:after="0" w:line="21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and the Executive previously entered into that certain offer letter dated as of June 24, 2024 (the “Offer Letter”), and both parties desire to supersede and replace the terms set forth in the Offer Letter with the terms set forth herein;</w:t>
      </w:r>
    </w:p>
    <w:p>
      <w:pPr>
        <w:spacing w:after="0" w:line="200"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22"/>
          <w:szCs w:val="22"/>
          <w:color w:val="auto"/>
        </w:rPr>
        <w:t>WHEREAS, as a material condition of Executive’s employment, the Executive entered into an Employee Confidentiality, Assignment and Noncompetition Agreement dated June 24, 2024 (the “Restrictive Covenant Agreement”) the terms of which shall remain in full force and effect; and</w:t>
      </w:r>
    </w:p>
    <w:p>
      <w:pPr>
        <w:spacing w:after="0" w:line="194"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desires to employ the Executive and the Executive desires to be employed by the Company on the terms contained herein.</w:t>
      </w:r>
    </w:p>
    <w:p>
      <w:pPr>
        <w:spacing w:after="0" w:line="185" w:lineRule="exact"/>
        <w:rPr>
          <w:sz w:val="20"/>
          <w:szCs w:val="20"/>
          <w:color w:val="auto"/>
        </w:rPr>
      </w:pPr>
    </w:p>
    <w:p>
      <w:pPr>
        <w:ind w:right="50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98" w:lineRule="exact"/>
        <w:rPr>
          <w:sz w:val="20"/>
          <w:szCs w:val="20"/>
          <w:color w:val="auto"/>
        </w:rPr>
      </w:pPr>
    </w:p>
    <w:p>
      <w:pPr>
        <w:ind w:right="60" w:firstLine="8"/>
        <w:spacing w:after="0" w:line="263" w:lineRule="auto"/>
        <w:tabs>
          <w:tab w:leader="none" w:pos="32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Position and Duties</w:t>
      </w:r>
      <w:r>
        <w:rPr>
          <w:rFonts w:ascii="Times New Roman" w:cs="Times New Roman" w:eastAsia="Times New Roman" w:hAnsi="Times New Roman"/>
          <w:sz w:val="21"/>
          <w:szCs w:val="21"/>
          <w:color w:val="auto"/>
        </w:rPr>
        <w:t>. The Executive’s employment with the Company shall continue and Executive shall have such powers and duties as may from time to time be prescribed by the Chief Executive Officer of the Company (the “CEO”) or other authorized executive. This is a full-time position, and the Executive shall not engage in any other employment, consulting or other business activities (whether full-time or part-time), unless expressly authorized in writing by the CEO. Notwithstanding the foregoing, the Executive may engage in religious, charitable or other community activities as long as such services and activities do not interfere with the Executive’s performance of the Executive’s duties to the Company as provided in this Agreement.</w:t>
      </w:r>
    </w:p>
    <w:p>
      <w:pPr>
        <w:spacing w:after="0" w:line="207"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right="160" w:firstLine="656"/>
        <w:spacing w:after="0" w:line="252" w:lineRule="auto"/>
        <w:tabs>
          <w:tab w:leader="none" w:pos="1293"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of the Effective Date, the Executive’s annual base salary rate shall be $440,000. The Executive’s base salary may be redetermined by the Company’s Compensation Committee, after consultation with the CEO. The base salary in effect at any given time is referred to herein as “Base Salary.” The Base Salary shall be payable in a manner that is consistent with the Company’s usual payroll practices for senior executives.</w:t>
      </w:r>
    </w:p>
    <w:p>
      <w:pPr>
        <w:spacing w:after="0" w:line="219" w:lineRule="exact"/>
        <w:rPr>
          <w:rFonts w:ascii="Times New Roman" w:cs="Times New Roman" w:eastAsia="Times New Roman" w:hAnsi="Times New Roman"/>
          <w:sz w:val="22"/>
          <w:szCs w:val="22"/>
          <w:color w:val="auto"/>
        </w:rPr>
      </w:pPr>
    </w:p>
    <w:p>
      <w:pPr>
        <w:ind w:right="80" w:firstLine="656"/>
        <w:spacing w:after="0" w:line="257" w:lineRule="auto"/>
        <w:tabs>
          <w:tab w:leader="none" w:pos="1291"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The Executive shall be eligible to receive cash incentive compensation as determined by the Company’s Compensation Committee from time to time. As of the Effective Date, the Executive’s target annual incentive compensation shall be Forty-Five</w:t>
      </w:r>
    </w:p>
    <w:p>
      <w:pPr>
        <w:sectPr>
          <w:pgSz w:w="11900" w:h="16838" w:orient="portrait"/>
          <w:cols w:equalWidth="0" w:num="1">
            <w:col w:w="11240"/>
          </w:cols>
          <w:pgMar w:left="320" w:top="1400" w:right="339" w:bottom="1440" w:gutter="0" w:footer="0" w:header="0"/>
        </w:sectPr>
      </w:pPr>
    </w:p>
    <w:bookmarkStart w:id="34" w:name="page35"/>
    <w:bookmarkEnd w:id="34"/>
    <w:p>
      <w:pPr>
        <w:ind w:right="20"/>
        <w:spacing w:after="0" w:line="253" w:lineRule="auto"/>
        <w:rPr>
          <w:sz w:val="20"/>
          <w:szCs w:val="20"/>
          <w:color w:val="auto"/>
        </w:rPr>
      </w:pPr>
      <w:r>
        <w:rPr>
          <w:rFonts w:ascii="Times New Roman" w:cs="Times New Roman" w:eastAsia="Times New Roman" w:hAnsi="Times New Roman"/>
          <w:sz w:val="22"/>
          <w:szCs w:val="22"/>
          <w:color w:val="auto"/>
        </w:rPr>
        <w:t>Percent (45%) of the Executive’s Base Salary, pro-rated for any partial year of active employment, and the actual bonus amount shall be determined by the Company’s Compensation Committee. The target annual incentive compensation in effect at any given time is referred to herein as “Target Bonus.” The Target Bonus may be redetermined by the Company’s Compensation Committee. To be eligible to earn incentive compensation, the Executive must be employed by the Company on the day such incentive compensation is paid.</w:t>
      </w:r>
    </w:p>
    <w:p>
      <w:pPr>
        <w:spacing w:after="0" w:line="206" w:lineRule="exact"/>
        <w:rPr>
          <w:sz w:val="20"/>
          <w:szCs w:val="20"/>
          <w:color w:val="auto"/>
        </w:rPr>
      </w:pPr>
    </w:p>
    <w:p>
      <w:pPr>
        <w:ind w:firstLine="656"/>
        <w:spacing w:after="0" w:line="249" w:lineRule="auto"/>
        <w:tabs>
          <w:tab w:leader="none" w:pos="1293"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r>
        <w:rPr>
          <w:rFonts w:ascii="Times New Roman" w:cs="Times New Roman" w:eastAsia="Times New Roman" w:hAnsi="Times New Roman"/>
          <w:sz w:val="22"/>
          <w:szCs w:val="22"/>
          <w:color w:val="auto"/>
        </w:rPr>
        <w:t>. From time to time and at the discretion of the Company’s Compensation Committee, the Company may grant to the Executive equity compensation. Such equity compensation may include options to purchase shares of the Company’s common stock at an exercise price equal to the fair market value of the Company’s common stock on the effective date of grant, and which shall vest in accordance with and be subject to the terms and conditions of the underlying stock option agreement and the Company’s 2022 Omnibus Incentive Plan, as may be amended or restated from time to time (the “Plan”). Such equity compensation may also include restricted stock units, which shall vest in accordance with and be subject to the terms and conditions of a restricted stock unit agreement approved by the Company’s Compensation Committee, and the Plan (the Plan and any award agreements collectively the “Equity Documents”).</w:t>
      </w:r>
    </w:p>
    <w:p>
      <w:pPr>
        <w:spacing w:after="0" w:line="208" w:lineRule="exact"/>
        <w:rPr>
          <w:rFonts w:ascii="Times New Roman" w:cs="Times New Roman" w:eastAsia="Times New Roman" w:hAnsi="Times New Roman"/>
          <w:sz w:val="22"/>
          <w:szCs w:val="22"/>
          <w:color w:val="auto"/>
        </w:rPr>
      </w:pPr>
    </w:p>
    <w:p>
      <w:pPr>
        <w:ind w:right="240" w:firstLine="656"/>
        <w:spacing w:after="0" w:line="263" w:lineRule="auto"/>
        <w:tabs>
          <w:tab w:leader="none" w:pos="1291"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Executive shall be entitled to receive prompt reimbursement for all reasonable business expenses incurred by the Executive in performing services hereunder, in accordance with the policies and procedures then in effect and established by the Company.</w:t>
      </w:r>
    </w:p>
    <w:p>
      <w:pPr>
        <w:spacing w:after="0" w:line="194" w:lineRule="exact"/>
        <w:rPr>
          <w:rFonts w:ascii="Times New Roman" w:cs="Times New Roman" w:eastAsia="Times New Roman" w:hAnsi="Times New Roman"/>
          <w:sz w:val="22"/>
          <w:szCs w:val="22"/>
          <w:color w:val="auto"/>
        </w:rPr>
      </w:pPr>
    </w:p>
    <w:p>
      <w:pPr>
        <w:ind w:firstLine="656"/>
        <w:spacing w:after="0" w:line="251" w:lineRule="auto"/>
        <w:tabs>
          <w:tab w:leader="none" w:pos="1293"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Customary Benefits</w:t>
      </w:r>
      <w:r>
        <w:rPr>
          <w:rFonts w:ascii="Times New Roman" w:cs="Times New Roman" w:eastAsia="Times New Roman" w:hAnsi="Times New Roman"/>
          <w:sz w:val="22"/>
          <w:szCs w:val="22"/>
          <w:color w:val="auto"/>
        </w:rPr>
        <w:t>. The Executive shall be entitled to such benefits as the Company customarily makes available to the Company’s senior executives (collectively, “Benefits”). The Benefits shall include sick leave, health insurance coverage, and 401(k) plan participation, in accordance with the terms and provisions of such plans, policies and arrangements as adopted by the Company from time to time during the term of this Agreement. The Company reserves the right to change the Benefits on a prospective basis, at any time, effective upon delivery of written notice to the Executive. The Executive shall not be entitled to receive payments in lieu of Benefits, other than as may be required by Company policy or applicable law.</w:t>
      </w:r>
    </w:p>
    <w:p>
      <w:pPr>
        <w:spacing w:after="0" w:line="208" w:lineRule="exact"/>
        <w:rPr>
          <w:rFonts w:ascii="Times New Roman" w:cs="Times New Roman" w:eastAsia="Times New Roman" w:hAnsi="Times New Roman"/>
          <w:sz w:val="22"/>
          <w:szCs w:val="22"/>
          <w:color w:val="auto"/>
        </w:rPr>
      </w:pPr>
    </w:p>
    <w:p>
      <w:pPr>
        <w:ind w:right="20" w:firstLine="656"/>
        <w:spacing w:after="0" w:line="253" w:lineRule="auto"/>
        <w:tabs>
          <w:tab w:leader="none" w:pos="1296"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The Executive is entitled to accrue 16.67 hours per month, equaling twenty-five (25) days per year, of paid time off (including statutory sick leave), pro-rated for any partial calendar year of active employment during the term of this Agreement, in accordance with the Company’s current Paid Time Off policy (“Paid Time Off”). The Executive also shall be entitled to such paid holidays as are established by the Company for all regular full-time employees. The Company reserves the right to change its Benefits, including its Paid Time Off policy in its discretion.</w:t>
      </w:r>
    </w:p>
    <w:p>
      <w:pPr>
        <w:spacing w:after="0" w:line="205" w:lineRule="exact"/>
        <w:rPr>
          <w:rFonts w:ascii="Times New Roman" w:cs="Times New Roman" w:eastAsia="Times New Roman" w:hAnsi="Times New Roman"/>
          <w:sz w:val="22"/>
          <w:szCs w:val="22"/>
          <w:color w:val="auto"/>
        </w:rPr>
      </w:pPr>
    </w:p>
    <w:p>
      <w:pPr>
        <w:ind w:right="20" w:firstLine="8"/>
        <w:spacing w:after="0" w:line="257" w:lineRule="auto"/>
        <w:tabs>
          <w:tab w:leader="none" w:pos="32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Executive’s employment with the Company shall be “at will,” meaning that the Executive’s employment may be terminated by the Company or the Executive at any time for any or no reason, subject to the terms of this Agreement. The Executive’s</w:t>
      </w:r>
    </w:p>
    <w:p>
      <w:pPr>
        <w:sectPr>
          <w:pgSz w:w="11900" w:h="16838" w:orient="portrait"/>
          <w:cols w:equalWidth="0" w:num="1">
            <w:col w:w="11240"/>
          </w:cols>
          <w:pgMar w:left="320" w:top="142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employment hereunder may be terminated without any breach of this Agreement under the following circumstances:</w:t>
      </w:r>
    </w:p>
    <w:p>
      <w:pPr>
        <w:spacing w:after="0" w:line="247"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The Executive’s employment hereunder shall terminate upon the Executive’s death.</w:t>
      </w:r>
    </w:p>
    <w:p>
      <w:pPr>
        <w:spacing w:after="0" w:line="246" w:lineRule="exact"/>
        <w:rPr>
          <w:rFonts w:ascii="Times New Roman" w:cs="Times New Roman" w:eastAsia="Times New Roman" w:hAnsi="Times New Roman"/>
          <w:sz w:val="22"/>
          <w:szCs w:val="22"/>
          <w:color w:val="auto"/>
        </w:rPr>
      </w:pPr>
    </w:p>
    <w:p>
      <w:pPr>
        <w:ind w:right="120" w:firstLine="656"/>
        <w:spacing w:after="0" w:line="248" w:lineRule="auto"/>
        <w:tabs>
          <w:tab w:leader="none" w:pos="129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The Company may terminate the Executive’s employment if the Executive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and the Americans with Disabilities Act, 42 U.S.C. §12101 </w:t>
      </w:r>
      <w:r>
        <w:rPr>
          <w:rFonts w:ascii="Times New Roman" w:cs="Times New Roman" w:eastAsia="Times New Roman" w:hAnsi="Times New Roman"/>
          <w:sz w:val="22"/>
          <w:szCs w:val="22"/>
          <w:i w:val="1"/>
          <w:iCs w:val="1"/>
          <w:color w:val="auto"/>
        </w:rPr>
        <w:t>et seq.</w:t>
      </w:r>
    </w:p>
    <w:p>
      <w:pPr>
        <w:spacing w:after="0" w:line="219" w:lineRule="exact"/>
        <w:rPr>
          <w:rFonts w:ascii="Times New Roman" w:cs="Times New Roman" w:eastAsia="Times New Roman" w:hAnsi="Times New Roman"/>
          <w:sz w:val="22"/>
          <w:szCs w:val="22"/>
          <w:color w:val="auto"/>
        </w:rPr>
      </w:pPr>
    </w:p>
    <w:p>
      <w:pPr>
        <w:ind w:firstLine="656"/>
        <w:spacing w:after="0" w:line="247" w:lineRule="auto"/>
        <w:tabs>
          <w:tab w:leader="none" w:pos="129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Company for Cause</w:t>
      </w:r>
      <w:r>
        <w:rPr>
          <w:rFonts w:ascii="Times New Roman" w:cs="Times New Roman" w:eastAsia="Times New Roman" w:hAnsi="Times New Roman"/>
          <w:sz w:val="22"/>
          <w:szCs w:val="22"/>
          <w:color w:val="auto"/>
        </w:rPr>
        <w:t>. The Company may terminate the Executive’s employment hereunder for Cause. For purposes of this Agreement, “Cause” shall mean: (i) conduct by the Executive constituting a material act of misconduct in connection with the performance of the Executive’s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the Executive were retained in the Executive’s position; (iii) continued unsatisfactory performance or non-performance by the Executive of the Executive’s duties hereunder (other than by reason of the Executive’s physical or mental illness, incapacity or disability) which has continued for more than 15 days following written notice from the CEO (or the CEO’s designee); (iv) a breach by the Executive of any of the provisions contained in Section 7 of this Agreement or the Restrictive Covenant Agreement (as defined above);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Any determination of Cause by the Company shall be conclusive.</w:t>
      </w:r>
    </w:p>
    <w:p>
      <w:pPr>
        <w:sectPr>
          <w:pgSz w:w="11900" w:h="16838" w:orient="portrait"/>
          <w:cols w:equalWidth="0" w:num="1">
            <w:col w:w="11240"/>
          </w:cols>
          <w:pgMar w:left="320" w:top="1422" w:right="339" w:bottom="1440" w:gutter="0" w:footer="0" w:header="0"/>
        </w:sectPr>
      </w:pPr>
    </w:p>
    <w:bookmarkStart w:id="36" w:name="page37"/>
    <w:bookmarkEnd w:id="36"/>
    <w:p>
      <w:pPr>
        <w:ind w:left="-8" w:right="20" w:firstLine="656"/>
        <w:spacing w:after="0" w:line="256" w:lineRule="auto"/>
        <w:tabs>
          <w:tab w:leader="none" w:pos="1283"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203" w:lineRule="exact"/>
        <w:rPr>
          <w:rFonts w:ascii="Times New Roman" w:cs="Times New Roman" w:eastAsia="Times New Roman" w:hAnsi="Times New Roman"/>
          <w:sz w:val="22"/>
          <w:szCs w:val="22"/>
          <w:color w:val="auto"/>
        </w:rPr>
      </w:pPr>
    </w:p>
    <w:p>
      <w:pPr>
        <w:ind w:left="-8" w:firstLine="656"/>
        <w:spacing w:after="0" w:line="259" w:lineRule="auto"/>
        <w:tabs>
          <w:tab w:leader="none" w:pos="1285"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Executive</w:t>
      </w:r>
      <w:r>
        <w:rPr>
          <w:rFonts w:ascii="Times New Roman" w:cs="Times New Roman" w:eastAsia="Times New Roman" w:hAnsi="Times New Roman"/>
          <w:sz w:val="21"/>
          <w:szCs w:val="21"/>
          <w:color w:val="auto"/>
        </w:rPr>
        <w:t>. The Executive may terminate the Executive’s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(i) a material diminution in the Executive’s responsibilities, authority or duties; (ii) a material diminution in the Executive’s Base Salary except for across-the-board salary reductions based on the Company’s financial performance similarly affecting all or substantially all senior management employees of the Company; (iii) the material breach of this Agreement by the Company; or (iv) a material change in the geographic location of the principal place where the Executive is required to perform services, such that there is an increase of at least fifty (50) miles of driving distance to such location from the Executive’s principal residence as of such change</w:t>
      </w:r>
      <w:r>
        <w:rPr>
          <w:rFonts w:ascii="Times New Roman" w:cs="Times New Roman" w:eastAsia="Times New Roman" w:hAnsi="Times New Roman"/>
          <w:sz w:val="21"/>
          <w:szCs w:val="21"/>
          <w:color w:val="1F497D"/>
        </w:rPr>
        <w:t>.</w:t>
      </w:r>
      <w:r>
        <w:rPr>
          <w:rFonts w:ascii="Times New Roman" w:cs="Times New Roman" w:eastAsia="Times New Roman" w:hAnsi="Times New Roman"/>
          <w:sz w:val="21"/>
          <w:szCs w:val="21"/>
          <w:color w:val="auto"/>
        </w:rPr>
        <w:t xml:space="preserve"> “Good Reason Process” shall mean that (i) the Executive reasonably determines in good faith that a “Good Reason” condition has occurred; (ii) the Executive notifies the Company in writing of the first occurrence of the Good Reason condition within 30 days of the first occurrence of such condition; (iii) the Executive cooperates in good faith with the Company’s efforts, for a period not less than 30 days following such notice (the “Cure Period”), to remedy the condition;</w:t>
      </w:r>
    </w:p>
    <w:p>
      <w:pPr>
        <w:spacing w:after="0" w:line="1" w:lineRule="exact"/>
        <w:rPr>
          <w:rFonts w:ascii="Times New Roman" w:cs="Times New Roman" w:eastAsia="Times New Roman" w:hAnsi="Times New Roman"/>
          <w:sz w:val="21"/>
          <w:szCs w:val="21"/>
          <w:color w:val="auto"/>
        </w:rPr>
      </w:pPr>
    </w:p>
    <w:p>
      <w:pPr>
        <w:ind w:left="-8" w:right="60" w:firstLine="8"/>
        <w:spacing w:after="0" w:line="245" w:lineRule="auto"/>
        <w:tabs>
          <w:tab w:leader="none" w:pos="35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such efforts, the Good Reason condition continues to exist; and (v) the Executive terminates the Executive’s employment within 30 days after the end of the Cure Period. If the Company cures the Good Reason condition during the Cure Period, Good Reason shall be deemed not to have occurred.</w:t>
      </w:r>
    </w:p>
    <w:p>
      <w:pPr>
        <w:spacing w:after="0" w:line="227" w:lineRule="exact"/>
        <w:rPr>
          <w:rFonts w:ascii="Times New Roman" w:cs="Times New Roman" w:eastAsia="Times New Roman" w:hAnsi="Times New Roman"/>
          <w:sz w:val="22"/>
          <w:szCs w:val="22"/>
          <w:color w:val="auto"/>
        </w:rPr>
      </w:pPr>
    </w:p>
    <w:p>
      <w:pPr>
        <w:ind w:left="-8" w:right="100" w:firstLine="656"/>
        <w:spacing w:after="0" w:line="252" w:lineRule="auto"/>
        <w:tabs>
          <w:tab w:leader="none" w:pos="1288"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206" w:lineRule="exact"/>
        <w:rPr>
          <w:rFonts w:ascii="Times New Roman" w:cs="Times New Roman" w:eastAsia="Times New Roman" w:hAnsi="Times New Roman"/>
          <w:sz w:val="22"/>
          <w:szCs w:val="22"/>
          <w:color w:val="auto"/>
        </w:rPr>
      </w:pPr>
    </w:p>
    <w:p>
      <w:pPr>
        <w:ind w:left="-8" w:right="80" w:firstLine="656"/>
        <w:spacing w:after="0" w:line="250" w:lineRule="auto"/>
        <w:tabs>
          <w:tab w:leader="none" w:pos="1283"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“Date of Termination” shall mean: (i) if the Executive’s employment is terminated by the Executive’s death, the date of the Executive’s death; (ii) if the Executive’s employment is terminated on account of disability under Section 3(b), by the Company for Cause under Section 3(c) or by the Company without Cause under Section 3(d), the date on which Notice of Termination is given unless another date is specified by the Company therein; (iii) if the Executive’s employment is terminated by the Executive under Section 3(e) other than for Good Reason, 30 days after the date on which a Notice of Termination is given, and (iv)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w:t>
      </w:r>
    </w:p>
    <w:p>
      <w:pPr>
        <w:sectPr>
          <w:pgSz w:w="11900" w:h="16838" w:orient="portrait"/>
          <w:cols w:equalWidth="0" w:num="1">
            <w:col w:w="11212"/>
          </w:cols>
          <w:pgMar w:left="328" w:top="1422"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and such acceleration shall not result in a termination by the Company for purposes of this Agreement.</w:t>
      </w:r>
    </w:p>
    <w:p>
      <w:pPr>
        <w:spacing w:after="0" w:line="247"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Upon Termination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firstLine="656"/>
        <w:spacing w:after="0" w:line="268" w:lineRule="auto"/>
        <w:tabs>
          <w:tab w:leader="none" w:pos="1293"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Generally</w:t>
      </w:r>
      <w:r>
        <w:rPr>
          <w:rFonts w:ascii="Times New Roman" w:cs="Times New Roman" w:eastAsia="Times New Roman" w:hAnsi="Times New Roman"/>
          <w:sz w:val="21"/>
          <w:szCs w:val="21"/>
          <w:color w:val="auto"/>
        </w:rPr>
        <w:t>. If the Executive’s employment with the Company terminates for any reason, the Company shall pay or provide to the Executive (or to the Executive’s authorized representative or estate) any earned but unpaid Base Salary, unpaid expense reimbursements, and, to the extent applicable, accrued but unused Paid Time Off, all through the Date of Termination, and any vested benefits the Executive may have under any employee benefit plan of the Company (the “Accrued Benefit”) on or before the time required by law but in no event more than 30 days after the Executive’s Date of Termination.</w:t>
      </w:r>
    </w:p>
    <w:p>
      <w:pPr>
        <w:spacing w:after="0" w:line="190" w:lineRule="exact"/>
        <w:rPr>
          <w:rFonts w:ascii="Times New Roman" w:cs="Times New Roman" w:eastAsia="Times New Roman" w:hAnsi="Times New Roman"/>
          <w:sz w:val="21"/>
          <w:szCs w:val="21"/>
          <w:color w:val="auto"/>
        </w:rPr>
      </w:pPr>
    </w:p>
    <w:p>
      <w:pPr>
        <w:ind w:firstLine="656"/>
        <w:spacing w:after="0" w:line="248" w:lineRule="auto"/>
        <w:tabs>
          <w:tab w:leader="none" w:pos="1291"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 or by the Executive for Good Reason</w:t>
      </w:r>
      <w:r>
        <w:rPr>
          <w:rFonts w:ascii="Times New Roman" w:cs="Times New Roman" w:eastAsia="Times New Roman" w:hAnsi="Times New Roman"/>
          <w:sz w:val="22"/>
          <w:szCs w:val="22"/>
          <w:color w:val="auto"/>
        </w:rPr>
        <w:t>. If the Executive’s employment is terminated by the Company without Cause as provided in Section 3(d), or the Executive terminates the Executive’s employment for Good Reason as provided in Section 3(e), then the Company shall, through the Date of Termination, pay the Executive’s Accrued Benefit. In addition, subject to (i) the Executive signing a separation agreement in a form and manner satisfactory to the Company which includes, without limitation, a general release of claims in favor of the Company and related persons and entities, a reaffirmation of all of the Executive’s Continuing Obligations (as defined below), and, in the Company’s sole discretion, a one-year post-employment noncompetition agreement, and shall provide that if the Executive breaches any of the Continuing Obligations, all payments of the Severance Amount shall immediately cease (the “Release”) and (ii) such Release becoming irrevocable within the time period set forth in such Release, but in no event later than 60 days following the Date of Termination, which, if a noncompetition clause is included in the Release, must include a seven (7) business day revocation period:</w:t>
      </w:r>
    </w:p>
    <w:p>
      <w:pPr>
        <w:spacing w:after="0" w:line="215" w:lineRule="exact"/>
        <w:rPr>
          <w:rFonts w:ascii="Times New Roman" w:cs="Times New Roman" w:eastAsia="Times New Roman" w:hAnsi="Times New Roman"/>
          <w:sz w:val="22"/>
          <w:szCs w:val="22"/>
          <w:color w:val="auto"/>
        </w:rPr>
      </w:pPr>
    </w:p>
    <w:p>
      <w:pPr>
        <w:ind w:left="660" w:right="120" w:firstLine="116"/>
        <w:spacing w:after="0" w:line="253" w:lineRule="auto"/>
        <w:tabs>
          <w:tab w:leader="none" w:pos="1308"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an amount equal to twelve (12) months of the Executive’s Base Salary (the “Severance Amount”); provided in the event the Executive is entitled to any payments pursuant to the Restrictive Covenant Agreement, the Severance Amount received in any calendar year will be reduced by the amount the Executive is paid in the same such calendar year pursuant to the Restrictive Covenant Agreement (the “Restrictive Covenant Agreement Setoff”);</w:t>
      </w:r>
    </w:p>
    <w:p>
      <w:pPr>
        <w:spacing w:after="0" w:line="205" w:lineRule="exact"/>
        <w:rPr>
          <w:rFonts w:ascii="Times New Roman" w:cs="Times New Roman" w:eastAsia="Times New Roman" w:hAnsi="Times New Roman"/>
          <w:sz w:val="22"/>
          <w:szCs w:val="22"/>
          <w:color w:val="auto"/>
        </w:rPr>
      </w:pPr>
    </w:p>
    <w:p>
      <w:pPr>
        <w:ind w:left="1300" w:hanging="584"/>
        <w:spacing w:after="0"/>
        <w:tabs>
          <w:tab w:leader="none" w:pos="1300"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was participating in the Company’s group health plan immediately prior to the Date of</w:t>
      </w:r>
    </w:p>
    <w:p>
      <w:pPr>
        <w:spacing w:after="0" w:line="29" w:lineRule="exact"/>
        <w:rPr>
          <w:rFonts w:ascii="Times New Roman" w:cs="Times New Roman" w:eastAsia="Times New Roman" w:hAnsi="Times New Roman"/>
          <w:sz w:val="22"/>
          <w:szCs w:val="22"/>
          <w:color w:val="auto"/>
        </w:rPr>
      </w:pPr>
    </w:p>
    <w:p>
      <w:pPr>
        <w:ind w:left="660" w:right="8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and elects continuation coverage under the Consolidated Omnibus Budget Reconciliation Act of 1985, as amended (“COBRA”),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The Executive may continue to participate in COBRA benefits following the expiration of the twelve (12) months, at the Executive’s sole cost, provided that the Executive remains eligible for such participation; and</w:t>
      </w:r>
    </w:p>
    <w:p>
      <w:pPr>
        <w:sectPr>
          <w:pgSz w:w="11900" w:h="16838" w:orient="portrait"/>
          <w:cols w:equalWidth="0" w:num="1">
            <w:col w:w="11180"/>
          </w:cols>
          <w:pgMar w:left="320" w:top="1422" w:right="399" w:bottom="1440" w:gutter="0" w:footer="0" w:header="0"/>
        </w:sectPr>
      </w:pPr>
    </w:p>
    <w:bookmarkStart w:id="38" w:name="page39"/>
    <w:bookmarkEnd w:id="38"/>
    <w:p>
      <w:pPr>
        <w:spacing w:after="0" w:line="225" w:lineRule="exact"/>
        <w:rPr>
          <w:sz w:val="20"/>
          <w:szCs w:val="20"/>
          <w:color w:val="auto"/>
        </w:rPr>
      </w:pPr>
    </w:p>
    <w:p>
      <w:pPr>
        <w:ind w:left="652" w:hanging="4"/>
        <w:spacing w:after="0" w:line="250" w:lineRule="auto"/>
        <w:tabs>
          <w:tab w:leader="none" w:pos="130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207" w:lineRule="exact"/>
        <w:rPr>
          <w:rFonts w:ascii="Times New Roman" w:cs="Times New Roman" w:eastAsia="Times New Roman" w:hAnsi="Times New Roman"/>
          <w:sz w:val="22"/>
          <w:szCs w:val="22"/>
          <w:color w:val="auto"/>
        </w:rPr>
      </w:pPr>
    </w:p>
    <w:p>
      <w:pPr>
        <w:ind w:left="-8" w:right="20" w:firstLine="8"/>
        <w:spacing w:after="0" w:line="264" w:lineRule="auto"/>
        <w:tabs>
          <w:tab w:leader="none" w:pos="31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 Payment</w:t>
      </w:r>
      <w:r>
        <w:rPr>
          <w:rFonts w:ascii="Times New Roman" w:cs="Times New Roman" w:eastAsia="Times New Roman" w:hAnsi="Times New Roman"/>
          <w:sz w:val="21"/>
          <w:szCs w:val="21"/>
          <w:color w:val="auto"/>
        </w:rPr>
        <w:t>. The provisions of this Section 5 set forth certain terms of an agreement reached between the Executive and the Company regarding the Executive’s rights and obligations upon the occurrence of a Change in Control of the Company. These provisions are intended to assure and encourage in advance the Executive’s continued attention and dedication to the Executive’s assigned duties and the Executive’s objectivity during the pendency and after the occurrence of any such event. These provisions shall apply in lieu of, and expressly supersede, the provisions of Section 4(b) regarding severance pay and benefits upon a termination of employment, if such termination of employment occurs within eighteen (18) months after the occurrence of the first event constituting a Change in Control (the “Change in Control Period”). These provisions shall terminate and be of no further force or effect beginning eighteen (18) months after the occurrence of a Change in Control.</w:t>
      </w:r>
    </w:p>
    <w:p>
      <w:pPr>
        <w:spacing w:after="0" w:line="196" w:lineRule="exact"/>
        <w:rPr>
          <w:rFonts w:ascii="Times New Roman" w:cs="Times New Roman" w:eastAsia="Times New Roman" w:hAnsi="Times New Roman"/>
          <w:sz w:val="21"/>
          <w:szCs w:val="21"/>
          <w:color w:val="auto"/>
        </w:rPr>
      </w:pPr>
    </w:p>
    <w:p>
      <w:pPr>
        <w:ind w:left="-8" w:right="160" w:firstLine="656"/>
        <w:spacing w:after="0" w:line="253" w:lineRule="auto"/>
        <w:tabs>
          <w:tab w:leader="none" w:pos="1285"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If the Executive’s employment is terminated by the Company without Cause as provided in Section 3(d) or the Executive terminates employment for Good Reason as provided in Section 3(e), and the Date of Termination occurs within the Change in Control Period, then, subject to the signing of the Release by the Executive and such Release becoming irrevocable within the period set forth in such Release, but in no event later than 60 days following the Date of Termination:</w:t>
      </w:r>
    </w:p>
    <w:p>
      <w:pPr>
        <w:spacing w:after="0" w:line="205" w:lineRule="exact"/>
        <w:rPr>
          <w:rFonts w:ascii="Times New Roman" w:cs="Times New Roman" w:eastAsia="Times New Roman" w:hAnsi="Times New Roman"/>
          <w:sz w:val="22"/>
          <w:szCs w:val="22"/>
          <w:color w:val="auto"/>
        </w:rPr>
      </w:pPr>
    </w:p>
    <w:p>
      <w:pPr>
        <w:ind w:left="1292" w:hanging="524"/>
        <w:spacing w:after="0"/>
        <w:tabs>
          <w:tab w:leader="none" w:pos="1292" w:val="left"/>
        </w:tabs>
        <w:numPr>
          <w:ilvl w:val="3"/>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 lump sum in cash in an amount equal to one (1) multiplied by the sum of</w:t>
      </w:r>
    </w:p>
    <w:p>
      <w:pPr>
        <w:spacing w:after="0" w:line="27" w:lineRule="exact"/>
        <w:rPr>
          <w:rFonts w:ascii="Times New Roman" w:cs="Times New Roman" w:eastAsia="Times New Roman" w:hAnsi="Times New Roman"/>
          <w:sz w:val="22"/>
          <w:szCs w:val="22"/>
          <w:color w:val="auto"/>
        </w:rPr>
      </w:pPr>
    </w:p>
    <w:p>
      <w:pPr>
        <w:jc w:val="both"/>
        <w:ind w:left="652" w:right="180" w:hanging="4"/>
        <w:spacing w:after="0" w:line="263" w:lineRule="auto"/>
        <w:tabs>
          <w:tab w:leader="none" w:pos="1006"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then-effective Base Salary, and (B) the Executive’s Target Bonus for the year during which the Date of Termination occurs (the “Change in Control Payment”); provided the Change in Control Payment shall be reduced by the amount of the Restrictive Covenant Agreement Setoff, if applicable, paid or to be paid in the same calendar year;</w:t>
      </w:r>
    </w:p>
    <w:p>
      <w:pPr>
        <w:spacing w:after="0" w:line="208" w:lineRule="exact"/>
        <w:rPr>
          <w:rFonts w:ascii="Times New Roman" w:cs="Times New Roman" w:eastAsia="Times New Roman" w:hAnsi="Times New Roman"/>
          <w:sz w:val="21"/>
          <w:szCs w:val="21"/>
          <w:color w:val="auto"/>
        </w:rPr>
      </w:pPr>
    </w:p>
    <w:p>
      <w:pPr>
        <w:ind w:left="652" w:right="300" w:firstLine="56"/>
        <w:spacing w:after="0" w:line="248" w:lineRule="auto"/>
        <w:tabs>
          <w:tab w:leader="none" w:pos="1354" w:val="left"/>
        </w:tabs>
        <w:numPr>
          <w:ilvl w:val="3"/>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a prorated annual performance bonus (the “Prorated Annual Bonus”) equal to (x) the Executive’s Target Bonus for the year during which the Date of Termination occurs multiplied by (y) a fraction, the numerator of which is the number of days in the fiscal year in which the Executive was employed through the Date of Termination and the denominator of which is 365, provided that the Prorated Annual Bonus shall be less the amount of any annual performance bonus, or advance thereof, previously paid for the period associated with the Prorated Annual Bonus;</w:t>
      </w:r>
    </w:p>
    <w:p>
      <w:pPr>
        <w:sectPr>
          <w:pgSz w:w="11900" w:h="16838" w:orient="portrait"/>
          <w:cols w:equalWidth="0" w:num="1">
            <w:col w:w="11232"/>
          </w:cols>
          <w:pgMar w:left="328" w:top="1440" w:right="339" w:bottom="1440" w:gutter="0" w:footer="0" w:header="0"/>
        </w:sectPr>
      </w:pPr>
    </w:p>
    <w:bookmarkStart w:id="39" w:name="page40"/>
    <w:bookmarkEnd w:id="39"/>
    <w:p>
      <w:pPr>
        <w:ind w:left="4" w:right="160" w:hanging="4"/>
        <w:spacing w:after="0" w:line="257" w:lineRule="auto"/>
        <w:tabs>
          <w:tab w:leader="none" w:pos="65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any applicable option agreement or stock-based award agreement, all time-based stock options and other stock-based awards held by the Executive shall immediately accelerate and become fully exercisable or nonforfeitable as of the Date of Termination; and</w:t>
      </w:r>
    </w:p>
    <w:p>
      <w:pPr>
        <w:spacing w:after="0" w:line="213" w:lineRule="exact"/>
        <w:rPr>
          <w:rFonts w:ascii="Times New Roman" w:cs="Times New Roman" w:eastAsia="Times New Roman" w:hAnsi="Times New Roman"/>
          <w:sz w:val="22"/>
          <w:szCs w:val="22"/>
          <w:color w:val="auto"/>
        </w:rPr>
      </w:pPr>
    </w:p>
    <w:p>
      <w:pPr>
        <w:ind w:left="4" w:right="20" w:firstLine="8"/>
        <w:spacing w:after="0" w:line="250" w:lineRule="auto"/>
        <w:tabs>
          <w:tab w:leader="none" w:pos="652"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The Executive may continue to participate in COBRA benefits following the expiration of the twelve (12) months, at the Executive’s sole cost, provided that the Executive remains eligible for such participation.</w:t>
      </w:r>
    </w:p>
    <w:p>
      <w:pPr>
        <w:spacing w:after="0" w:line="207" w:lineRule="exact"/>
        <w:rPr>
          <w:rFonts w:ascii="Times New Roman" w:cs="Times New Roman" w:eastAsia="Times New Roman" w:hAnsi="Times New Roman"/>
          <w:sz w:val="22"/>
          <w:szCs w:val="22"/>
          <w:color w:val="auto"/>
        </w:rPr>
      </w:pPr>
    </w:p>
    <w:p>
      <w:pPr>
        <w:ind w:left="4" w:firstLine="68"/>
        <w:spacing w:after="0" w:line="275" w:lineRule="auto"/>
        <w:tabs>
          <w:tab w:leader="none" w:pos="652"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amounts payable under this Section 5(a)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2" w:lineRule="exact"/>
        <w:rPr>
          <w:rFonts w:ascii="Times New Roman" w:cs="Times New Roman" w:eastAsia="Times New Roman" w:hAnsi="Times New Roman"/>
          <w:sz w:val="21"/>
          <w:szCs w:val="21"/>
          <w:color w:val="auto"/>
        </w:rPr>
      </w:pPr>
    </w:p>
    <w:p>
      <w:pPr>
        <w:ind w:left="304" w:hanging="304"/>
        <w:spacing w:after="0"/>
        <w:tabs>
          <w:tab w:leader="none" w:pos="30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Limitation</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656" w:right="340" w:firstLine="980"/>
        <w:spacing w:after="0" w:line="250" w:lineRule="auto"/>
        <w:tabs>
          <w:tab w:leader="none" w:pos="628"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“Severance Payments”), would be subject to the excise tax imposed by Section 4999 of the Code, the following provisions shall apply:</w:t>
      </w:r>
    </w:p>
    <w:p>
      <w:pPr>
        <w:spacing w:after="0" w:line="221" w:lineRule="exact"/>
        <w:rPr>
          <w:rFonts w:ascii="Times New Roman" w:cs="Times New Roman" w:eastAsia="Times New Roman" w:hAnsi="Times New Roman"/>
          <w:sz w:val="22"/>
          <w:szCs w:val="22"/>
          <w:color w:val="auto"/>
        </w:rPr>
      </w:pPr>
    </w:p>
    <w:p>
      <w:pPr>
        <w:jc w:val="both"/>
        <w:ind w:left="4" w:right="80" w:firstLine="644"/>
        <w:spacing w:after="0" w:line="252" w:lineRule="auto"/>
        <w:tabs>
          <w:tab w:leader="none" w:pos="1289" w:val="left"/>
        </w:tabs>
        <w:numPr>
          <w:ilvl w:val="3"/>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Severance Payments, reduced by the sum of (1) the Excise Tax and (2) the total of the Federal, state, and local income and employment taxes payable by the Executive on the amount of the Severance Payments which are in excess of the Threshold Amount, are greater than or equal to the Threshold Amount, the Executive shall be entitled to the full benefits payable under this Agreement.</w:t>
      </w:r>
    </w:p>
    <w:p>
      <w:pPr>
        <w:spacing w:after="0" w:line="206" w:lineRule="exact"/>
        <w:rPr>
          <w:rFonts w:ascii="Times New Roman" w:cs="Times New Roman" w:eastAsia="Times New Roman" w:hAnsi="Times New Roman"/>
          <w:sz w:val="22"/>
          <w:szCs w:val="22"/>
          <w:color w:val="auto"/>
        </w:rPr>
      </w:pPr>
    </w:p>
    <w:p>
      <w:pPr>
        <w:ind w:left="4" w:right="220" w:firstLine="644"/>
        <w:spacing w:after="0" w:line="250" w:lineRule="auto"/>
        <w:tabs>
          <w:tab w:leader="none" w:pos="1291" w:val="left"/>
        </w:tabs>
        <w:numPr>
          <w:ilvl w:val="3"/>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Threshold Amount is less than (x) the Severance Payments, but greater than (y) the Severance Payments reduced by the sum of (1) the Excise Tax and (2) the total of the Federal, state, and local income and employment taxes on the amount of the Severance Payments which are in excess of the Threshold Amount, then the Severance Payments shall be reduced (but not below zero) to the extent necessary so that the sum of all Severance Payments shall not exceed the Threshold Amount. In such event, the Severance Payments shall be reduced in the following order: (1) cash payments not subject to Section 409A of the Code; (2) cash payments subject to Section 409A of the Code; (3) equity-based payments and acceleration; and (4) non-cash forms of</w:t>
      </w:r>
    </w:p>
    <w:p>
      <w:pPr>
        <w:sectPr>
          <w:pgSz w:w="11900" w:h="16838" w:orient="portrait"/>
          <w:cols w:equalWidth="0" w:num="1">
            <w:col w:w="10584"/>
          </w:cols>
          <w:pgMar w:left="976" w:top="1422" w:right="339" w:bottom="1440" w:gutter="0" w:footer="0" w:header="0"/>
        </w:sectPr>
      </w:pPr>
    </w:p>
    <w:bookmarkStart w:id="40" w:name="page41"/>
    <w:bookmarkEnd w:id="40"/>
    <w:p>
      <w:pPr>
        <w:ind w:left="660" w:right="720"/>
        <w:spacing w:after="0" w:line="271" w:lineRule="auto"/>
        <w:rPr>
          <w:sz w:val="20"/>
          <w:szCs w:val="20"/>
          <w:color w:val="auto"/>
        </w:rPr>
      </w:pPr>
      <w:r>
        <w:rPr>
          <w:rFonts w:ascii="Times New Roman" w:cs="Times New Roman" w:eastAsia="Times New Roman" w:hAnsi="Times New Roman"/>
          <w:sz w:val="22"/>
          <w:szCs w:val="22"/>
          <w:color w:val="auto"/>
        </w:rPr>
        <w:t>benefits. To the extent any payment is to be made over time (e.g., in installments, etc.), then the payments shall be reduced in reverse chronological order.</w:t>
      </w:r>
    </w:p>
    <w:p>
      <w:pPr>
        <w:spacing w:after="0" w:line="185" w:lineRule="exact"/>
        <w:rPr>
          <w:sz w:val="20"/>
          <w:szCs w:val="20"/>
          <w:color w:val="auto"/>
        </w:rPr>
      </w:pPr>
    </w:p>
    <w:p>
      <w:pPr>
        <w:ind w:right="120" w:firstLine="716"/>
        <w:spacing w:after="0" w:line="256" w:lineRule="auto"/>
        <w:tabs>
          <w:tab w:leader="none" w:pos="129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Section 5(b), “Threshold Amount” shall mean three times the Executive’s “base amount” within the meaning of Section 280G(b)(3) of the Code and the regulations promulgated thereunder less one dollar ($1.00); and “Excise Tax” shall mean the excise tax imposed by Section 4999 of the Code, and any interest or penalties incurred by the Executive with respect to such excise tax.</w:t>
      </w:r>
    </w:p>
    <w:p>
      <w:pPr>
        <w:spacing w:after="0" w:line="203" w:lineRule="exact"/>
        <w:rPr>
          <w:rFonts w:ascii="Times New Roman" w:cs="Times New Roman" w:eastAsia="Times New Roman" w:hAnsi="Times New Roman"/>
          <w:sz w:val="22"/>
          <w:szCs w:val="22"/>
          <w:color w:val="auto"/>
        </w:rPr>
      </w:pPr>
    </w:p>
    <w:p>
      <w:pPr>
        <w:ind w:firstLine="656"/>
        <w:spacing w:after="0" w:line="249" w:lineRule="auto"/>
        <w:tabs>
          <w:tab w:leader="none" w:pos="129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as to which of the alternative provisions of Section 5(b)(i) shall apply to the Executive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For purposes of determining which of the alternative provisions of Section 5(b)(i) shall apply,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the Executive’s residence on the Date of Termination, net of the maximum reduction in federal income taxes which could be obtained from deduction of such state and local taxes. Any determination by the Accounting Firm shall be binding upon the Company and the Executive.</w:t>
      </w:r>
    </w:p>
    <w:p>
      <w:pPr>
        <w:spacing w:after="0" w:line="21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Section 5, the following terms shall have the following meanings: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“Change in Control” shall mean any of the following:</w:t>
      </w:r>
    </w:p>
    <w:p>
      <w:pPr>
        <w:spacing w:after="0" w:line="247" w:lineRule="exact"/>
        <w:rPr>
          <w:sz w:val="20"/>
          <w:szCs w:val="20"/>
          <w:color w:val="auto"/>
        </w:rPr>
      </w:pPr>
    </w:p>
    <w:p>
      <w:pPr>
        <w:ind w:left="340" w:right="100" w:firstLine="436"/>
        <w:spacing w:after="0" w:line="250" w:lineRule="auto"/>
        <w:tabs>
          <w:tab w:leader="none" w:pos="131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(“Voting Securities”) (in such case other than as a result of an acquisition of securities directly from the Company); or</w:t>
      </w:r>
    </w:p>
    <w:p>
      <w:pPr>
        <w:spacing w:after="0" w:line="213" w:lineRule="exact"/>
        <w:rPr>
          <w:rFonts w:ascii="Times New Roman" w:cs="Times New Roman" w:eastAsia="Times New Roman" w:hAnsi="Times New Roman"/>
          <w:sz w:val="22"/>
          <w:szCs w:val="22"/>
          <w:color w:val="auto"/>
        </w:rPr>
      </w:pPr>
    </w:p>
    <w:p>
      <w:pPr>
        <w:ind w:left="340" w:right="480" w:firstLine="376"/>
        <w:spacing w:after="0" w:line="257" w:lineRule="auto"/>
        <w:tabs>
          <w:tab w:leader="none" w:pos="131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majority of the members of the Board is replaced during any 12-month period by directors whose appointment or election is not endorsed by a majority of the members of the Board before the date of the appointment or election; or</w:t>
      </w:r>
    </w:p>
    <w:p>
      <w:pPr>
        <w:spacing w:after="0" w:line="199" w:lineRule="exact"/>
        <w:rPr>
          <w:rFonts w:ascii="Times New Roman" w:cs="Times New Roman" w:eastAsia="Times New Roman" w:hAnsi="Times New Roman"/>
          <w:sz w:val="22"/>
          <w:szCs w:val="22"/>
          <w:color w:val="auto"/>
        </w:rPr>
      </w:pPr>
    </w:p>
    <w:p>
      <w:pPr>
        <w:ind w:left="340" w:right="280" w:firstLine="316"/>
        <w:spacing w:after="0" w:line="284" w:lineRule="auto"/>
        <w:tabs>
          <w:tab w:leader="none" w:pos="131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any consolidation or merger of the Company where the stockholders of the Company, immediately prior to the consolidation or merger, would not,</w:t>
      </w:r>
    </w:p>
    <w:p>
      <w:pPr>
        <w:sectPr>
          <w:pgSz w:w="11900" w:h="16838" w:orient="portrait"/>
          <w:cols w:equalWidth="0" w:num="1">
            <w:col w:w="11220"/>
          </w:cols>
          <w:pgMar w:left="320" w:top="1422" w:right="359" w:bottom="1440" w:gutter="0" w:footer="0" w:header="0"/>
        </w:sectPr>
      </w:pPr>
    </w:p>
    <w:bookmarkStart w:id="41" w:name="page42"/>
    <w:bookmarkEnd w:id="41"/>
    <w:p>
      <w:pPr>
        <w:ind w:left="340" w:right="40"/>
        <w:spacing w:after="0" w:line="253" w:lineRule="auto"/>
        <w:rPr>
          <w:sz w:val="20"/>
          <w:szCs w:val="20"/>
          <w:color w:val="auto"/>
        </w:rPr>
      </w:pPr>
      <w:r>
        <w:rPr>
          <w:rFonts w:ascii="Times New Roman" w:cs="Times New Roman" w:eastAsia="Times New Roman" w:hAnsi="Times New Roman"/>
          <w:sz w:val="22"/>
          <w:szCs w:val="22"/>
          <w:color w:val="auto"/>
        </w:rPr>
        <w:t>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Notwithstanding the foregoing, a “Change in Control” shall not be deemed to have occurred for purposes of the foregoing clause</w:t>
      </w:r>
    </w:p>
    <w:p>
      <w:pPr>
        <w:spacing w:after="0" w:line="39" w:lineRule="exact"/>
        <w:rPr>
          <w:sz w:val="20"/>
          <w:szCs w:val="20"/>
          <w:color w:val="auto"/>
        </w:rPr>
      </w:pPr>
    </w:p>
    <w:p>
      <w:pPr>
        <w:ind w:firstLine="8"/>
        <w:spacing w:after="0" w:line="256" w:lineRule="auto"/>
        <w:tabs>
          <w:tab w:leader="none" w:pos="25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shall be deemed to have occurred for purposes of the foregoing clause</w:t>
      </w:r>
    </w:p>
    <w:p>
      <w:pPr>
        <w:spacing w:after="0" w:line="5" w:lineRule="exact"/>
        <w:rPr>
          <w:rFonts w:ascii="Times New Roman" w:cs="Times New Roman" w:eastAsia="Times New Roman" w:hAnsi="Times New Roman"/>
          <w:sz w:val="21"/>
          <w:szCs w:val="21"/>
          <w:color w:val="auto"/>
        </w:rPr>
      </w:pPr>
    </w:p>
    <w:p>
      <w:pPr>
        <w:spacing w:after="0"/>
        <w:tabs>
          <w:tab w:leader="none" w:pos="0" w:val="left"/>
        </w:tabs>
        <w:numPr>
          <w:ilvl w:val="0"/>
          <w:numId w:val="24"/>
        </w:numPr>
        <w:rPr>
          <w:rFonts w:ascii="Times New Roman" w:cs="Times New Roman" w:eastAsia="Times New Roman" w:hAnsi="Times New Roman"/>
          <w:sz w:val="22"/>
          <w:szCs w:val="22"/>
          <w:color w:val="auto"/>
        </w:rPr>
      </w:pPr>
    </w:p>
    <w:p>
      <w:pPr>
        <w:spacing w:after="0" w:line="23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40" w:firstLine="656"/>
        <w:spacing w:after="0" w:line="262" w:lineRule="auto"/>
        <w:tabs>
          <w:tab w:leader="none" w:pos="1293"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98" w:lineRule="exact"/>
        <w:rPr>
          <w:rFonts w:ascii="Times New Roman" w:cs="Times New Roman" w:eastAsia="Times New Roman" w:hAnsi="Times New Roman"/>
          <w:sz w:val="21"/>
          <w:szCs w:val="21"/>
          <w:color w:val="auto"/>
        </w:rPr>
      </w:pPr>
    </w:p>
    <w:p>
      <w:pPr>
        <w:ind w:right="40" w:firstLine="656"/>
        <w:spacing w:after="0" w:line="265" w:lineRule="auto"/>
        <w:tabs>
          <w:tab w:leader="none" w:pos="1291"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ectPr>
          <w:pgSz w:w="11900" w:h="16838" w:orient="portrait"/>
          <w:cols w:equalWidth="0" w:num="1">
            <w:col w:w="11220"/>
          </w:cols>
          <w:pgMar w:left="320" w:top="1422" w:right="359" w:bottom="1440" w:gutter="0" w:footer="0" w:header="0"/>
        </w:sectPr>
      </w:pPr>
    </w:p>
    <w:bookmarkStart w:id="42" w:name="page43"/>
    <w:bookmarkEnd w:id="42"/>
    <w:p>
      <w:pPr>
        <w:spacing w:after="0" w:line="225" w:lineRule="exact"/>
        <w:rPr>
          <w:sz w:val="20"/>
          <w:szCs w:val="20"/>
          <w:color w:val="auto"/>
        </w:rPr>
      </w:pPr>
    </w:p>
    <w:p>
      <w:pPr>
        <w:ind w:left="-332" w:firstLine="656"/>
        <w:spacing w:after="0" w:line="270" w:lineRule="exact"/>
        <w:tabs>
          <w:tab w:leader="none" w:pos="96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1(h).</w:t>
      </w:r>
    </w:p>
    <w:p>
      <w:pPr>
        <w:spacing w:after="0" w:line="189" w:lineRule="exact"/>
        <w:rPr>
          <w:rFonts w:ascii="Times New Roman" w:cs="Times New Roman" w:eastAsia="Times New Roman" w:hAnsi="Times New Roman"/>
          <w:sz w:val="22"/>
          <w:szCs w:val="22"/>
          <w:color w:val="auto"/>
        </w:rPr>
      </w:pPr>
    </w:p>
    <w:p>
      <w:pPr>
        <w:ind w:left="-332" w:right="80" w:firstLine="656"/>
        <w:spacing w:after="0" w:line="250" w:lineRule="auto"/>
        <w:tabs>
          <w:tab w:leader="none" w:pos="104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07" w:lineRule="exact"/>
        <w:rPr>
          <w:rFonts w:ascii="Times New Roman" w:cs="Times New Roman" w:eastAsia="Times New Roman" w:hAnsi="Times New Roman"/>
          <w:sz w:val="22"/>
          <w:szCs w:val="22"/>
          <w:color w:val="auto"/>
        </w:rPr>
      </w:pPr>
    </w:p>
    <w:p>
      <w:pPr>
        <w:ind w:left="-332" w:right="20" w:firstLine="656"/>
        <w:spacing w:after="0" w:line="263" w:lineRule="auto"/>
        <w:tabs>
          <w:tab w:leader="none" w:pos="96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94"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Noncompetition and Cooperation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332" w:right="160" w:firstLine="656"/>
        <w:spacing w:after="0" w:line="256" w:lineRule="auto"/>
        <w:tabs>
          <w:tab w:leader="none" w:pos="96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 The terms of the Restrictive Covenant Agreement continue to be in full force and effect. For purposes of this Agreement, the obligations in this Section 7 and those that arise in the Restrictive Covenant Agreement and any other agreement relating to confidentiality, assignment of inventions, or other restrictive covenants shall collectively be referred to as the “Continuing Obligations.”</w:t>
      </w:r>
    </w:p>
    <w:p>
      <w:pPr>
        <w:spacing w:after="0" w:line="203" w:lineRule="exact"/>
        <w:rPr>
          <w:rFonts w:ascii="Times New Roman" w:cs="Times New Roman" w:eastAsia="Times New Roman" w:hAnsi="Times New Roman"/>
          <w:sz w:val="22"/>
          <w:szCs w:val="22"/>
          <w:color w:val="auto"/>
        </w:rPr>
      </w:pPr>
    </w:p>
    <w:p>
      <w:pPr>
        <w:ind w:left="-332" w:right="120" w:firstLine="656"/>
        <w:spacing w:after="0" w:line="248" w:lineRule="auto"/>
        <w:tabs>
          <w:tab w:leader="none" w:pos="95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212" w:lineRule="exact"/>
        <w:rPr>
          <w:rFonts w:ascii="Times New Roman" w:cs="Times New Roman" w:eastAsia="Times New Roman" w:hAnsi="Times New Roman"/>
          <w:sz w:val="22"/>
          <w:szCs w:val="22"/>
          <w:color w:val="auto"/>
        </w:rPr>
      </w:pPr>
    </w:p>
    <w:p>
      <w:pPr>
        <w:ind w:left="-332" w:right="20" w:firstLine="656"/>
        <w:spacing w:after="0" w:line="284" w:lineRule="auto"/>
        <w:tabs>
          <w:tab w:leader="none" w:pos="96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During and after the Executive’s employment, the Executive shall cooperate fully with the Company, including in the defense or prosecution of any claims or</w:t>
      </w:r>
    </w:p>
    <w:p>
      <w:pPr>
        <w:sectPr>
          <w:pgSz w:w="11900" w:h="16838" w:orient="portrait"/>
          <w:cols w:equalWidth="0" w:num="1">
            <w:col w:w="10908"/>
          </w:cols>
          <w:pgMar w:left="652" w:top="144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actions now in existence or which may be brought in the future against or on behalf of the Company which relate to events 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occurrences that transpired while the Executive was employed by the Company. The Executive’s full cooperation in connection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such claims or actions shall include, but not be limited to, being available to meet with counsel to prepare for discovery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trial and to act as a witness on behalf of the Company at mutually convenient times. During and after the Executive’s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employment, the Executive also shall cooperate fully with the Company in connection with any investigation or review of 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federal, state or local regulatory authority as any such investigation or review relates to events or occurrences that transpired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while the Executive was employed by the Company. The Company shall reimburse the Executive for any reasonable</w:t>
      </w:r>
    </w:p>
    <w:p>
      <w:pPr>
        <w:spacing w:after="0" w:line="4"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in connection with the Executive’s performance of obligations pursuant to this Section 7(c).</w:t>
      </w:r>
    </w:p>
    <w:p>
      <w:pPr>
        <w:spacing w:after="0" w:line="236" w:lineRule="exact"/>
        <w:rPr>
          <w:sz w:val="20"/>
          <w:szCs w:val="20"/>
          <w:color w:val="auto"/>
        </w:rPr>
      </w:pPr>
    </w:p>
    <w:p>
      <w:pPr>
        <w:ind w:right="20" w:firstLine="656"/>
        <w:spacing w:after="0" w:line="248" w:lineRule="auto"/>
        <w:tabs>
          <w:tab w:leader="none" w:pos="129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Injunction</w:t>
      </w:r>
      <w:r>
        <w:rPr>
          <w:rFonts w:ascii="Times New Roman" w:cs="Times New Roman" w:eastAsia="Times New Roman" w:hAnsi="Times New Roman"/>
          <w:sz w:val="22"/>
          <w:szCs w:val="22"/>
          <w:color w:val="auto"/>
        </w:rPr>
        <w:t>. The Executive agrees that it would be difficult to measure any damages caused to the Company which might result from any breach by the Executive of the promises set forth in this Section 7, and that in any event money damages would be an inadequate remedy for any such breach. Accordingly, subject to Section 8 of this Agreement, the Executive agrees that if the Executive breaches, or proposes to breach, any portion of this Agreement, the Company shall be entitled, in addition to all other remedies that it may have, to an injunction or other appropriate equitable relief to restrain any such breach without showing or proving any actual damage to the Company.</w:t>
      </w:r>
    </w:p>
    <w:p>
      <w:pPr>
        <w:spacing w:after="0" w:line="227" w:lineRule="exact"/>
        <w:rPr>
          <w:rFonts w:ascii="Times New Roman" w:cs="Times New Roman" w:eastAsia="Times New Roman" w:hAnsi="Times New Roman"/>
          <w:sz w:val="22"/>
          <w:szCs w:val="22"/>
          <w:color w:val="auto"/>
        </w:rPr>
      </w:pPr>
    </w:p>
    <w:p>
      <w:pPr>
        <w:ind w:firstLine="656"/>
        <w:spacing w:after="0" w:line="247" w:lineRule="auto"/>
        <w:tabs>
          <w:tab w:leader="none" w:pos="129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Disclosure</w:t>
      </w:r>
      <w:r>
        <w:rPr>
          <w:rFonts w:ascii="Times New Roman" w:cs="Times New Roman" w:eastAsia="Times New Roman" w:hAnsi="Times New Roman"/>
          <w:sz w:val="22"/>
          <w:szCs w:val="22"/>
          <w:color w:val="auto"/>
        </w:rPr>
        <w:t>. Nothing contained in this Agreement, any other agreement with the Company, or any Company policy or code limits your ability, with or without notice to the Company, to: (i) file a charge or complaint with any federal, state or local governmental agency or commission (a “Government Agency”), including without limitation, the Equal Employment Opportunity Commission or the Securities and Exchange Commission (the “SEC”); (ii) communicate with any Government Agency or otherwise participate in any investigation or proceeding that may be conducted by any Government Agency, including by providing non-privileged documents or information; (iii) engage in activities protected by Section 7 of the National Labor Relations Act; and (iv) testify truthfully in a legal proceeding. Any such communications and disclosures must be consistent with applicable law and the information disclosed must not have been obtained through a communication that was subject to the attorney-client privilege (unless disclosure of that information would otherwise be permitted consistent with such privilege or applicable law). If a Government Agency or any other third party pursues any claim on your behalf, you waive any right to monetary or other individualized relief (either individually or as part of any collective or class action), but the Company will not limit any right you may have to receive an award pursuant to the whistleblower provisions of any applicable law or regulation.</w:t>
      </w:r>
    </w:p>
    <w:p>
      <w:pPr>
        <w:spacing w:after="0" w:line="219" w:lineRule="exact"/>
        <w:rPr>
          <w:rFonts w:ascii="Times New Roman" w:cs="Times New Roman" w:eastAsia="Times New Roman" w:hAnsi="Times New Roman"/>
          <w:sz w:val="22"/>
          <w:szCs w:val="22"/>
          <w:color w:val="auto"/>
        </w:rPr>
      </w:pPr>
    </w:p>
    <w:p>
      <w:pPr>
        <w:ind w:firstLine="8"/>
        <w:spacing w:after="0" w:line="253" w:lineRule="auto"/>
        <w:tabs>
          <w:tab w:leader="none" w:pos="32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ectPr>
          <w:pgSz w:w="11900" w:h="16838" w:orient="portrait"/>
          <w:cols w:equalWidth="0" w:num="1">
            <w:col w:w="11200"/>
          </w:cols>
          <w:pgMar w:left="320" w:top="1422" w:right="379" w:bottom="1440" w:gutter="0" w:footer="0" w:header="0"/>
        </w:sectPr>
      </w:pPr>
    </w:p>
    <w:bookmarkStart w:id="44" w:name="page45"/>
    <w:bookmarkEnd w:id="44"/>
    <w:p>
      <w:pPr>
        <w:spacing w:after="0" w:line="225" w:lineRule="exact"/>
        <w:rPr>
          <w:sz w:val="20"/>
          <w:szCs w:val="20"/>
          <w:color w:val="auto"/>
        </w:rPr>
      </w:pPr>
    </w:p>
    <w:p>
      <w:pPr>
        <w:ind w:left="-8" w:right="40" w:firstLine="8"/>
        <w:spacing w:after="0" w:line="257" w:lineRule="auto"/>
        <w:tabs>
          <w:tab w:leader="none" w:pos="3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including the Restrictive Covenant Agreement and the Equity Documents, constitutes the entire agreement between the parties with respect to the subject matter hereof and supersedes all prior agreements between the parties concerning such subject matter, including without limitation, the Offer Letter.</w:t>
      </w:r>
    </w:p>
    <w:p>
      <w:pPr>
        <w:spacing w:after="0" w:line="213" w:lineRule="exact"/>
        <w:rPr>
          <w:rFonts w:ascii="Times New Roman" w:cs="Times New Roman" w:eastAsia="Times New Roman" w:hAnsi="Times New Roman"/>
          <w:sz w:val="22"/>
          <w:szCs w:val="22"/>
          <w:color w:val="auto"/>
        </w:rPr>
      </w:pPr>
    </w:p>
    <w:p>
      <w:pPr>
        <w:ind w:left="-8" w:right="440" w:firstLine="8"/>
        <w:spacing w:after="0" w:line="271" w:lineRule="auto"/>
        <w:tabs>
          <w:tab w:leader="none" w:pos="3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by the Company to the Executive under this Agreement shall be net of any tax or other amounts required to be withheld by the Company under applicable law.</w:t>
      </w:r>
    </w:p>
    <w:p>
      <w:pPr>
        <w:spacing w:after="0" w:line="184" w:lineRule="exact"/>
        <w:rPr>
          <w:rFonts w:ascii="Times New Roman" w:cs="Times New Roman" w:eastAsia="Times New Roman" w:hAnsi="Times New Roman"/>
          <w:sz w:val="22"/>
          <w:szCs w:val="22"/>
          <w:color w:val="auto"/>
        </w:rPr>
      </w:pPr>
    </w:p>
    <w:p>
      <w:pPr>
        <w:ind w:left="-8" w:firstLine="8"/>
        <w:spacing w:after="0" w:line="253" w:lineRule="auto"/>
        <w:tabs>
          <w:tab w:leader="none" w:pos="30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to the Executive</w:t>
      </w:r>
      <w:r>
        <w:rPr>
          <w:rFonts w:ascii="Times New Roman" w:cs="Times New Roman" w:eastAsia="Times New Roman" w:hAnsi="Times New Roman"/>
          <w:sz w:val="22"/>
          <w:szCs w:val="22"/>
          <w:color w:val="auto"/>
        </w:rPr>
        <w:t>. This Agreement shall inure to the benefit of and be enforceable by the Executive’s personal representatives, executors, administrators, heirs, distributees, devisees and legatees.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205" w:lineRule="exact"/>
        <w:rPr>
          <w:rFonts w:ascii="Times New Roman" w:cs="Times New Roman" w:eastAsia="Times New Roman" w:hAnsi="Times New Roman"/>
          <w:sz w:val="22"/>
          <w:szCs w:val="22"/>
          <w:color w:val="auto"/>
        </w:rPr>
      </w:pPr>
    </w:p>
    <w:p>
      <w:pPr>
        <w:ind w:left="-8" w:right="20" w:firstLine="8"/>
        <w:spacing w:after="0" w:line="253" w:lineRule="auto"/>
        <w:tabs>
          <w:tab w:leader="none" w:pos="3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205" w:lineRule="exact"/>
        <w:rPr>
          <w:rFonts w:ascii="Times New Roman" w:cs="Times New Roman" w:eastAsia="Times New Roman" w:hAnsi="Times New Roman"/>
          <w:sz w:val="22"/>
          <w:szCs w:val="22"/>
          <w:color w:val="auto"/>
        </w:rPr>
      </w:pPr>
    </w:p>
    <w:p>
      <w:pPr>
        <w:ind w:left="-8" w:right="460" w:firstLine="8"/>
        <w:spacing w:after="0" w:line="271" w:lineRule="auto"/>
        <w:tabs>
          <w:tab w:leader="none" w:pos="3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84" w:lineRule="exact"/>
        <w:rPr>
          <w:rFonts w:ascii="Times New Roman" w:cs="Times New Roman" w:eastAsia="Times New Roman" w:hAnsi="Times New Roman"/>
          <w:sz w:val="22"/>
          <w:szCs w:val="22"/>
          <w:color w:val="auto"/>
        </w:rPr>
      </w:pPr>
    </w:p>
    <w:p>
      <w:pPr>
        <w:jc w:val="both"/>
        <w:ind w:left="-8" w:right="40" w:firstLine="8"/>
        <w:spacing w:after="0" w:line="256" w:lineRule="auto"/>
        <w:tabs>
          <w:tab w:leader="none" w:pos="3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203" w:lineRule="exact"/>
        <w:rPr>
          <w:rFonts w:ascii="Times New Roman" w:cs="Times New Roman" w:eastAsia="Times New Roman" w:hAnsi="Times New Roman"/>
          <w:sz w:val="22"/>
          <w:szCs w:val="22"/>
          <w:color w:val="auto"/>
        </w:rPr>
      </w:pPr>
    </w:p>
    <w:p>
      <w:pPr>
        <w:ind w:left="-8" w:firstLine="8"/>
        <w:spacing w:after="0" w:line="256" w:lineRule="auto"/>
        <w:tabs>
          <w:tab w:leader="none" w:pos="3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203" w:lineRule="exact"/>
        <w:rPr>
          <w:rFonts w:ascii="Times New Roman" w:cs="Times New Roman" w:eastAsia="Times New Roman" w:hAnsi="Times New Roman"/>
          <w:sz w:val="22"/>
          <w:szCs w:val="22"/>
          <w:color w:val="auto"/>
        </w:rPr>
      </w:pPr>
    </w:p>
    <w:p>
      <w:pPr>
        <w:ind w:left="-8" w:right="300" w:firstLine="8"/>
        <w:spacing w:after="0" w:line="271" w:lineRule="auto"/>
        <w:tabs>
          <w:tab w:leader="none" w:pos="3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 duly authorized representative of the Company.</w:t>
      </w:r>
    </w:p>
    <w:p>
      <w:pPr>
        <w:sectPr>
          <w:pgSz w:w="11900" w:h="16838" w:orient="portrait"/>
          <w:cols w:equalWidth="0" w:num="1">
            <w:col w:w="11192"/>
          </w:cols>
          <w:pgMar w:left="328" w:top="1440" w:right="379" w:bottom="1440" w:gutter="0" w:footer="0" w:header="0"/>
        </w:sectPr>
      </w:pPr>
    </w:p>
    <w:bookmarkStart w:id="45" w:name="page46"/>
    <w:bookmarkEnd w:id="45"/>
    <w:p>
      <w:pPr>
        <w:ind w:left="-8" w:firstLine="8"/>
        <w:spacing w:after="0" w:line="256" w:lineRule="auto"/>
        <w:tabs>
          <w:tab w:leader="none" w:pos="31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203" w:lineRule="exact"/>
        <w:rPr>
          <w:rFonts w:ascii="Times New Roman" w:cs="Times New Roman" w:eastAsia="Times New Roman" w:hAnsi="Times New Roman"/>
          <w:sz w:val="22"/>
          <w:szCs w:val="22"/>
          <w:color w:val="auto"/>
        </w:rPr>
      </w:pPr>
    </w:p>
    <w:p>
      <w:pPr>
        <w:ind w:left="-8" w:right="700" w:firstLine="8"/>
        <w:spacing w:after="0" w:line="295" w:lineRule="auto"/>
        <w:tabs>
          <w:tab w:leader="none" w:pos="31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each of which when so executed and delivered shall be taken to be an original; but such counterparts shall together constitute one and the same document.</w:t>
      </w:r>
    </w:p>
    <w:p>
      <w:pPr>
        <w:spacing w:after="0" w:line="162" w:lineRule="exact"/>
        <w:rPr>
          <w:rFonts w:ascii="Times New Roman" w:cs="Times New Roman" w:eastAsia="Times New Roman" w:hAnsi="Times New Roman"/>
          <w:sz w:val="21"/>
          <w:szCs w:val="21"/>
          <w:color w:val="auto"/>
        </w:rPr>
      </w:pPr>
    </w:p>
    <w:p>
      <w:pPr>
        <w:ind w:left="-8" w:right="120" w:firstLine="8"/>
        <w:spacing w:after="0" w:line="253" w:lineRule="auto"/>
        <w:tabs>
          <w:tab w:leader="none" w:pos="31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to Company</w:t>
      </w:r>
      <w:r>
        <w:rPr>
          <w:rFonts w:ascii="Times New Roman" w:cs="Times New Roman" w:eastAsia="Times New Roman" w:hAnsi="Times New Roman"/>
          <w:sz w:val="22"/>
          <w:szCs w:val="22"/>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205" w:lineRule="exact"/>
        <w:rPr>
          <w:rFonts w:ascii="Times New Roman" w:cs="Times New Roman" w:eastAsia="Times New Roman" w:hAnsi="Times New Roman"/>
          <w:sz w:val="22"/>
          <w:szCs w:val="22"/>
          <w:color w:val="auto"/>
        </w:rPr>
      </w:pPr>
    </w:p>
    <w:p>
      <w:pPr>
        <w:ind w:left="-8" w:right="380" w:firstLine="8"/>
        <w:spacing w:after="0" w:line="271" w:lineRule="auto"/>
        <w:tabs>
          <w:tab w:leader="none" w:pos="31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Gender Neutral</w:t>
      </w:r>
      <w:r>
        <w:rPr>
          <w:rFonts w:ascii="Times New Roman" w:cs="Times New Roman" w:eastAsia="Times New Roman" w:hAnsi="Times New Roman"/>
          <w:sz w:val="22"/>
          <w:szCs w:val="22"/>
          <w:color w:val="auto"/>
        </w:rPr>
        <w:t>. Wherever used herein, a pronoun in the masculine gender shall be considered as including the feminine gender unless the context clearly indicates otherwise.</w:t>
      </w:r>
    </w:p>
    <w:p>
      <w:pPr>
        <w:sectPr>
          <w:pgSz w:w="11900" w:h="16838" w:orient="portrait"/>
          <w:cols w:equalWidth="0" w:num="1">
            <w:col w:w="11092"/>
          </w:cols>
          <w:pgMar w:left="328" w:top="1422"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effective on the Effective Date.</w:t>
      </w:r>
    </w:p>
    <w:p>
      <w:pPr>
        <w:sectPr>
          <w:pgSz w:w="11900" w:h="16838" w:orient="portrait"/>
          <w:cols w:equalWidth="0" w:num="1">
            <w:col w:w="9479"/>
          </w:cols>
          <w:pgMar w:left="980" w:top="1422"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VERICEL CORPORATION</w:t>
      </w:r>
    </w:p>
    <w:p>
      <w:pPr>
        <w:spacing w:after="0" w:line="24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u w:val="single" w:color="auto"/>
          <w:color w:val="auto"/>
        </w:rPr>
        <w:t>/s/ Dominick C. Colangelo</w:t>
      </w:r>
    </w:p>
    <w:p>
      <w:pPr>
        <w:spacing w:after="0" w:line="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By: Dominick C. Colangelo</w:t>
      </w:r>
    </w:p>
    <w:p>
      <w:pPr>
        <w:spacing w:after="0" w:line="1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Its: President and Chief Executive Officer</w:t>
      </w:r>
    </w:p>
    <w:p>
      <w:pPr>
        <w:spacing w:after="0" w:line="23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KAREN MAHONEY</w:t>
      </w:r>
    </w:p>
    <w:p>
      <w:pPr>
        <w:spacing w:after="0" w:line="24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u w:val="single" w:color="auto"/>
          <w:color w:val="auto"/>
        </w:rPr>
        <w:t>/s/ Karen Mahoney</w:t>
      </w:r>
    </w:p>
    <w:p>
      <w:pPr>
        <w:sectPr>
          <w:pgSz w:w="11900" w:h="16838" w:orient="portrait"/>
          <w:cols w:equalWidth="0" w:num="1">
            <w:col w:w="9479"/>
          </w:cols>
          <w:pgMar w:left="980" w:top="1422" w:right="1440"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5"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jc w:val="both"/>
        <w:ind w:right="260" w:firstLine="8"/>
        <w:spacing w:after="0" w:line="282" w:lineRule="auto"/>
        <w:tabs>
          <w:tab w:leader="none" w:pos="4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4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4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1182"/>
        <w:spacing w:after="0" w:line="266" w:lineRule="auto"/>
        <w:tabs>
          <w:tab w:leader="none" w:pos="141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80" w:firstLine="1182"/>
        <w:spacing w:after="0" w:line="266" w:lineRule="auto"/>
        <w:tabs>
          <w:tab w:leader="none" w:pos="142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1182"/>
        <w:spacing w:after="0" w:line="282" w:lineRule="auto"/>
        <w:tabs>
          <w:tab w:leader="none" w:pos="141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80" w:firstLine="1182"/>
        <w:spacing w:after="0" w:line="266" w:lineRule="auto"/>
        <w:tabs>
          <w:tab w:leader="none" w:pos="142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4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40" w:firstLine="1182"/>
        <w:spacing w:after="0" w:line="282" w:lineRule="auto"/>
        <w:tabs>
          <w:tab w:leader="none" w:pos="140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1182"/>
        <w:spacing w:after="0" w:line="282" w:lineRule="auto"/>
        <w:tabs>
          <w:tab w:leader="none" w:pos="141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8, 2025</w:t>
      </w:r>
    </w:p>
    <w:p>
      <w:pPr>
        <w:spacing w:after="0" w:line="36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Mara, certify that:</w:t>
      </w:r>
    </w:p>
    <w:p>
      <w:pPr>
        <w:spacing w:after="0" w:line="225" w:lineRule="exact"/>
        <w:rPr>
          <w:sz w:val="20"/>
          <w:szCs w:val="20"/>
          <w:color w:val="auto"/>
        </w:rPr>
      </w:pPr>
    </w:p>
    <w:p>
      <w:pPr>
        <w:ind w:left="440" w:hanging="189"/>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ind w:right="260" w:firstLine="251"/>
        <w:spacing w:after="0" w:line="282" w:lineRule="auto"/>
        <w:tabs>
          <w:tab w:leader="none" w:pos="4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251"/>
        <w:spacing w:after="0" w:line="282" w:lineRule="auto"/>
        <w:tabs>
          <w:tab w:leader="none" w:pos="4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51"/>
        <w:spacing w:after="0" w:line="266" w:lineRule="auto"/>
        <w:tabs>
          <w:tab w:leader="none" w:pos="4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34"/>
        <w:spacing w:after="0" w:line="266" w:lineRule="auto"/>
        <w:tabs>
          <w:tab w:leader="none" w:pos="7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34"/>
        <w:spacing w:after="0" w:line="266" w:lineRule="auto"/>
        <w:tabs>
          <w:tab w:leader="none" w:pos="78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34"/>
        <w:spacing w:after="0" w:line="282" w:lineRule="auto"/>
        <w:tabs>
          <w:tab w:leader="none" w:pos="7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34"/>
        <w:spacing w:after="0" w:line="266" w:lineRule="auto"/>
        <w:tabs>
          <w:tab w:leader="none" w:pos="78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251"/>
        <w:spacing w:after="0" w:line="282" w:lineRule="auto"/>
        <w:tabs>
          <w:tab w:leader="none" w:pos="4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60" w:firstLine="534"/>
        <w:spacing w:after="0" w:line="282" w:lineRule="auto"/>
        <w:tabs>
          <w:tab w:leader="none" w:pos="76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34"/>
        <w:spacing w:after="0" w:line="282" w:lineRule="auto"/>
        <w:tabs>
          <w:tab w:leader="none" w:pos="7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8, 2025</w:t>
      </w:r>
    </w:p>
    <w:p>
      <w:pPr>
        <w:spacing w:after="0" w:line="36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36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March 31, 2025,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25" w:lineRule="exact"/>
        <w:rPr>
          <w:rFonts w:ascii="Times New Roman" w:cs="Times New Roman" w:eastAsia="Times New Roman" w:hAnsi="Times New Roman"/>
          <w:sz w:val="18"/>
          <w:szCs w:val="18"/>
          <w:color w:val="auto"/>
        </w:rPr>
      </w:pPr>
    </w:p>
    <w:p>
      <w:pPr>
        <w:ind w:right="420" w:firstLine="8"/>
        <w:spacing w:after="0" w:line="532" w:lineRule="auto"/>
        <w:tabs>
          <w:tab w:leader="none" w:pos="3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8, 2025</w:t>
      </w:r>
    </w:p>
    <w:p>
      <w:pPr>
        <w:spacing w:after="0" w:line="8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Joseph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8">
    <w:nsid w:val="628C895D"/>
    <w:multiLevelType w:val="hybridMultilevel"/>
    <w:lvl w:ilvl="0">
      <w:lvlJc w:val="left"/>
      <w:lvlText w:val="%1"/>
      <w:numFmt w:val="decimal"/>
      <w:start w:val="1"/>
    </w:lvl>
    <w:lvl w:ilvl="1">
      <w:lvlJc w:val="left"/>
      <w:lvlText w:val="(%2)"/>
      <w:numFmt w:val="lowerLetter"/>
      <w:start w:val="3"/>
    </w:lvl>
  </w:abstractNum>
  <w:abstractNum w:abstractNumId="9">
    <w:nsid w:val="333AB105"/>
    <w:multiLevelType w:val="hybridMultilevel"/>
    <w:lvl w:ilvl="0">
      <w:lvlJc w:val="left"/>
      <w:lvlText w:val="%1."/>
      <w:numFmt w:val="decimal"/>
      <w:start w:val="3"/>
    </w:lvl>
    <w:lvl w:ilvl="1">
      <w:lvlJc w:val="left"/>
      <w:lvlText w:val="%2"/>
      <w:numFmt w:val="lowerLetter"/>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Roman"/>
      <w:start w:val="1"/>
    </w:lvl>
    <w:lvl w:ilvl="1">
      <w:lvlJc w:val="left"/>
      <w:lvlText w:val="(%2)"/>
      <w:numFmt w:val="lowerLetter"/>
      <w:start w:val="4"/>
    </w:lvl>
  </w:abstractNum>
  <w:abstractNum w:abstractNumId="12">
    <w:nsid w:val="2D1D5AE9"/>
    <w:multiLevelType w:val="hybridMultilevel"/>
    <w:lvl w:ilvl="0">
      <w:lvlJc w:val="left"/>
      <w:lvlText w:val="(%1)"/>
      <w:numFmt w:val="lowerRoman"/>
      <w:start w:val="4"/>
    </w:lvl>
    <w:lvl w:ilvl="1">
      <w:lvlJc w:val="left"/>
      <w:lvlText w:val="(%2)"/>
      <w:numFmt w:val="lowerLetter"/>
      <w:start w:val="6"/>
    </w:lvl>
  </w:abstractNum>
  <w:abstractNum w:abstractNumId="13">
    <w:nsid w:val="6763845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
    <w:nsid w:val="75A2A8D4"/>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61"/>
    </w:lvl>
    <w:lvl w:ilvl="3">
      <w:lvlJc w:val="left"/>
      <w:lvlText w:val="%4"/>
      <w:numFmt w:val="lowerLetter"/>
      <w:start w:val="1"/>
    </w:lvl>
  </w:abstractNum>
  <w:abstractNum w:abstractNumId="15">
    <w:nsid w:val="8EDBDAB"/>
    <w:multiLevelType w:val="hybridMultilevel"/>
    <w:lvl w:ilvl="0">
      <w:lvlJc w:val="left"/>
      <w:lvlText w:val="%1."/>
      <w:numFmt w:val="decimal"/>
      <w:start w:val="5"/>
    </w:lvl>
    <w:lvl w:ilvl="1">
      <w:lvlJc w:val="left"/>
      <w:lvlText w:val="(%2)"/>
      <w:numFmt w:val="upperLetter"/>
    </w:lvl>
    <w:lvl w:ilvl="2">
      <w:lvlJc w:val="left"/>
      <w:lvlText w:val="(%3)"/>
      <w:numFmt w:val="lowerLetter"/>
      <w:start w:val="1"/>
    </w:lvl>
    <w:lvl w:ilvl="3">
      <w:lvlJc w:val="left"/>
      <w:lvlText w:val="(%4)"/>
      <w:numFmt w:val="lowerLetter"/>
      <w:start w:val="9"/>
    </w:lvl>
  </w:abstractNum>
  <w:abstractNum w:abstractNumId="16">
    <w:nsid w:val="79838CB2"/>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Letter"/>
      <w:start w:val="35"/>
    </w:lvl>
  </w:abstractNum>
  <w:abstractNum w:abstractNumId="17">
    <w:nsid w:val="4353D0CD"/>
    <w:multiLevelType w:val="hybridMultilevel"/>
    <w:lvl w:ilvl="0">
      <w:lvlJc w:val="left"/>
      <w:lvlText w:val="(%1)"/>
      <w:numFmt w:val="lowerLetter"/>
      <w:start w:val="61"/>
    </w:lvl>
    <w:lvl w:ilvl="1">
      <w:lvlJc w:val="left"/>
      <w:lvlText w:val="(%2)"/>
      <w:numFmt w:val="lowerRoman"/>
      <w:start w:val="4"/>
    </w:lvl>
    <w:lvl w:ilvl="2">
      <w:lvlJc w:val="left"/>
      <w:lvlText w:val="%3"/>
      <w:numFmt w:val="lowerRoman"/>
      <w:start w:val="1"/>
    </w:lvl>
    <w:lvl w:ilvl="3">
      <w:lvlJc w:val="left"/>
      <w:lvlText w:val="%4"/>
      <w:numFmt w:val="upperLetter"/>
      <w:start w:val="1"/>
    </w:lvl>
  </w:abstractNum>
  <w:abstractNum w:abstractNumId="18">
    <w:nsid w:val="B03E0C6"/>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9"/>
    </w:lvl>
    <w:lvl w:ilvl="3">
      <w:lvlJc w:val="left"/>
      <w:lvlText w:val="(%4)"/>
      <w:numFmt w:val="upperLetter"/>
      <w:start w:val="1"/>
    </w:lvl>
  </w:abstractNum>
  <w:abstractNum w:abstractNumId="19">
    <w:nsid w:val="189A769B"/>
    <w:multiLevelType w:val="hybridMultilevel"/>
    <w:lvl w:ilvl="0">
      <w:lvlJc w:val="left"/>
      <w:lvlText w:val="%1"/>
      <w:numFmt w:val="lowerLetter"/>
      <w:start w:val="1"/>
    </w:lvl>
    <w:lvl w:ilvl="1">
      <w:lvlJc w:val="left"/>
      <w:lvlText w:val="(%2)"/>
      <w:numFmt w:val="lowerRoman"/>
      <w:start w:val="2"/>
    </w:lvl>
  </w:abstractNum>
  <w:abstractNum w:abstractNumId="20">
    <w:nsid w:val="54E49EB4"/>
    <w:multiLevelType w:val="hybridMultilevel"/>
    <w:lvl w:ilvl="0">
      <w:lvlJc w:val="left"/>
      <w:lvlText w:val="(%1)"/>
      <w:numFmt w:val="lowerLetter"/>
      <w:start w:val="2"/>
    </w:lvl>
    <w:lvl w:ilvl="1">
      <w:lvlJc w:val="left"/>
      <w:lvlText w:val="%2"/>
      <w:numFmt w:val="lowerRoman"/>
      <w:start w:val="1"/>
    </w:lvl>
  </w:abstractNum>
  <w:abstractNum w:abstractNumId="21">
    <w:nsid w:val="71F32454"/>
    <w:multiLevelType w:val="hybridMultilevel"/>
    <w:lvl w:ilvl="0">
      <w:lvlJc w:val="left"/>
      <w:lvlText w:val="(%1)"/>
      <w:numFmt w:val="lowerRoman"/>
      <w:start w:val="1"/>
    </w:lvl>
  </w:abstractNum>
  <w:abstractNum w:abstractNumId="22">
    <w:nsid w:val="2CA8861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3">
    <w:nsid w:val="836C40E"/>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1"/>
    </w:lvl>
  </w:abstractNum>
  <w:abstractNum w:abstractNumId="24">
    <w:nsid w:val="2901D82"/>
    <w:multiLevelType w:val="hybridMultilevel"/>
    <w:lvl w:ilvl="0">
      <w:lvlJc w:val="left"/>
      <w:lvlText w:val="%1"/>
      <w:numFmt w:val="decimal"/>
      <w:start w:val="1"/>
    </w:lvl>
    <w:lvl w:ilvl="1">
      <w:lvlJc w:val="left"/>
      <w:lvlText w:val="(%2)"/>
      <w:numFmt w:val="lowerLetter"/>
      <w:start w:val="3"/>
    </w:lvl>
  </w:abstractNum>
  <w:abstractNum w:abstractNumId="25">
    <w:nsid w:val="3A95F874"/>
    <w:multiLevelType w:val="hybridMultilevel"/>
    <w:lvl w:ilvl="0">
      <w:lvlJc w:val="left"/>
      <w:lvlText w:val="%1."/>
      <w:numFmt w:val="decimal"/>
      <w:start w:val="7"/>
    </w:lvl>
    <w:lvl w:ilvl="1">
      <w:lvlJc w:val="left"/>
      <w:lvlText w:val="(%2)"/>
      <w:numFmt w:val="lowerLetter"/>
      <w:start w:val="1"/>
    </w:lvl>
  </w:abstractNum>
  <w:abstractNum w:abstractNumId="26">
    <w:nsid w:val="8138641"/>
    <w:multiLevelType w:val="hybridMultilevel"/>
    <w:lvl w:ilvl="0">
      <w:lvlJc w:val="left"/>
      <w:lvlText w:val="%1"/>
      <w:numFmt w:val="decimal"/>
      <w:start w:val="1"/>
    </w:lvl>
    <w:lvl w:ilvl="1">
      <w:lvlJc w:val="left"/>
      <w:lvlText w:val="(%2)"/>
      <w:numFmt w:val="lowerLetter"/>
      <w:start w:val="4"/>
    </w:lvl>
  </w:abstractNum>
  <w:abstractNum w:abstractNumId="27">
    <w:nsid w:val="1E7FF521"/>
    <w:multiLevelType w:val="hybridMultilevel"/>
    <w:lvl w:ilvl="0">
      <w:lvlJc w:val="left"/>
      <w:lvlText w:val="%1."/>
      <w:numFmt w:val="decimal"/>
      <w:start w:val="8"/>
    </w:lvl>
    <w:lvl w:ilvl="1">
      <w:lvlJc w:val="left"/>
      <w:lvlText w:val="%2"/>
      <w:numFmt w:val="lowerLetter"/>
      <w:start w:val="1"/>
    </w:lvl>
  </w:abstractNum>
  <w:abstractNum w:abstractNumId="28">
    <w:nsid w:val="7C3DBD3D"/>
    <w:multiLevelType w:val="hybridMultilevel"/>
    <w:lvl w:ilvl="0">
      <w:lvlJc w:val="left"/>
      <w:lvlText w:val="%1."/>
      <w:numFmt w:val="decimal"/>
      <w:start w:val="9"/>
    </w:lvl>
  </w:abstractNum>
  <w:abstractNum w:abstractNumId="29">
    <w:nsid w:val="737B8DDC"/>
    <w:multiLevelType w:val="hybridMultilevel"/>
    <w:lvl w:ilvl="0">
      <w:lvlJc w:val="left"/>
      <w:lvlText w:val="%1."/>
      <w:numFmt w:val="decimal"/>
      <w:start w:val="17"/>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49" Type="http://schemas.openxmlformats.org/officeDocument/2006/relationships/hyperlink" Target="https://www.sec.gov/Archives/edgar/data/887359/000129993309004957/exhibit1.htm" TargetMode="External"/><Relationship Id="rId50" Type="http://schemas.openxmlformats.org/officeDocument/2006/relationships/hyperlink" Target="https://www.sec.gov/Archives/edgar/data/887359/000095012310030777/b80276exv3w2.htm" TargetMode="External"/><Relationship Id="rId51" Type="http://schemas.openxmlformats.org/officeDocument/2006/relationships/hyperlink" Target="https://www.sec.gov/Archives/edgar/data/887359/000095012311029237/a59068exv3w1.htm" TargetMode="External"/><Relationship Id="rId52" Type="http://schemas.openxmlformats.org/officeDocument/2006/relationships/hyperlink" Target="https://www.sec.gov/Archives/edgar/data/887359/000110465914083052/a14-25082_1ex3d1.htm" TargetMode="External"/><Relationship Id="rId53" Type="http://schemas.openxmlformats.org/officeDocument/2006/relationships/hyperlink" Target="https://www.sec.gov/Archives/edgar/data/887359/000129993310004053/exhibit1.htm" TargetMode="External"/><Relationship Id="rId54" Type="http://schemas.openxmlformats.org/officeDocument/2006/relationships/hyperlink" Target="https://www.sec.gov/Archives/edgar/data/887359/000162828020002229/ex45descriptionofcap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2025-05-08T08:00:27Z</dcterms:created>
  <dcterms:modified xsi:type="dcterms:W3CDTF">2025-05-08T08:00:27Z</dcterms:modified>
</cp:coreProperties>
</file>