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32"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 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pPr>
      <w:r>
        <w:rPr>
          <w:color w:val="000000"/>
        </w:rPr>
        <w:t> </w:t>
      </w:r>
      <w:r>
        <w:rPr>
          <w:rFonts w:ascii="Times New Roman;serif" w:hAnsi="Times New Roman;serif"/>
          <w:b/>
          <w:color w:val="000000"/>
          <w:sz w:val="32"/>
        </w:rPr>
        <w:t xml:space="preserve">Form 10-Q </w:t>
      </w:r>
    </w:p>
    <w:p>
      <w:pPr>
        <w:pStyle w:val="TextBody"/>
        <w:bidi w:val="0"/>
        <w:spacing w:lineRule="auto" w:line="288" w:before="0" w:after="0"/>
        <w:jc w:val="left"/>
        <w:rPr>
          <w:color w:val="000000"/>
        </w:rPr>
      </w:pPr>
      <w:r>
        <w:rPr>
          <w:color w:val="000000"/>
        </w:rPr>
        <w:t> </w:t>
      </w:r>
    </w:p>
    <w:p>
      <w:pPr>
        <w:pStyle w:val="TextBody"/>
        <w:bidi w:val="0"/>
        <w:spacing w:lineRule="auto" w:line="240" w:before="0" w:after="0"/>
        <w:jc w:val="center"/>
        <w:rPr/>
      </w:pPr>
      <w:r>
        <w:rPr>
          <w:color w:val="000000"/>
        </w:rPr>
        <w:t xml:space="preserve">☒      </w:t>
      </w:r>
      <w:r>
        <w:rPr>
          <w:rFonts w:ascii="Times New Roman;serif" w:hAnsi="Times New Roman;serif"/>
          <w:b/>
          <w:color w:val="000000"/>
          <w:sz w:val="24"/>
        </w:rPr>
        <w:t>QUARTERLY REPORT PURSUANT TO SECTION 13 OR 15(d) OF THE SECURITIES EXCHANGE ACT OF 1934</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pPr>
      <w:r>
        <w:rPr>
          <w:rFonts w:ascii="Times New Roman;serif" w:hAnsi="Times New Roman;serif"/>
          <w:b/>
          <w:color w:val="000000"/>
          <w:sz w:val="20"/>
        </w:rPr>
        <w:t xml:space="preserve">FOR THE QUARTERLY PERIOD ENDED: </w:t>
      </w:r>
      <w:r>
        <w:rPr>
          <w:color w:val="000000"/>
        </w:rPr>
        <w:t> </w:t>
      </w:r>
      <w:r>
        <w:rPr>
          <w:rFonts w:ascii="Times New Roman;serif" w:hAnsi="Times New Roman;serif"/>
          <w:b/>
          <w:color w:val="000000"/>
          <w:sz w:val="20"/>
        </w:rPr>
        <w:t>June 30, 2026</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40" w:before="0" w:after="0"/>
        <w:jc w:val="center"/>
        <w:rPr/>
      </w:pPr>
      <w:r>
        <w:rPr>
          <w:color w:val="000000"/>
        </w:rPr>
        <w:t xml:space="preserve">☐         </w:t>
      </w:r>
      <w:r>
        <w:rPr>
          <w:rFonts w:ascii="Times New Roman;serif" w:hAnsi="Times New Roman;serif"/>
          <w:b/>
          <w:color w:val="000000"/>
          <w:sz w:val="24"/>
        </w:rPr>
        <w:t>TRANSITION REPORT PURSUANT TO SECTION 13 OR 15(d) OF THE SECURITIES EXCHANGE ACT OF 1934</w:t>
      </w:r>
    </w:p>
    <w:p>
      <w:pPr>
        <w:pStyle w:val="TextBody"/>
        <w:bidi w:val="0"/>
        <w:spacing w:lineRule="auto" w:line="288" w:before="0" w:after="0"/>
        <w:jc w:val="center"/>
        <w:rPr/>
      </w:pPr>
      <w:r>
        <w:rPr>
          <w:color w:val="000000"/>
        </w:rPr>
        <w:t> </w:t>
      </w:r>
      <w:r>
        <w:rPr>
          <w:rFonts w:ascii="Times New Roman;serif" w:hAnsi="Times New Roman;serif"/>
          <w:b/>
          <w:color w:val="000000"/>
          <w:sz w:val="20"/>
        </w:rPr>
        <w:t xml:space="preserve">Commission File Number 001-35280 </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 xml:space="preserve">VERICEL CORPORATION </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286" w:type="dxa"/>
        <w:jc w:val="left"/>
        <w:tblInd w:w="0" w:type="dxa"/>
        <w:tblLayout w:type="fixed"/>
        <w:tblCellMar>
          <w:top w:w="28" w:type="dxa"/>
          <w:left w:w="28" w:type="dxa"/>
          <w:bottom w:w="28" w:type="dxa"/>
          <w:right w:w="28" w:type="dxa"/>
        </w:tblCellMar>
      </w:tblPr>
      <w:tblGrid>
        <w:gridCol w:w="1549"/>
        <w:gridCol w:w="1360"/>
        <w:gridCol w:w="1380"/>
        <w:gridCol w:w="109"/>
        <w:gridCol w:w="109"/>
        <w:gridCol w:w="109"/>
        <w:gridCol w:w="778"/>
        <w:gridCol w:w="778"/>
        <w:gridCol w:w="1114"/>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Michigan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94-3096597</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lineRule="auto" w:line="240"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25 Blue Sky Drive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Burlington, MA 01803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including zip code) </w:t>
      </w:r>
    </w:p>
    <w:p>
      <w:pPr>
        <w:pStyle w:val="TextBody"/>
        <w:bidi w:val="0"/>
        <w:spacing w:before="0" w:after="0"/>
        <w:jc w:val="center"/>
        <w:rPr/>
      </w:pPr>
      <w:r>
        <w:rPr/>
      </w:r>
    </w:p>
    <w:p>
      <w:pPr>
        <w:pStyle w:val="TextBody"/>
        <w:bidi w:val="0"/>
        <w:spacing w:lineRule="auto" w:line="240" w:before="0" w:after="0"/>
        <w:jc w:val="center"/>
        <w:rPr/>
      </w:pPr>
      <w:r>
        <w:rPr>
          <w:rFonts w:ascii="Times New Roman;serif" w:hAnsi="Times New Roman;serif"/>
          <w:b w:val="false"/>
          <w:color w:val="000000"/>
          <w:sz w:val="16"/>
        </w:rPr>
        <w:t xml:space="preserve">Registrant’s telephone number, including area code: </w:t>
      </w:r>
      <w:r>
        <w:rPr>
          <w:rFonts w:ascii="Times New Roman;serif" w:hAnsi="Times New Roman;serif"/>
          <w:b/>
          <w:color w:val="000000"/>
          <w:sz w:val="16"/>
        </w:rPr>
        <w:t>(617) 588-5555</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center"/>
        <w:rPr/>
      </w:pPr>
      <w:r>
        <w:rPr>
          <w:color w:val="000000"/>
        </w:rPr>
        <w:t> </w:t>
      </w:r>
      <w:r>
        <w:rPr>
          <w:rFonts w:ascii="Times New Roman;serif" w:hAnsi="Times New Roman;serif"/>
          <w:b w:val="false"/>
          <w:color w:val="000000"/>
          <w:sz w:val="16"/>
        </w:rPr>
        <w:t>Securities registered pursuant to Section 12(b) of the Act:</w:t>
      </w:r>
      <w:r>
        <w:rPr>
          <w:color w:val="000000"/>
        </w:rPr>
        <w:t> </w:t>
      </w:r>
    </w:p>
    <w:tbl>
      <w:tblPr>
        <w:tblW w:w="7544" w:type="dxa"/>
        <w:jc w:val="left"/>
        <w:tblInd w:w="0" w:type="dxa"/>
        <w:tblLayout w:type="fixed"/>
        <w:tblCellMar>
          <w:top w:w="28" w:type="dxa"/>
          <w:left w:w="28" w:type="dxa"/>
          <w:bottom w:w="28" w:type="dxa"/>
          <w:right w:w="28" w:type="dxa"/>
        </w:tblCellMar>
      </w:tblPr>
      <w:tblGrid>
        <w:gridCol w:w="837"/>
        <w:gridCol w:w="734"/>
        <w:gridCol w:w="738"/>
        <w:gridCol w:w="519"/>
        <w:gridCol w:w="519"/>
        <w:gridCol w:w="521"/>
        <w:gridCol w:w="1077"/>
        <w:gridCol w:w="1077"/>
        <w:gridCol w:w="1522"/>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(No par value)</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VCEL</w:t>
            </w:r>
          </w:p>
        </w:tc>
        <w:tc>
          <w:tcPr>
            <w:tcW w:w="3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w:t>
            </w:r>
          </w:p>
        </w:tc>
      </w:tr>
    </w:tbl>
    <w:p>
      <w:pPr>
        <w:pStyle w:val="TextBody"/>
        <w:bidi w:val="0"/>
        <w:spacing w:before="0" w:after="60"/>
        <w:ind w:left="0" w:right="0" w:firstLine="270"/>
        <w:jc w:val="left"/>
        <w:rPr/>
      </w:pPr>
      <w:r>
        <w:rPr/>
      </w:r>
    </w:p>
    <w:p>
      <w:pPr>
        <w:pStyle w:val="TextBody"/>
        <w:bidi w:val="0"/>
        <w:spacing w:lineRule="auto" w:line="288" w:before="0" w:after="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404"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No </w:t>
      </w:r>
      <w:r>
        <w:rPr>
          <w:rFonts w:ascii="Wingdings;sans-serif" w:hAnsi="Wingdings;sans-serif"/>
          <w:b w:val="false"/>
          <w:color w:val="000000"/>
          <w:sz w:val="18"/>
        </w:rPr>
        <w:t>x</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 of July 24, 2026, 51,206,614 shares of Common Stock, no par value per share, were outstanding. </w:t>
      </w:r>
    </w:p>
    <w:p>
      <w:pPr>
        <w:pStyle w:val="TextBody"/>
        <w:bidi w:val="0"/>
        <w:spacing w:before="0" w:after="0"/>
        <w:jc w:val="left"/>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3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3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3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f2727dc015d44a9bbd26ee8a4ef4c08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VERICEL CORPORATION</w:t>
      </w:r>
    </w:p>
    <w:p>
      <w:pPr>
        <w:pStyle w:val="TextBody"/>
        <w:bidi w:val="0"/>
        <w:spacing w:lineRule="auto" w:line="288" w:before="0" w:after="0"/>
        <w:jc w:val="center"/>
        <w:rPr/>
      </w:pPr>
      <w:r>
        <w:rPr>
          <w:color w:val="000000"/>
        </w:rPr>
        <w:t> </w:t>
      </w:r>
      <w:r>
        <w:rPr>
          <w:rFonts w:ascii="Times New Roman;serif" w:hAnsi="Times New Roman;serif"/>
          <w:b/>
          <w:color w:val="000000"/>
          <w:sz w:val="20"/>
        </w:rPr>
        <w:t>QUARTERLY REPORT ON FORM 10-Q</w:t>
      </w:r>
    </w:p>
    <w:p>
      <w:pPr>
        <w:pStyle w:val="TextBody"/>
        <w:bidi w:val="0"/>
        <w:spacing w:lineRule="auto" w:line="288" w:before="0" w:after="0"/>
        <w:jc w:val="center"/>
        <w:rPr/>
      </w:pPr>
      <w:r>
        <w:rPr>
          <w:color w:val="000000"/>
        </w:rPr>
        <w:t> </w:t>
      </w: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8686" w:type="dxa"/>
        <w:jc w:val="left"/>
        <w:tblInd w:w="0" w:type="dxa"/>
        <w:tblLayout w:type="fixed"/>
        <w:tblCellMar>
          <w:top w:w="28" w:type="dxa"/>
          <w:left w:w="28" w:type="dxa"/>
          <w:bottom w:w="28" w:type="dxa"/>
          <w:right w:w="28" w:type="dxa"/>
        </w:tblCellMar>
      </w:tblPr>
      <w:tblGrid>
        <w:gridCol w:w="293"/>
        <w:gridCol w:w="258"/>
        <w:gridCol w:w="259"/>
        <w:gridCol w:w="2454"/>
        <w:gridCol w:w="2454"/>
        <w:gridCol w:w="2457"/>
        <w:gridCol w:w="149"/>
        <w:gridCol w:w="149"/>
        <w:gridCol w:w="213"/>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Financial Statements (Unaudited):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727dc015d44a9bbd26ee8a4ef4c08e_10">
              <w:r>
                <w:rPr>
                  <w:rStyle w:val="InternetLink"/>
                  <w:rFonts w:ascii="Times New Roman;serif" w:hAnsi="Times New Roman;serif"/>
                  <w:b w:val="false"/>
                  <w:color w:val="0000FF"/>
                  <w:sz w:val="20"/>
                  <w:u w:val="single"/>
                </w:rPr>
                <w:t>3</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727dc015d44a9bbd26ee8a4ef4c08e_13">
              <w:r>
                <w:rPr>
                  <w:rStyle w:val="InternetLink"/>
                  <w:rFonts w:ascii="Times New Roman;serif" w:hAnsi="Times New Roman;serif"/>
                  <w:b w:val="false"/>
                  <w:color w:val="0000FF"/>
                  <w:sz w:val="20"/>
                  <w:u w:val="single"/>
                </w:rPr>
                <w:t>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727dc015d44a9bbd26ee8a4ef4c08e_10">
              <w:r>
                <w:rPr>
                  <w:rStyle w:val="InternetLink"/>
                  <w:rFonts w:ascii="Times New Roman;serif" w:hAnsi="Times New Roman;serif"/>
                  <w:b w:val="false"/>
                  <w:color w:val="0000FF"/>
                  <w:sz w:val="20"/>
                  <w:u w:val="single"/>
                </w:rPr>
                <w:t>3</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727dc015d44a9bbd26ee8a4ef4c08e_19">
              <w:r>
                <w:rPr>
                  <w:rStyle w:val="InternetLink"/>
                  <w:rFonts w:ascii="Times New Roman;serif" w:hAnsi="Times New Roman;serif"/>
                  <w:b w:val="false"/>
                  <w:color w:val="0000FF"/>
                  <w:sz w:val="20"/>
                  <w:u w:val="single"/>
                </w:rPr>
                <w:t>Condensed Consolidated Statements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727dc015d44a9bbd26ee8a4ef4c08e_19">
              <w:r>
                <w:rPr>
                  <w:rStyle w:val="InternetLink"/>
                  <w:rFonts w:ascii="Times New Roman;serif" w:hAnsi="Times New Roman;serif"/>
                  <w:b w:val="false"/>
                  <w:color w:val="0000FF"/>
                  <w:sz w:val="20"/>
                  <w:u w:val="single"/>
                </w:rPr>
                <w:t>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727dc015d44a9bbd26ee8a4ef4c08e_22">
              <w:r>
                <w:rPr>
                  <w:rStyle w:val="InternetLink"/>
                  <w:rFonts w:ascii="Times New Roman;serif" w:hAnsi="Times New Roman;serif"/>
                  <w:b w:val="false"/>
                  <w:color w:val="0000FF"/>
                  <w:sz w:val="20"/>
                  <w:u w:val="single"/>
                </w:rPr>
                <w:t>Condensed Consolidated Statements of Comprehensive Loss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727dc015d44a9bbd26ee8a4ef4c08e_22">
              <w:r>
                <w:rPr>
                  <w:rStyle w:val="InternetLink"/>
                  <w:rFonts w:ascii="Times New Roman;serif" w:hAnsi="Times New Roman;serif"/>
                  <w:b w:val="false"/>
                  <w:color w:val="0000FF"/>
                  <w:sz w:val="20"/>
                  <w:u w:val="single"/>
                </w:rPr>
                <w:t>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727dc015d44a9bbd26ee8a4ef4c08e_25">
              <w:r>
                <w:rPr>
                  <w:rStyle w:val="InternetLink"/>
                  <w:rFonts w:ascii="Times New Roman;serif" w:hAnsi="Times New Roman;serif"/>
                  <w:b w:val="false"/>
                  <w:color w:val="0000FF"/>
                  <w:sz w:val="20"/>
                  <w:u w:val="single"/>
                </w:rPr>
                <w:t>Condensed Consolidated Statements of Shareholders’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727dc015d44a9bbd26ee8a4ef4c08e_25">
              <w:r>
                <w:rPr>
                  <w:rStyle w:val="InternetLink"/>
                  <w:rFonts w:ascii="Times New Roman;serif" w:hAnsi="Times New Roman;serif"/>
                  <w:b w:val="false"/>
                  <w:color w:val="0000FF"/>
                  <w:sz w:val="20"/>
                  <w:u w:val="single"/>
                </w:rPr>
                <w:t>6</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727dc015d44a9bbd26ee8a4ef4c08e_28">
              <w:r>
                <w:rPr>
                  <w:rStyle w:val="InternetLink"/>
                  <w:rFonts w:ascii="Times New Roman;serif" w:hAnsi="Times New Roman;serif"/>
                  <w:b w:val="false"/>
                  <w:color w:val="0000FF"/>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727dc015d44a9bbd26ee8a4ef4c08e_28">
              <w:r>
                <w:rPr>
                  <w:rStyle w:val="InternetLink"/>
                  <w:rFonts w:ascii="Times New Roman;serif" w:hAnsi="Times New Roman;serif"/>
                  <w:b w:val="false"/>
                  <w:color w:val="0000FF"/>
                  <w:sz w:val="20"/>
                  <w:u w:val="single"/>
                </w:rPr>
                <w:t>7</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727dc015d44a9bbd26ee8a4ef4c08e_31">
              <w:r>
                <w:rPr>
                  <w:rStyle w:val="InternetLink"/>
                  <w:rFonts w:ascii="Times New Roman;serif" w:hAnsi="Times New Roman;serif"/>
                  <w:b w:val="false"/>
                  <w:color w:val="0000FF"/>
                  <w:sz w:val="20"/>
                  <w:u w:val="single"/>
                </w:rPr>
                <w:t>Notes to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727dc015d44a9bbd26ee8a4ef4c08e_31">
              <w:r>
                <w:rPr>
                  <w:rStyle w:val="InternetLink"/>
                  <w:rFonts w:ascii="Times New Roman;serif" w:hAnsi="Times New Roman;serif"/>
                  <w:b w:val="false"/>
                  <w:color w:val="0000FF"/>
                  <w:sz w:val="20"/>
                  <w:u w:val="single"/>
                </w:rPr>
                <w:t>9</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727dc015d44a9bbd26ee8a4ef4c08e_7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727dc015d44a9bbd26ee8a4ef4c08e_76">
              <w:r>
                <w:rPr>
                  <w:rStyle w:val="InternetLink"/>
                  <w:rFonts w:ascii="Times New Roman;serif" w:hAnsi="Times New Roman;serif"/>
                  <w:b w:val="false"/>
                  <w:color w:val="0000FF"/>
                  <w:sz w:val="20"/>
                  <w:u w:val="single"/>
                </w:rPr>
                <w:t>23</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727dc015d44a9bbd26ee8a4ef4c08e_91">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727dc015d44a9bbd26ee8a4ef4c08e_91">
              <w:r>
                <w:rPr>
                  <w:rStyle w:val="InternetLink"/>
                  <w:rFonts w:ascii="Times New Roman;serif" w:hAnsi="Times New Roman;serif"/>
                  <w:b w:val="false"/>
                  <w:color w:val="0000FF"/>
                  <w:sz w:val="20"/>
                  <w:u w:val="single"/>
                </w:rPr>
                <w:t>30</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727dc015d44a9bbd26ee8a4ef4c08e_94">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727dc015d44a9bbd26ee8a4ef4c08e_94">
              <w:r>
                <w:rPr>
                  <w:rStyle w:val="InternetLink"/>
                  <w:rFonts w:ascii="Times New Roman;serif" w:hAnsi="Times New Roman;serif"/>
                  <w:b w:val="false"/>
                  <w:color w:val="0000FF"/>
                  <w:sz w:val="20"/>
                  <w:u w:val="single"/>
                </w:rPr>
                <w:t>30</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 — OTHER INFORMATION</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727dc015d44a9bbd26ee8a4ef4c08e_100">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727dc015d44a9bbd26ee8a4ef4c08e_100">
              <w:r>
                <w:rPr>
                  <w:rStyle w:val="InternetLink"/>
                  <w:rFonts w:ascii="Times New Roman;serif" w:hAnsi="Times New Roman;serif"/>
                  <w:b w:val="false"/>
                  <w:color w:val="0000FF"/>
                  <w:sz w:val="20"/>
                  <w:u w:val="single"/>
                </w:rPr>
                <w:t>31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727dc015d44a9bbd26ee8a4ef4c08e_103">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727dc015d44a9bbd26ee8a4ef4c08e_103">
              <w:r>
                <w:rPr>
                  <w:rStyle w:val="InternetLink"/>
                  <w:rFonts w:ascii="Times New Roman;serif" w:hAnsi="Times New Roman;serif"/>
                  <w:b w:val="false"/>
                  <w:color w:val="0000FF"/>
                  <w:sz w:val="20"/>
                  <w:u w:val="single"/>
                </w:rPr>
                <w:t>31</w:t>
              </w:r>
            </w:hyperlink>
          </w:p>
        </w:tc>
      </w:tr>
      <w:tr>
        <w:trPr/>
        <w:tc>
          <w:tcPr>
            <w:tcW w:w="810"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727dc015d44a9bbd26ee8a4ef4c08e_109">
              <w:r>
                <w:rPr>
                  <w:rStyle w:val="InternetLink"/>
                  <w:rFonts w:ascii="Times New Roman;serif" w:hAnsi="Times New Roman;serif"/>
                  <w:b w:val="false"/>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727dc015d44a9bbd26ee8a4ef4c08e_109">
              <w:r>
                <w:rPr>
                  <w:rStyle w:val="InternetLink"/>
                  <w:rFonts w:ascii="Times New Roman;serif" w:hAnsi="Times New Roman;serif"/>
                  <w:b w:val="false"/>
                  <w:color w:val="0000FF"/>
                  <w:sz w:val="20"/>
                  <w:u w:val="single"/>
                </w:rPr>
                <w:t>31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727dc015d44a9bbd26ee8a4ef4c08e_112">
              <w:r>
                <w:rPr>
                  <w:rStyle w:val="InternetLink"/>
                  <w:rFonts w:ascii="Times New Roman;serif" w:hAnsi="Times New Roman;serif"/>
                  <w:b w:val="false"/>
                  <w:color w:val="0000FF"/>
                  <w:sz w:val="20"/>
                  <w:u w:val="singl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727dc015d44a9bbd26ee8a4ef4c08e_112">
              <w:r>
                <w:rPr>
                  <w:rStyle w:val="InternetLink"/>
                  <w:rFonts w:ascii="Times New Roman;serif" w:hAnsi="Times New Roman;serif"/>
                  <w:b w:val="false"/>
                  <w:color w:val="0000FF"/>
                  <w:sz w:val="20"/>
                  <w:u w:val="single"/>
                </w:rPr>
                <w:t>31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727dc015d44a9bbd26ee8a4ef4c08e_115">
              <w:r>
                <w:rPr>
                  <w:rStyle w:val="InternetLink"/>
                  <w:rFonts w:ascii="Times New Roman;serif" w:hAnsi="Times New Roman;serif"/>
                  <w:b w:val="false"/>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727dc015d44a9bbd26ee8a4ef4c08e_115">
              <w:r>
                <w:rPr>
                  <w:rStyle w:val="InternetLink"/>
                  <w:rFonts w:ascii="Times New Roman;serif" w:hAnsi="Times New Roman;serif"/>
                  <w:b w:val="false"/>
                  <w:color w:val="0000FF"/>
                  <w:sz w:val="20"/>
                  <w:u w:val="single"/>
                </w:rPr>
                <w:t>31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727dc015d44a9bbd26ee8a4ef4c08e_118">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727dc015d44a9bbd26ee8a4ef4c08e_118">
              <w:r>
                <w:rPr>
                  <w:rStyle w:val="InternetLink"/>
                  <w:rFonts w:ascii="Times New Roman;serif" w:hAnsi="Times New Roman;serif"/>
                  <w:b w:val="false"/>
                  <w:color w:val="0000FF"/>
                  <w:sz w:val="20"/>
                  <w:u w:val="single"/>
                </w:rPr>
                <w:t>31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727dc015d44a9bbd26ee8a4ef4c08e_124">
              <w:r>
                <w:rPr>
                  <w:rStyle w:val="InternetLink"/>
                  <w:rFonts w:ascii="Times New Roman;serif" w:hAnsi="Times New Roman;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727dc015d44a9bbd26ee8a4ef4c08e_124">
              <w:r>
                <w:rPr>
                  <w:rStyle w:val="InternetLink"/>
                  <w:rFonts w:ascii="Times New Roman;serif" w:hAnsi="Times New Roman;serif"/>
                  <w:b w:val="false"/>
                  <w:color w:val="0000FF"/>
                  <w:sz w:val="20"/>
                  <w:u w:val="single"/>
                </w:rPr>
                <w:t>32</w:t>
              </w:r>
            </w:hyperlink>
          </w:p>
        </w:tc>
      </w:tr>
      <w:tr>
        <w:trPr/>
        <w:tc>
          <w:tcPr>
            <w:tcW w:w="817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727dc015d44a9bbd26ee8a4ef4c08e_127">
              <w:r>
                <w:rPr>
                  <w:rStyle w:val="InternetLink"/>
                  <w:rFonts w:ascii="Times New Roman;serif" w:hAnsi="Times New Roman;serif"/>
                  <w:b w:val="false"/>
                  <w:color w:val="0000FF"/>
                  <w:sz w:val="20"/>
                  <w:u w:val="single"/>
                </w:rPr>
                <w:t>Exhibit Index</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727dc015d44a9bbd26ee8a4ef4c08e_127">
              <w:r>
                <w:rPr>
                  <w:rStyle w:val="InternetLink"/>
                  <w:rFonts w:ascii="Times New Roman;serif" w:hAnsi="Times New Roman;serif"/>
                  <w:b w:val="false"/>
                  <w:color w:val="0000FF"/>
                  <w:sz w:val="20"/>
                  <w:u w:val="single"/>
                </w:rPr>
                <w:t>32</w:t>
              </w:r>
            </w:hyperlink>
          </w:p>
        </w:tc>
      </w:tr>
      <w:tr>
        <w:trPr/>
        <w:tc>
          <w:tcPr>
            <w:tcW w:w="817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727dc015d44a9bbd26ee8a4ef4c08e_130">
              <w:r>
                <w:rPr>
                  <w:rStyle w:val="InternetLink"/>
                  <w:rFonts w:ascii="Times New Roman;serif" w:hAnsi="Times New Roman;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727dc015d44a9bbd26ee8a4ef4c08e_130">
              <w:r>
                <w:rPr>
                  <w:rStyle w:val="InternetLink"/>
                  <w:rFonts w:ascii="Times New Roman;serif" w:hAnsi="Times New Roman;serif"/>
                  <w:b w:val="false"/>
                  <w:color w:val="0000FF"/>
                  <w:sz w:val="20"/>
                  <w:u w:val="single"/>
                </w:rPr>
                <w:t>33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f2727dc015d44a9bbd26ee8a4ef4c08e_7">
        <w:r>
          <w:rPr>
            <w:rStyle w:val="InternetLink"/>
            <w:rFonts w:ascii="Times New Roman;serif" w:hAnsi="Times New Roman;serif"/>
            <w:b/>
            <w:color w:val="0000FF"/>
            <w:sz w:val="20"/>
            <w:u w:val="single"/>
          </w:rPr>
          <w:t>Table of Contents</w:t>
        </w:r>
      </w:hyperlink>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VERICEL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amounts in thousands)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03"/>
        <w:gridCol w:w="2212"/>
        <w:gridCol w:w="2197"/>
        <w:gridCol w:w="109"/>
        <w:gridCol w:w="109"/>
        <w:gridCol w:w="109"/>
        <w:gridCol w:w="211"/>
        <w:gridCol w:w="826"/>
        <w:gridCol w:w="109"/>
        <w:gridCol w:w="109"/>
        <w:gridCol w:w="109"/>
        <w:gridCol w:w="109"/>
        <w:gridCol w:w="211"/>
        <w:gridCol w:w="826"/>
        <w:gridCol w:w="156"/>
      </w:tblGrid>
      <w:tr>
        <w:trPr/>
        <w:tc>
          <w:tcPr>
            <w:tcW w:w="2803"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2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doubtful accounts of $23 and $13,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247,437 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133,329 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no par value; shares authorized — 75,000; shares issued and outstanding — 51,171 and 50,620,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730,662 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(376,297)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354,640 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502,866 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487,969 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condensed consolidated financial statements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2727dc015d44a9bbd26ee8a4ef4c08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VERICEL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amounts in thousands, except per share amounts)</w:t>
      </w:r>
    </w:p>
    <w:p>
      <w:pPr>
        <w:pStyle w:val="TextBody"/>
        <w:bidi w:val="0"/>
        <w:spacing w:lineRule="auto" w:line="288" w:before="0" w:after="0"/>
        <w:jc w:val="left"/>
        <w:rPr>
          <w:color w:val="000000"/>
        </w:rPr>
      </w:pPr>
      <w:r>
        <w:rPr>
          <w:color w:val="000000"/>
        </w:rPr>
        <w:t> </w:t>
      </w:r>
    </w:p>
    <w:tbl>
      <w:tblPr>
        <w:tblW w:w="9702" w:type="dxa"/>
        <w:jc w:val="left"/>
        <w:tblInd w:w="0" w:type="dxa"/>
        <w:tblLayout w:type="fixed"/>
        <w:tblCellMar>
          <w:top w:w="28" w:type="dxa"/>
          <w:left w:w="28" w:type="dxa"/>
          <w:bottom w:w="28" w:type="dxa"/>
          <w:right w:w="28" w:type="dxa"/>
        </w:tblCellMar>
      </w:tblPr>
      <w:tblGrid>
        <w:gridCol w:w="1440"/>
        <w:gridCol w:w="1265"/>
        <w:gridCol w:w="1270"/>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52,312 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50,138 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condensed consolidated financial statements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2727dc015d44a9bbd26ee8a4ef4c08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VERICEL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pPr>
      <w:r>
        <w:rPr>
          <w:rFonts w:ascii="Times New Roman;serif" w:hAnsi="Times New Roman;serif"/>
          <w:b/>
          <w:color w:val="000000"/>
          <w:sz w:val="20"/>
        </w:rPr>
        <w:t>(Unaudited, amounts in thousands</w:t>
      </w:r>
      <w:r>
        <w:rPr>
          <w:rFonts w:ascii="Times New Roman;serif" w:hAnsi="Times New Roman;serif"/>
          <w:b w:val="false"/>
          <w:color w:val="000000"/>
          <w:sz w:val="20"/>
        </w:rPr>
        <w:t>)</w:t>
      </w:r>
    </w:p>
    <w:p>
      <w:pPr>
        <w:pStyle w:val="TextBody"/>
        <w:bidi w:val="0"/>
        <w:spacing w:before="0" w:after="0"/>
        <w:jc w:val="center"/>
        <w:rPr/>
      </w:pPr>
      <w:r>
        <w:rPr/>
      </w:r>
    </w:p>
    <w:tbl>
      <w:tblPr>
        <w:tblW w:w="8581" w:type="dxa"/>
        <w:jc w:val="left"/>
        <w:tblInd w:w="0" w:type="dxa"/>
        <w:tblLayout w:type="fixed"/>
        <w:tblCellMar>
          <w:top w:w="28" w:type="dxa"/>
          <w:left w:w="28" w:type="dxa"/>
          <w:bottom w:w="28" w:type="dxa"/>
          <w:right w:w="28" w:type="dxa"/>
        </w:tblCellMar>
      </w:tblPr>
      <w:tblGrid>
        <w:gridCol w:w="1146"/>
        <w:gridCol w:w="1005"/>
        <w:gridCol w:w="1013"/>
        <w:gridCol w:w="109"/>
        <w:gridCol w:w="109"/>
        <w:gridCol w:w="109"/>
        <w:gridCol w:w="225"/>
        <w:gridCol w:w="657"/>
        <w:gridCol w:w="116"/>
        <w:gridCol w:w="116"/>
        <w:gridCol w:w="116"/>
        <w:gridCol w:w="116"/>
        <w:gridCol w:w="225"/>
        <w:gridCol w:w="577"/>
        <w:gridCol w:w="116"/>
        <w:gridCol w:w="109"/>
        <w:gridCol w:w="109"/>
        <w:gridCol w:w="109"/>
        <w:gridCol w:w="211"/>
        <w:gridCol w:w="691"/>
        <w:gridCol w:w="109"/>
        <w:gridCol w:w="109"/>
        <w:gridCol w:w="109"/>
        <w:gridCol w:w="109"/>
        <w:gridCol w:w="211"/>
        <w:gridCol w:w="79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condensed consolidated financial statements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2727dc015d44a9bbd26ee8a4ef4c08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pPr>
      <w:r>
        <w:rPr>
          <w:rFonts w:ascii="Times New Roman;serif" w:hAnsi="Times New Roman;serif"/>
          <w:b/>
          <w:color w:val="000000"/>
          <w:sz w:val="20"/>
        </w:rPr>
        <w:t>VERICEL CORPORATION</w:t>
      </w: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amounts 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87"/>
        <w:gridCol w:w="647"/>
        <w:gridCol w:w="649"/>
        <w:gridCol w:w="323"/>
        <w:gridCol w:w="323"/>
        <w:gridCol w:w="196"/>
        <w:gridCol w:w="109"/>
        <w:gridCol w:w="109"/>
        <w:gridCol w:w="109"/>
        <w:gridCol w:w="196"/>
        <w:gridCol w:w="736"/>
        <w:gridCol w:w="109"/>
        <w:gridCol w:w="109"/>
        <w:gridCol w:w="109"/>
        <w:gridCol w:w="109"/>
        <w:gridCol w:w="109"/>
        <w:gridCol w:w="109"/>
        <w:gridCol w:w="528"/>
        <w:gridCol w:w="1178"/>
        <w:gridCol w:w="296"/>
        <w:gridCol w:w="109"/>
        <w:gridCol w:w="109"/>
        <w:gridCol w:w="109"/>
        <w:gridCol w:w="222"/>
        <w:gridCol w:w="882"/>
        <w:gridCol w:w="123"/>
        <w:gridCol w:w="109"/>
        <w:gridCol w:w="109"/>
        <w:gridCol w:w="109"/>
        <w:gridCol w:w="265"/>
        <w:gridCol w:w="1000"/>
        <w:gridCol w:w="219"/>
      </w:tblGrid>
      <w:tr>
        <w:trPr/>
        <w:tc>
          <w:tcPr>
            <w:tcW w:w="78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50,620 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(376,297)</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354,640 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(6,302)</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(6,302)</w:t>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 exercises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under the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stock for restricted stock unit vesting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withheld for employee tax remittance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(4,521)</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investments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MARCH 31, 2026</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51,010 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(382,599)</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356,231 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2,206 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2,206 </w:t>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 exercises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under the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stock for restricted stock unit vesting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withheld for employee tax remittance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investments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JUNE 30, 2026</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51,171 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750,799 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(380,393)</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370,041 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08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08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08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08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08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08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08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49"/>
        <w:gridCol w:w="705"/>
        <w:gridCol w:w="707"/>
        <w:gridCol w:w="323"/>
        <w:gridCol w:w="323"/>
        <w:gridCol w:w="196"/>
        <w:gridCol w:w="109"/>
        <w:gridCol w:w="109"/>
        <w:gridCol w:w="109"/>
        <w:gridCol w:w="196"/>
        <w:gridCol w:w="736"/>
        <w:gridCol w:w="109"/>
        <w:gridCol w:w="109"/>
        <w:gridCol w:w="109"/>
        <w:gridCol w:w="109"/>
        <w:gridCol w:w="527"/>
        <w:gridCol w:w="1134"/>
        <w:gridCol w:w="294"/>
        <w:gridCol w:w="109"/>
        <w:gridCol w:w="109"/>
        <w:gridCol w:w="109"/>
        <w:gridCol w:w="227"/>
        <w:gridCol w:w="906"/>
        <w:gridCol w:w="126"/>
        <w:gridCol w:w="109"/>
        <w:gridCol w:w="109"/>
        <w:gridCol w:w="109"/>
        <w:gridCol w:w="275"/>
        <w:gridCol w:w="1039"/>
        <w:gridCol w:w="225"/>
      </w:tblGrid>
      <w:tr>
        <w:trPr/>
        <w:tc>
          <w:tcPr>
            <w:tcW w:w="84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49,628 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(392,815)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291,967 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(11,246)</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(11,246)</w:t>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 exercises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under the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stock for restricted stock unit vesting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withheld for employee tax remittance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(6,280)</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investments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MARCH 31,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50,252 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(404,061)</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295,487 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w:t>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 exercises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under the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stock for restricted stock unit vesting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withheld for employee tax remittance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investments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JUNE 30, 2025</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50,441 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711,240 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(404,614)</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306,809 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condensed consolidated financial statements are an integral part of these statements.</w:t>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2727dc015d44a9bbd26ee8a4ef4c08e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VERICEL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amounts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26"/>
        <w:gridCol w:w="2301"/>
        <w:gridCol w:w="2316"/>
        <w:gridCol w:w="109"/>
        <w:gridCol w:w="109"/>
        <w:gridCol w:w="109"/>
        <w:gridCol w:w="211"/>
        <w:gridCol w:w="826"/>
        <w:gridCol w:w="109"/>
        <w:gridCol w:w="109"/>
        <w:gridCol w:w="109"/>
        <w:gridCol w:w="109"/>
        <w:gridCol w:w="211"/>
        <w:gridCol w:w="795"/>
        <w:gridCol w:w="156"/>
      </w:tblGrid>
      <w:tr>
        <w:trPr/>
        <w:tc>
          <w:tcPr>
            <w:tcW w:w="2626"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2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premiums and discounts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excess and obsolete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 and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maturities of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Expenditures for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proceeds from common stock issuance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employees’ behalf for taxes related to vesting of restricted stock unit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80,532 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2727dc015d44a9bbd26ee8a4ef4c08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VERICEL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amounts in thousands)</w:t>
      </w:r>
    </w:p>
    <w:p>
      <w:pPr>
        <w:pStyle w:val="TextBody"/>
        <w:bidi w:val="0"/>
        <w:spacing w:before="0" w:after="0"/>
        <w:jc w:val="center"/>
        <w:rPr/>
      </w:pPr>
      <w:r>
        <w:rPr/>
      </w:r>
    </w:p>
    <w:p>
      <w:pPr>
        <w:pStyle w:val="TextBody"/>
        <w:bidi w:val="0"/>
        <w:spacing w:before="0" w:after="0"/>
        <w:jc w:val="center"/>
        <w:rPr/>
      </w:pPr>
      <w:r>
        <w:rPr/>
      </w:r>
    </w:p>
    <w:tbl>
      <w:tblPr>
        <w:tblW w:w="9141" w:type="dxa"/>
        <w:jc w:val="center"/>
        <w:tblInd w:w="0" w:type="dxa"/>
        <w:tblLayout w:type="fixed"/>
        <w:tblCellMar>
          <w:top w:w="28" w:type="dxa"/>
          <w:left w:w="28" w:type="dxa"/>
          <w:bottom w:w="28" w:type="dxa"/>
          <w:right w:w="28" w:type="dxa"/>
        </w:tblCellMar>
      </w:tblPr>
      <w:tblGrid>
        <w:gridCol w:w="2379"/>
        <w:gridCol w:w="2091"/>
        <w:gridCol w:w="2100"/>
        <w:gridCol w:w="109"/>
        <w:gridCol w:w="109"/>
        <w:gridCol w:w="109"/>
        <w:gridCol w:w="211"/>
        <w:gridCol w:w="616"/>
        <w:gridCol w:w="109"/>
        <w:gridCol w:w="109"/>
        <w:gridCol w:w="109"/>
        <w:gridCol w:w="109"/>
        <w:gridCol w:w="211"/>
        <w:gridCol w:w="616"/>
        <w:gridCol w:w="154"/>
      </w:tblGrid>
      <w:tr>
        <w:trPr/>
        <w:tc>
          <w:tcPr>
            <w:tcW w:w="2379"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and equipment included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held for employee tax remittance included in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condensed consolidated financial statements are an integral part of these statements.</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1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2727dc015d44a9bbd26ee8a4ef4c08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VERICEL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before="0" w:after="0"/>
        <w:jc w:val="left"/>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rPr>
        <w:t>Vericel Corporation, a Michigan corporation (together with its consolidated subsidiaries referred to herein as the Company, or Vericel), was incorporated in March 1989 and began employee-based operations in 1991. The Company is a fully-integrated, commercial-stage biopharmaceutical and medical technology company and a leading provider of advanced therapies for the sports medicine and severe burn care markets. Vericel currently markets three commercial-stage products in the U.S., MACI</w:t>
      </w:r>
      <w:r>
        <w:rPr>
          <w:rFonts w:ascii="Times New Roman;serif" w:hAnsi="Times New Roman;serif"/>
          <w:b w:val="false"/>
          <w:color w:val="000000"/>
          <w:sz w:val="13"/>
        </w:rPr>
        <w:t>®</w:t>
      </w:r>
      <w:r>
        <w:rPr>
          <w:rFonts w:ascii="Times New Roman;serif" w:hAnsi="Times New Roman;serif"/>
          <w:b w:val="false"/>
          <w:color w:val="000000"/>
          <w:sz w:val="20"/>
        </w:rPr>
        <w:t>, Epicel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NexoBrid</w:t>
      </w:r>
      <w:r>
        <w:rPr>
          <w:rFonts w:ascii="Times New Roman;serif" w:hAnsi="Times New Roman;serif"/>
          <w:b w:val="false"/>
          <w:color w:val="000000"/>
          <w:sz w:val="13"/>
        </w:rPr>
        <w:t>®</w:t>
      </w:r>
      <w:r>
        <w:rPr>
          <w:rFonts w:ascii="Times New Roman;serif" w:hAnsi="Times New Roman;serif"/>
          <w:b w:val="false"/>
          <w:color w:val="000000"/>
          <w:sz w:val="20"/>
        </w:rPr>
        <w:t>.</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rPr>
        <w:t>MACI (autologous cultured chondrocytes on porcine collagen membrane) is an autologous cellularized scaffold product indicated for the repair of symptomatic, single or multiple full-thickness cartilage defects of the knee with or without bone involvement in adults. Since MACI’s commercial launch, the product’s FDA-approved labeling has provided for a treating surgeon to use MACI to treat a patient through an open surgical procedure. In August 2024, the U.S. Food and Drug Administration (“FDA”) approved a supplemental Biologics License Application (“sBLA”) expanding the MACI indication to add instructions for the arthroscopic delivery of MACI to the product’s approved labeling. MACI Arthro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allows surgeons to evaluate and prepare the cartilage defect site as well as deliver the MACI implant through small incisions using custom-designed arthroscopic instruments developed by the Company (“MACI Arthro instruments”). MACI Arthro became commercially available in the U.S. during the third quarter of 2024, and the Company began selling MACI Arthro instruments at that time.</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Epicel (cultured epidermal autografts) is a permanent skin replacement Humanitarian Use Device (“HUD”) indicated for the treatment of adult and pediatric patients with deep-dermal or full-thickness burns comprising greater than or equal to 30 percent of a patient’s total body surface area (“TBSA”). The Company also holds an exclusive license from MediWound Ltd. (“MediWound”) for North American rights to NexoBrid (anacaulase-bcdb), a topically administered biological orphan product containing proteolytic enzymes, which is indicated for the removal of eschar in adult and pediatric patients with deep partial-thickness and/or full-thickness thermal burns.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is subject to risks common to companies in the life sciences industry including, but not limited to, development by the Company or its competitors of new technological innovations, dependence on key personnel, protection of proprietary technology, commercialization of existing and new products, and compliance with FDA regulations and approval requirements, as well as the ability to grow the Company’s business through appropriate commercial strategies.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i/>
          <w:color w:val="222222"/>
          <w:sz w:val="20"/>
        </w:rPr>
      </w:pPr>
      <w:r>
        <w:rPr>
          <w:rFonts w:ascii="Times New Roman;serif" w:hAnsi="Times New Roman;serif"/>
          <w:b/>
          <w:i/>
          <w:color w:val="222222"/>
          <w:sz w:val="20"/>
        </w:rPr>
        <w:t>Liquidity</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222222"/>
          <w:sz w:val="20"/>
        </w:rPr>
        <w:t>The accompanying condensed consolidated financial statements have been prepared on a basis which assumes that the Company will continue as a going concern and contemplates the realization of assets and the satisfaction of liabilities and commitments in the normal course of business. As of June 30, 2026, the Company had an accumulated deficit of $380.4 million and had a net loss of $4.1 million during the six months ended June 30, 2026. The Company had cash and cash equivalents of $125.4 million and investments of $102.1 million as of June 30, 2026. The Company expects that cash from the sales of its products and existing cash, cash equivalents, investments, and available borrowing capacity will be sufficient</w:t>
      </w:r>
      <w:r>
        <w:rPr>
          <w:color w:val="000000"/>
        </w:rPr>
        <w:t xml:space="preserve"> </w:t>
      </w:r>
      <w:r>
        <w:rPr>
          <w:rFonts w:ascii="Times New Roman;serif" w:hAnsi="Times New Roman;serif"/>
          <w:b w:val="false"/>
          <w:color w:val="000000"/>
          <w:sz w:val="20"/>
        </w:rPr>
        <w:t>to support the Company’s current operations through at least 12 months from the issuance of these condensed consolidated financial statements. If revenues decline for a sustained period, the Company may need to access additional capital; however, the Company may not be able to obtain additional financing on acceptable terms or at all. The terms of any additional financing may adversely affect the holdings or the rights of the Company’s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Basis of Presentation</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of Vericel are unaudited and have been prepared in accordance with the rules and regulations of the U.S. Securities and Exchange Commission (“SEC”). The preparation of condensed consolidated financial statements in conformity with U.S. generally accepted accounting principles (“U.S. GAAP”) requires management to make estimates, judgments, and assumptions that may affect the reported amounts of assets, liabilities, equity, revenue and expenses. Certain information and footnote disclosures normally included in financial statements prepared in accordance with U.S. GAAP have been omitted pursuant to such rules and regulations.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financial statements reflect, in the opinion of management, all adjustments (consisting only of normal, recurring adjustments) necessary to state fairly the financial position and results of operations as of and for the periods indicated. The Company bases its estimates on historical experience and on various other assumptions that it believes are reasonable, the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2727dc015d44a9bbd26ee8a4ef4c08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of which form the basis for making judgments about the carrying values of assets, liabilities and equity and the amount of revenue and expenses.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balance sheet as of December 31, 2025 has been derived from the audited consolidated financial statements at that date, but does not include all the information and notes required by U.S. GAAP for complete financial statements. These condensed consolidated financial statements should be read in conjunction with the audited consolidated financial statements and the notes thereto included in the Company’s Annual Report on Form 10-K for the year ended December 31, 2025, as filed with the SEC on February 26, 2026 (“Annual Report”).</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rPr>
        <w:t xml:space="preserve">No new accounting standards were adopted during the six months ended June 30, 2026. </w:t>
      </w:r>
      <w:r>
        <w:rPr>
          <w:rFonts w:ascii="Times New Roman;serif" w:hAnsi="Times New Roman;serif"/>
          <w:b w:val="false"/>
          <w:color w:val="222222"/>
          <w:sz w:val="20"/>
        </w:rPr>
        <w:t>The Company considers the applicability and impact of any recent Accounting Standards Updates (“ASUs”) issued by the Financial Accounting Standards Board (“FASB”), as noted below:</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xml:space="preserve">, and in January 2025, the FASB issued ASU 2025-01, </w:t>
      </w:r>
      <w:r>
        <w:rPr>
          <w:rFonts w:ascii="Times New Roman;serif" w:hAnsi="Times New Roman;serif"/>
          <w:b w:val="false"/>
          <w:i/>
          <w:color w:val="000000"/>
          <w:sz w:val="20"/>
        </w:rPr>
        <w:t>Clarifying the Effective Date</w:t>
      </w:r>
      <w:r>
        <w:rPr>
          <w:rFonts w:ascii="Times New Roman;serif" w:hAnsi="Times New Roman;serif"/>
          <w:b w:val="false"/>
          <w:color w:val="000000"/>
          <w:sz w:val="20"/>
        </w:rPr>
        <w:t>. These updates require new disclosures to disaggregate prescribed natural expenses underlying any income statement caption. This standard is effective for annual periods in fiscal years beginning after December 15, 2026, and interim periods within those annual periods beginning after December 15, 2027, with early adoption permitted, and will be applied on a prospective basis. The Company is currently evaluating the impact of this guidance on the consolidated financial statements and disclosures.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rPr>
        <w:t xml:space="preserve">In July 2025, the FASB issued ASU No. 2025-05, </w:t>
      </w:r>
      <w:r>
        <w:rPr>
          <w:rFonts w:ascii="Times New Roman;serif" w:hAnsi="Times New Roman;serif"/>
          <w:b w:val="false"/>
          <w:i/>
          <w:color w:val="000000"/>
          <w:sz w:val="20"/>
        </w:rPr>
        <w:t>Financial Instruments - Credit Losses (Topic 326): Measurement of Credit Losses for Accounts Receivable and Contract Assets.</w:t>
      </w:r>
      <w:r>
        <w:rPr>
          <w:color w:val="000000"/>
        </w:rPr>
        <w:t xml:space="preserve"> </w:t>
      </w:r>
      <w:r>
        <w:rPr>
          <w:rFonts w:ascii="Times New Roman;serif" w:hAnsi="Times New Roman;serif"/>
          <w:b w:val="false"/>
          <w:color w:val="000000"/>
          <w:sz w:val="20"/>
        </w:rPr>
        <w:t>This update introduces a practical expedient for all entities when estimating expected credit losses on current accounts receivable and current contract assets arising from revenue transactions accounted for under Topic 606. The expedient allows entities to assume current conditions as of the balance sheet date remain unchanged over the remaining life of the asset. This amendment is effective for annual periods in fiscal years beginning after December 15, 2025, and interim periods within those annual reporting periods, with early adoption permitted, and will be applied on a prospective basis. The Company is currently evaluating the impact of this guidance on the consolidated financial statements and disclosures.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Intangibles-Goodwill and Other-Internal-Use Software (Subtopic 350-40): Targeted Improvements to the Accounting for Internal-Use Software</w:t>
      </w:r>
      <w:r>
        <w:rPr>
          <w:rFonts w:ascii="Times New Roman;serif" w:hAnsi="Times New Roman;serif"/>
          <w:b w:val="false"/>
          <w:color w:val="000000"/>
          <w:sz w:val="20"/>
        </w:rPr>
        <w:t>. The standard removes all references to software development stages. It also requires that an entity capitalizes software when both: (1) management has authorized and committed funding to the project and (2) it is probable that the project will be completed and the software is used to perform the intended function. This ASU may be adopted prospectively, retrospectively, or on a modified transition approach based on the status of the project and whether software costs were capitalized before the date of adoption. It is effective for annual periods beginning after December 15, 2027 and interim periods within fiscal years beginning after December 15, 2027 with early adoption permitted. The Company is currently evaluating the impact of this guidance on the consolidated financial statements and disclosures.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rPr>
        <w:t xml:space="preserve">In December 2025, the FASB issued ASU No. 2025-10, </w:t>
      </w:r>
      <w:r>
        <w:rPr>
          <w:rFonts w:ascii="Times New Roman;serif" w:hAnsi="Times New Roman;serif"/>
          <w:b w:val="false"/>
          <w:i/>
          <w:color w:val="000000"/>
          <w:sz w:val="20"/>
        </w:rPr>
        <w:t>Government Grants (Topic 832): Accounting for Government Grants Received by Business Entities</w:t>
      </w:r>
      <w:r>
        <w:rPr>
          <w:rFonts w:ascii="Times New Roman;serif" w:hAnsi="Times New Roman;serif"/>
          <w:b w:val="false"/>
          <w:color w:val="000000"/>
          <w:sz w:val="20"/>
        </w:rPr>
        <w:t>. The standard establishes authoritative guidance in U.S. GAAP about accounting for government grants received by business entities and clarifies the appropriate accounting in an effort to reduce diversity in practice, and increase consistency of application across business entities. It is effective for annual reporting periods beginning after December 15, 2028, and interim periods thereafter, with early adoption permitted, and may be applied prospectively, retrospectively, or with a modified retrospective approach. The Company is currently evaluating the impact of this guidance on the consolidated financial statements and disclosures.</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2727dc015d44a9bbd26ee8a4ef4c08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Revenue Recognition and Product Sales, Net </w:t>
      </w:r>
    </w:p>
    <w:p>
      <w:pPr>
        <w:pStyle w:val="TextBody"/>
        <w:bidi w:val="0"/>
        <w:spacing w:before="0" w:after="0"/>
        <w:ind w:left="0" w:right="0" w:hanging="90"/>
        <w:jc w:val="left"/>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rPr>
        <w:t xml:space="preserve">The Company recognizes product revenue from sales of MACI biopsy kits, MACI implants, MACI Arthro instruments, Epicel grafts, and NexoBrid following the five-step model in Accounting Standards Codification (“ASC”) 606, </w:t>
      </w:r>
      <w:r>
        <w:rPr>
          <w:rFonts w:ascii="Times New Roman;serif" w:hAnsi="Times New Roman;serif"/>
          <w:b w:val="false"/>
          <w:i/>
          <w:color w:val="000000"/>
          <w:sz w:val="20"/>
        </w:rPr>
        <w:t>Revenue Recognition.</w:t>
      </w:r>
    </w:p>
    <w:p>
      <w:pPr>
        <w:pStyle w:val="TextBody"/>
        <w:bidi w:val="0"/>
        <w:spacing w:before="0" w:after="0"/>
        <w:ind w:left="0" w:right="0" w:hanging="9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MACI Biopsy Kits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MACI biopsy kits are sold directly to hospitals and ambulatory surgical centers based on contracted rates set forth in an approved contract or sales order. The Company recognizes MACI kit revenue upon delivery of the biopsy kit, at which time the customer (the facility) is in control of the kit. The kit is used by the treating surgeon to provide a sample of cartilage tissue to the Company, which can later be used to manufacture a MACI implant. The ordering of the kit does not obligate the Company to manufacture an implant nor does the receipt of the cartilage tissue by the Company from the customer following biopsy. The customer’s order of an implant is separate from the process of ordering the biopsy kit. Therefore, the sale of the biopsy kit and any subsequent sale of an implant are distinct contracts and are accounted for separately.</w:t>
      </w:r>
    </w:p>
    <w:p>
      <w:pPr>
        <w:pStyle w:val="TextBody"/>
        <w:bidi w:val="0"/>
        <w:spacing w:before="0" w:after="0"/>
        <w:ind w:left="0" w:right="0" w:firstLine="27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MACI Arthro Instruments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rPr>
        <w:t>MACI Arthro instruments are sold directly to hospitals and ambulatory surgical centers based upon rates set forth in price lists. The Company recognizes revenue from the sale of MACI Arthro instruments upon delivery of the instruments, at which time the customer (the facility) is in control of the instruments. MACI Arthro instruments can be used by an orthopedic surgeon</w:t>
      </w:r>
      <w:r>
        <w:rPr>
          <w:color w:val="000000"/>
        </w:rPr>
        <w:t xml:space="preserve"> </w:t>
      </w:r>
      <w:r>
        <w:rPr>
          <w:rFonts w:ascii="Times New Roman;serif" w:hAnsi="Times New Roman;serif"/>
          <w:b w:val="false"/>
          <w:color w:val="000000"/>
          <w:sz w:val="20"/>
        </w:rPr>
        <w:t>to deliver MACI to a treated patient using an arthroscopic approach. The customer’s order of a MACI implant is separate from the process of ordering the MACI Arthro instruments. Therefore, the sale of the MACI Arthro instruments and any sale of an implant are distinct and are accounted for separately.</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MACI Implants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contracts with two specialty pharmacies, Orsini Pharmaceutical Services, Inc. (“Orsini”) and AllCare Plus Pharmacy, Inc. (“AllCare”) to distribute MACI in a manner in which the Company retains the credit and collection risk from the end customer. The Company pays each specialty pharmacy a fee in each instance when it dispenses MACI for use in treating a patient. Both Orsini and AllCare perform collection activities to collect payment from customers. In addition, the Company sells MACI directly to hospitals pursuant to an agreed upon purchase order and to a distributor, DMS Pharmaceutical Group, Inc. (“DMS”) at a contracted rate for the treatment of patients at military facilities throughout the U.S. The Company engages a third party to provide services in connection with a patient support program to manage patient cases and to ensure that complete and correct billing information is provided to the insurers and hospitals.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Prior authorization and confirmation of coverage level by the patient’s private insurance plan, hospital or government payer is a prerequisite to the shipment of a MACI implant to a patient. The Company recognizes product revenue from sales of all MACI implants upon delivery at which time the customer obtains control of the implant and the claim is billable. The total consideration that the Company expects to collect in exchange for MACI implants (the “Transaction Price”) may be fixed or variable. Direct sales to hospitals or distributors are recorded at a contracted price, and there are typically no forms of variable consideration related to warranties to customers.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rPr>
        <w:t xml:space="preserve">When the Company sells MACI through its specialty pharmacies, the Company is typically reimbursed by a third-party insurer or government payer, subject to a patient co-pay amount. Reimbursements from third-party insurers and government payers vary by patient and payer and are based on either contracted rates, publicly available rates, fee schedules or past payer precedents. Net product revenue is recognized net of estimated contractual allowances, which considers historical collection experience from both the payer and patient, denial rates and the terms of the Company’s contractual arrangements. The Company estimates expected collections for these transactions using the portfolio approach. The Company records a reduction to revenue at the time of sale for its estimate of the amount of consideration that will not be collected. In addition, potential credit risk exposure has been evaluated for the Company’s accounts receivable in accordance with </w:t>
      </w:r>
      <w:r>
        <w:rPr>
          <w:rFonts w:ascii="Times New Roman;serif" w:hAnsi="Times New Roman;serif"/>
          <w:b w:val="false"/>
          <w:i/>
          <w:color w:val="000000"/>
          <w:sz w:val="20"/>
        </w:rPr>
        <w:t>ASC 326, Financial Instruments - Credit Losses</w:t>
      </w:r>
      <w:r>
        <w:rPr>
          <w:rFonts w:ascii="Times New Roman;serif" w:hAnsi="Times New Roman;serif"/>
          <w:b w:val="false"/>
          <w:color w:val="000000"/>
          <w:sz w:val="20"/>
        </w:rPr>
        <w:t xml:space="preserve">. The Company assesses risk and determines a loss percentage by pooling accounts receivable based on similar risk characteristics. The loss percentage is calculated through the use of forecasts that are based on current and historical economic and financial information. This loss percentage was applied to the accounts receivable as of June 30, 2026. The total allowance for uncollectible consideration as of June 30, 2026 and December 31, 2025 was $9.8 million and $8.4 million, respectively. Changes to the estimate of the amount of consideration that will not be collected could have a material impact on the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2727dc015d44a9bbd26ee8a4ef4c08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recognized. A 50 basis points change to the estimated uncollectible percentage could result in an approximately $0.6 million decrease or increase in the revenue recognized for the six months ended June 30, 2026.</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Changes in estimates of the Transaction Price are recorded through revenue in the period in which such change occurs. Changes in estimates related to prior periods are shown in the Revenue by Product and Customer table below and relate primarily to changes in the initial expected reimbursement or collection expectation upon completion of the billing claims process for MACI implants that occurred in a prior period.</w:t>
      </w:r>
    </w:p>
    <w:p>
      <w:pPr>
        <w:pStyle w:val="TextBody"/>
        <w:bidi w:val="0"/>
        <w:spacing w:before="0" w:after="0"/>
        <w:ind w:left="0" w:right="0" w:firstLine="27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Epicel</w:t>
      </w:r>
    </w:p>
    <w:p>
      <w:pPr>
        <w:pStyle w:val="TextBody"/>
        <w:bidi w:val="0"/>
        <w:spacing w:before="0" w:after="0"/>
        <w:ind w:left="0" w:right="0" w:firstLine="27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sells Epicel directly to hospitals and burn centers based on contracted rates stated in an approved contract or purchase order. In some cases, volume-based rebates are offered. Similar to MACI, there is no obligation to manufacture Epicel grafts upon receipt of a skin biopsy. The Company recognizes product revenue from sales of Epicel upon delivery to the hospital, at which time the customer is in control of the Epicel grafts and the claim is billable to the hospital.</w:t>
      </w:r>
    </w:p>
    <w:p>
      <w:pPr>
        <w:pStyle w:val="TextBody"/>
        <w:bidi w:val="0"/>
        <w:spacing w:before="0" w:after="0"/>
        <w:ind w:left="0" w:right="0" w:firstLine="27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NexoBrid</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exclusive license and supply agreements with MediWound in May 2019, pursuant to which MediWound will manufacture and supply NexoBrid on a unit price basis, which may be increased pursuant to the terms of the agreements.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December 2022, the FDA approved a BLA for NexoBrid, granting a license for its commercial use in the U.S. NexoBrid is a topically-administered biological orphan product containing proteolytic enzymes. Through the 2022 BLA, NexoBrid was originally indicated for the removal of eschar in adults with deep partial-thickness and/or full-thickness thermal burns. In August 2024, the FDA authorized the expansion of the product’s indication to include pediatric patients.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sells NexoBrid to specialty distributors. These customers subsequently resell NexoBrid to hospitals and burn centers. Product revenue is recorded net of reserves for specialty distributor fees, prompt payment or other discounts and allowances for returns, as applicable. The Company recognizes product revenue from sales of NexoBrid when the specialty distributors take control of the product, which typically occurs upon its delivery to the specialty distributors.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2727dc015d44a9bbd26ee8a4ef4c08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 by Product and Customer</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and descriptions below show the products from which the Company generated its revenue for the periods indicated:</w:t>
      </w:r>
    </w:p>
    <w:tbl>
      <w:tblPr>
        <w:tblW w:w="10205" w:type="dxa"/>
        <w:jc w:val="left"/>
        <w:tblInd w:w="0" w:type="dxa"/>
        <w:tblLayout w:type="fixed"/>
        <w:tblCellMar>
          <w:top w:w="28" w:type="dxa"/>
          <w:left w:w="28" w:type="dxa"/>
          <w:bottom w:w="28" w:type="dxa"/>
          <w:right w:w="28" w:type="dxa"/>
        </w:tblCellMar>
      </w:tblPr>
      <w:tblGrid>
        <w:gridCol w:w="1504"/>
        <w:gridCol w:w="972"/>
        <w:gridCol w:w="976"/>
        <w:gridCol w:w="128"/>
        <w:gridCol w:w="128"/>
        <w:gridCol w:w="128"/>
        <w:gridCol w:w="248"/>
        <w:gridCol w:w="850"/>
        <w:gridCol w:w="128"/>
        <w:gridCol w:w="128"/>
        <w:gridCol w:w="128"/>
        <w:gridCol w:w="128"/>
        <w:gridCol w:w="248"/>
        <w:gridCol w:w="850"/>
        <w:gridCol w:w="128"/>
        <w:gridCol w:w="128"/>
        <w:gridCol w:w="128"/>
        <w:gridCol w:w="128"/>
        <w:gridCol w:w="248"/>
        <w:gridCol w:w="974"/>
        <w:gridCol w:w="128"/>
        <w:gridCol w:w="128"/>
        <w:gridCol w:w="128"/>
        <w:gridCol w:w="128"/>
        <w:gridCol w:w="248"/>
        <w:gridCol w:w="974"/>
        <w:gridCol w:w="193"/>
      </w:tblGrid>
      <w:tr>
        <w:trPr/>
        <w:tc>
          <w:tcPr>
            <w:tcW w:w="150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4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Revenue by product (in thousands) </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MACI implants, kits, and instruments</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Implants based on contracted rate sold through a specialty pharmacy</w:t>
            </w:r>
            <w:r>
              <w:rPr>
                <w:color w:val="000000"/>
              </w:rPr>
              <w:t xml:space="preserve"> </w:t>
            </w:r>
            <w:r>
              <w:rPr>
                <w:rFonts w:ascii="Times New Roman;serif" w:hAnsi="Times New Roman;serif"/>
                <w:b w:val="false"/>
                <w:color w:val="000000"/>
                <w:sz w:val="13"/>
              </w:rPr>
              <w:t>(a)</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49,892 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91,694 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71,471 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Implants subject to third party reimbursement sold through a specialty pharmacy </w:t>
            </w:r>
            <w:r>
              <w:rPr>
                <w:rFonts w:ascii="Times New Roman;serif" w:hAnsi="Times New Roman;serif"/>
                <w:b w:val="false"/>
                <w:color w:val="000000"/>
                <w:sz w:val="13"/>
              </w:rPr>
              <w:t>(b)</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Implants sold direct based on contracted rates</w:t>
            </w:r>
            <w:r>
              <w:rPr>
                <w:color w:val="000000"/>
              </w:rPr>
              <w:t xml:space="preserve"> </w:t>
            </w:r>
            <w:r>
              <w:rPr>
                <w:rFonts w:ascii="Times New Roman;serif" w:hAnsi="Times New Roman;serif"/>
                <w:b w:val="false"/>
                <w:color w:val="000000"/>
                <w:sz w:val="13"/>
              </w:rPr>
              <w:t>(c)</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Implants sold direct subject to third-party reimbursement </w:t>
            </w:r>
            <w:r>
              <w:rPr>
                <w:rFonts w:ascii="Times New Roman;serif" w:hAnsi="Times New Roman;serif"/>
                <w:b w:val="false"/>
                <w:color w:val="000000"/>
                <w:sz w:val="13"/>
              </w:rPr>
              <w:t>(d)</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Biopsy kits and instruments - direct bill</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Change in estimates related to prior periods </w:t>
            </w:r>
            <w:r>
              <w:rPr>
                <w:rFonts w:ascii="Times New Roman;serif" w:hAnsi="Times New Roman;serif"/>
                <w:b w:val="false"/>
                <w:color w:val="000000"/>
                <w:sz w:val="13"/>
              </w:rPr>
              <w:t>(e)</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Total MACI implants, kits, and instruments</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65,506 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121,904 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99,755 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Epicel</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bill (hospital)</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NexoBrid</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77,457 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63,240 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145,882 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115,838 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(a) Represents implants sold through Orsini and AllCare whereby such specialty pharmacies have a direct contract with the underlying insurance provider. The amount of reimbursement is based on contracted rates at the time of sale supported by the pharmacy’s direct contracts. </w:t>
            </w:r>
          </w:p>
        </w:tc>
      </w:tr>
      <w:tr>
        <w:trPr/>
        <w:tc>
          <w:tcPr>
            <w:tcW w:w="3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(b) Represents implants sold through Orsini and AllCare whereby such specialty pharmacy does not have a direct contract with the underlying payer and is subject to third-party reimbursement. The amount of reimbursement is established based on publicly available rates, fee schedules or past payer precedents.</w:t>
            </w:r>
          </w:p>
        </w:tc>
      </w:tr>
      <w:tr>
        <w:trPr/>
        <w:tc>
          <w:tcPr>
            <w:tcW w:w="3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(c) Represents implants sold directly from the Company to the facility based on a contract and known price agreed upon prior to the surgery date. Also represents direct sales under a contract to specialty distributor DMS.</w:t>
            </w:r>
          </w:p>
        </w:tc>
      </w:tr>
      <w:tr>
        <w:trPr/>
        <w:tc>
          <w:tcPr>
            <w:tcW w:w="3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(d) Represents implants sold directly from the Company to the facility based on a contract and known price agreed upon prior to the surgery date. The payment terms are subject to third-party reimbursement from an underlying insurance provider.</w:t>
            </w:r>
          </w:p>
        </w:tc>
      </w:tr>
      <w:tr>
        <w:trPr/>
        <w:tc>
          <w:tcPr>
            <w:tcW w:w="3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(e) Primarily represents changes in estimates related to implants sold through Orsini or AllCare and relate to changes to the initial expected reimbursement or collection expectations upon completion of the billing claims process. The change in estimates is a result of additional information, changes in collection expectations or actual cash collections received in the current period.</w:t>
            </w:r>
          </w:p>
        </w:tc>
      </w:tr>
      <w:tr>
        <w:trPr/>
        <w:tc>
          <w:tcPr>
            <w:tcW w:w="345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3452" w:type="dxa"/>
            <w:gridSpan w:val="3"/>
            <w:tcBorders/>
            <w:vAlign w:val="center"/>
          </w:tcPr>
          <w:p>
            <w:pPr>
              <w:pStyle w:val="TableContents"/>
              <w:bidi w:val="0"/>
              <w:spacing w:before="0" w:after="283"/>
              <w:jc w:val="left"/>
              <w:rPr>
                <w:sz w:val="4"/>
                <w:szCs w:val="4"/>
              </w:rPr>
            </w:pPr>
            <w:r>
              <w:rPr>
                <w:sz w:val="4"/>
                <w:szCs w:val="4"/>
              </w:rPr>
            </w:r>
          </w:p>
        </w:tc>
        <w:tc>
          <w:tcPr>
            <w:tcW w:w="6753" w:type="dxa"/>
            <w:gridSpan w:val="24"/>
            <w:tcBorders/>
          </w:tcPr>
          <w:p>
            <w:pPr>
              <w:pStyle w:val="TableContents"/>
              <w:bidi w:val="0"/>
              <w:spacing w:before="0" w:after="283"/>
              <w:jc w:val="left"/>
              <w:rPr>
                <w:sz w:val="4"/>
                <w:szCs w:val="4"/>
              </w:rPr>
            </w:pPr>
            <w:r>
              <w:rPr>
                <w:sz w:val="4"/>
                <w:szCs w:val="4"/>
              </w:rPr>
            </w:r>
          </w:p>
        </w:tc>
      </w:tr>
      <w:tr>
        <w:trPr/>
        <w:tc>
          <w:tcPr>
            <w:tcW w:w="345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3452" w:type="dxa"/>
            <w:gridSpan w:val="3"/>
            <w:tcBorders/>
            <w:vAlign w:val="center"/>
          </w:tcPr>
          <w:p>
            <w:pPr>
              <w:pStyle w:val="TableContents"/>
              <w:bidi w:val="0"/>
              <w:spacing w:before="0" w:after="283"/>
              <w:jc w:val="left"/>
              <w:rPr>
                <w:sz w:val="4"/>
                <w:szCs w:val="4"/>
              </w:rPr>
            </w:pPr>
            <w:r>
              <w:rPr>
                <w:sz w:val="4"/>
                <w:szCs w:val="4"/>
              </w:rPr>
            </w:r>
          </w:p>
        </w:tc>
        <w:tc>
          <w:tcPr>
            <w:tcW w:w="6753" w:type="dxa"/>
            <w:gridSpan w:val="24"/>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Selected Balance Sheet Components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i/>
          <w:color w:val="000000"/>
          <w:sz w:val="20"/>
        </w:rPr>
      </w:pPr>
      <w:r>
        <w:rPr>
          <w:rFonts w:ascii="Times New Roman;serif" w:hAnsi="Times New Roman;serif"/>
          <w:b w:val="false"/>
          <w:i/>
          <w:color w:val="000000"/>
          <w:sz w:val="20"/>
        </w:rPr>
        <w:t>Inventory</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Inventory consisted of the following:</w:t>
      </w:r>
    </w:p>
    <w:tbl>
      <w:tblPr>
        <w:tblW w:w="4779" w:type="dxa"/>
        <w:jc w:val="left"/>
        <w:tblInd w:w="0" w:type="dxa"/>
        <w:tblLayout w:type="fixed"/>
        <w:tblCellMar>
          <w:top w:w="28" w:type="dxa"/>
          <w:left w:w="28" w:type="dxa"/>
          <w:bottom w:w="28" w:type="dxa"/>
          <w:right w:w="28" w:type="dxa"/>
        </w:tblCellMar>
      </w:tblPr>
      <w:tblGrid>
        <w:gridCol w:w="527"/>
        <w:gridCol w:w="463"/>
        <w:gridCol w:w="466"/>
        <w:gridCol w:w="109"/>
        <w:gridCol w:w="109"/>
        <w:gridCol w:w="109"/>
        <w:gridCol w:w="228"/>
        <w:gridCol w:w="779"/>
        <w:gridCol w:w="117"/>
        <w:gridCol w:w="109"/>
        <w:gridCol w:w="109"/>
        <w:gridCol w:w="109"/>
        <w:gridCol w:w="300"/>
        <w:gridCol w:w="1026"/>
        <w:gridCol w:w="219"/>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18,382 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17,560 </w:t>
            </w:r>
          </w:p>
        </w:tc>
        <w:tc>
          <w:tcPr>
            <w:tcW w:w="2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2727dc015d44a9bbd26ee8a4ef4c08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Property and Equipment</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p>
      <w:pPr>
        <w:pStyle w:val="TextBody"/>
        <w:bidi w:val="0"/>
        <w:spacing w:before="0" w:after="0"/>
        <w:jc w:val="both"/>
        <w:rPr/>
      </w:pPr>
      <w:r>
        <w:rPr/>
      </w:r>
    </w:p>
    <w:tbl>
      <w:tblPr>
        <w:tblW w:w="6688" w:type="dxa"/>
        <w:jc w:val="left"/>
        <w:tblInd w:w="0" w:type="dxa"/>
        <w:tblLayout w:type="fixed"/>
        <w:tblCellMar>
          <w:top w:w="28" w:type="dxa"/>
          <w:left w:w="28" w:type="dxa"/>
          <w:bottom w:w="28" w:type="dxa"/>
          <w:right w:w="28" w:type="dxa"/>
        </w:tblCellMar>
      </w:tblPr>
      <w:tblGrid>
        <w:gridCol w:w="1211"/>
        <w:gridCol w:w="1065"/>
        <w:gridCol w:w="1068"/>
        <w:gridCol w:w="109"/>
        <w:gridCol w:w="109"/>
        <w:gridCol w:w="109"/>
        <w:gridCol w:w="211"/>
        <w:gridCol w:w="826"/>
        <w:gridCol w:w="109"/>
        <w:gridCol w:w="109"/>
        <w:gridCol w:w="109"/>
        <w:gridCol w:w="109"/>
        <w:gridCol w:w="273"/>
        <w:gridCol w:w="1072"/>
        <w:gridCol w:w="199"/>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office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76,421 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process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139,947 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108,397 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rPr>
        <w:t xml:space="preserve">Depreciation expense for the three and six months ended June 30, 2026 was </w:t>
      </w:r>
      <w:r>
        <w:rPr>
          <w:rFonts w:ascii="Times New Roman;serif" w:hAnsi="Times New Roman;serif"/>
          <w:b w:val="false"/>
          <w:color w:val="222222"/>
          <w:sz w:val="20"/>
        </w:rPr>
        <w:t>$3.5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222222"/>
          <w:sz w:val="20"/>
        </w:rPr>
        <w:t>$6.6 million</w:t>
      </w:r>
      <w:r>
        <w:rPr>
          <w:rFonts w:ascii="Times New Roman;serif" w:hAnsi="Times New Roman;serif"/>
          <w:b w:val="false"/>
          <w:color w:val="000000"/>
          <w:sz w:val="20"/>
        </w:rPr>
        <w:t xml:space="preserve">, respectively, and </w:t>
      </w:r>
      <w:r>
        <w:rPr>
          <w:rFonts w:ascii="Times New Roman;serif" w:hAnsi="Times New Roman;serif"/>
          <w:b w:val="false"/>
          <w:color w:val="222222"/>
          <w:sz w:val="20"/>
        </w:rPr>
        <w:t>$2.7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222222"/>
          <w:sz w:val="20"/>
        </w:rPr>
        <w:t>$5.2 million</w:t>
      </w:r>
      <w:r>
        <w:rPr>
          <w:rFonts w:ascii="Times New Roman;serif" w:hAnsi="Times New Roman;serif"/>
          <w:b w:val="false"/>
          <w:color w:val="000000"/>
          <w:sz w:val="20"/>
        </w:rPr>
        <w:t>, respectively, for the same periods in 2025.</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Intangible Assets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net consisted of the following: </w:t>
      </w:r>
    </w:p>
    <w:p>
      <w:pPr>
        <w:pStyle w:val="TextBody"/>
        <w:bidi w:val="0"/>
        <w:spacing w:before="0" w:after="0"/>
        <w:jc w:val="both"/>
        <w:rPr/>
      </w:pPr>
      <w:r>
        <w:rPr/>
      </w:r>
    </w:p>
    <w:tbl>
      <w:tblPr>
        <w:tblW w:w="11345" w:type="dxa"/>
        <w:jc w:val="left"/>
        <w:tblInd w:w="0" w:type="dxa"/>
        <w:tblLayout w:type="fixed"/>
        <w:tblCellMar>
          <w:top w:w="28" w:type="dxa"/>
          <w:left w:w="28" w:type="dxa"/>
          <w:bottom w:w="28" w:type="dxa"/>
          <w:right w:w="28" w:type="dxa"/>
        </w:tblCellMar>
      </w:tblPr>
      <w:tblGrid>
        <w:gridCol w:w="397"/>
        <w:gridCol w:w="349"/>
        <w:gridCol w:w="350"/>
        <w:gridCol w:w="109"/>
        <w:gridCol w:w="109"/>
        <w:gridCol w:w="109"/>
        <w:gridCol w:w="185"/>
        <w:gridCol w:w="185"/>
        <w:gridCol w:w="186"/>
        <w:gridCol w:w="109"/>
        <w:gridCol w:w="109"/>
        <w:gridCol w:w="109"/>
        <w:gridCol w:w="405"/>
        <w:gridCol w:w="360"/>
        <w:gridCol w:w="361"/>
        <w:gridCol w:w="109"/>
        <w:gridCol w:w="109"/>
        <w:gridCol w:w="109"/>
        <w:gridCol w:w="211"/>
        <w:gridCol w:w="616"/>
        <w:gridCol w:w="109"/>
        <w:gridCol w:w="109"/>
        <w:gridCol w:w="109"/>
        <w:gridCol w:w="109"/>
        <w:gridCol w:w="239"/>
        <w:gridCol w:w="717"/>
        <w:gridCol w:w="125"/>
        <w:gridCol w:w="109"/>
        <w:gridCol w:w="109"/>
        <w:gridCol w:w="109"/>
        <w:gridCol w:w="211"/>
        <w:gridCol w:w="616"/>
        <w:gridCol w:w="109"/>
        <w:gridCol w:w="109"/>
        <w:gridCol w:w="109"/>
        <w:gridCol w:w="109"/>
        <w:gridCol w:w="211"/>
        <w:gridCol w:w="616"/>
        <w:gridCol w:w="109"/>
        <w:gridCol w:w="109"/>
        <w:gridCol w:w="109"/>
        <w:gridCol w:w="109"/>
        <w:gridCol w:w="239"/>
        <w:gridCol w:w="717"/>
        <w:gridCol w:w="125"/>
        <w:gridCol w:w="109"/>
        <w:gridCol w:w="109"/>
        <w:gridCol w:w="109"/>
        <w:gridCol w:w="211"/>
        <w:gridCol w:w="616"/>
        <w:gridCol w:w="154"/>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 Method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NexoBrid license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Straight-line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rPr>
        <w:t xml:space="preserve">Amortization expense for each of the three and six months ended June 30, 2026 and 2025 was </w:t>
      </w:r>
      <w:r>
        <w:rPr>
          <w:rFonts w:ascii="Times New Roman;serif" w:hAnsi="Times New Roman;serif"/>
          <w:b w:val="false"/>
          <w:color w:val="222222"/>
          <w:sz w:val="20"/>
        </w:rPr>
        <w:t>$0.2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222222"/>
          <w:sz w:val="20"/>
        </w:rPr>
        <w:t>$0.3 million</w:t>
      </w:r>
      <w:r>
        <w:rPr>
          <w:rFonts w:ascii="Times New Roman;serif" w:hAnsi="Times New Roman;serif"/>
          <w:b w:val="false"/>
          <w:color w:val="000000"/>
          <w:sz w:val="20"/>
        </w:rPr>
        <w:t>, respectively. The NexoBrid intangible asset is amortized to cost of product sales.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Future amortization expense of intangible assets as of June 30, 2026 is estimated to be as follows: </w:t>
      </w:r>
    </w:p>
    <w:p>
      <w:pPr>
        <w:pStyle w:val="TextBody"/>
        <w:bidi w:val="0"/>
        <w:spacing w:before="0" w:after="0"/>
        <w:ind w:left="0" w:right="0" w:firstLine="720"/>
        <w:jc w:val="left"/>
        <w:rPr/>
      </w:pPr>
      <w:r>
        <w:rPr/>
      </w:r>
    </w:p>
    <w:tbl>
      <w:tblPr>
        <w:tblW w:w="2988" w:type="dxa"/>
        <w:jc w:val="left"/>
        <w:tblInd w:w="0" w:type="dxa"/>
        <w:tblLayout w:type="fixed"/>
        <w:tblCellMar>
          <w:top w:w="28" w:type="dxa"/>
          <w:left w:w="28" w:type="dxa"/>
          <w:bottom w:w="28" w:type="dxa"/>
          <w:right w:w="28" w:type="dxa"/>
        </w:tblCellMar>
      </w:tblPr>
      <w:tblGrid>
        <w:gridCol w:w="607"/>
        <w:gridCol w:w="536"/>
        <w:gridCol w:w="537"/>
        <w:gridCol w:w="109"/>
        <w:gridCol w:w="109"/>
        <w:gridCol w:w="109"/>
        <w:gridCol w:w="211"/>
        <w:gridCol w:w="616"/>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Accrued Expenses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Accrued Expenses consisted of the following:</w:t>
      </w:r>
    </w:p>
    <w:tbl>
      <w:tblPr>
        <w:tblW w:w="6908" w:type="dxa"/>
        <w:jc w:val="left"/>
        <w:tblInd w:w="0" w:type="dxa"/>
        <w:tblLayout w:type="fixed"/>
        <w:tblCellMar>
          <w:top w:w="28" w:type="dxa"/>
          <w:left w:w="28" w:type="dxa"/>
          <w:bottom w:w="28" w:type="dxa"/>
          <w:right w:w="28" w:type="dxa"/>
        </w:tblCellMar>
      </w:tblPr>
      <w:tblGrid>
        <w:gridCol w:w="1297"/>
        <w:gridCol w:w="1140"/>
        <w:gridCol w:w="1148"/>
        <w:gridCol w:w="109"/>
        <w:gridCol w:w="109"/>
        <w:gridCol w:w="109"/>
        <w:gridCol w:w="228"/>
        <w:gridCol w:w="779"/>
        <w:gridCol w:w="117"/>
        <w:gridCol w:w="109"/>
        <w:gridCol w:w="109"/>
        <w:gridCol w:w="109"/>
        <w:gridCol w:w="300"/>
        <w:gridCol w:w="1026"/>
        <w:gridCol w:w="219"/>
      </w:tblGrid>
      <w:tr>
        <w:trPr/>
        <w:tc>
          <w:tcPr>
            <w:tcW w:w="129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Bonus-related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 accruals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reimbursement-related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19,236 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2727dc015d44a9bbd26ee8a4ef4c0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Leases</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leases facilities in Ann Arbor, Michigan, Cambridge, Massachusetts and Burlington, Massachusetts. The Ann Arbor facility includes office space, and the Cambridge facility includes clean rooms, laboratories for MACI and Epicel manufacturing and office space. The Company also leases certain equipment.</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January 28, 2022, the Company entered into a lease agreement (as amended, the “Burlington Lease”) to lease approximately 126,000 square feet of manufacturing, laboratory and office space in Burlington, Massachusetts. The Burlington facility is complete, and the Company is currently utilizing the facility’s office space. In March 2026, the Company received FDA approval to begin MACI commercial manufacturing at the Burlington facility, and a portion of the tenant improvements to the manufacturing suites and related equipment related to MACI manufacturing were placed in service following the FDA approval. The Company is currently transitioning the Burlington facility’s manufacturing component into the primary manufacturing facility for MACI, and has begun manufacturing a portion of MACI implants at that location. The Company intends that the Burlington facility’s manufacturing component will eventually also become the primary manufacturing facility for Epicel, upon FDA qualification for Epicel manufacturing.</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rPr>
        <w:t xml:space="preserve">For each of the three and six months ended June 30, 2026 and 2025, lease expense of less than </w:t>
      </w:r>
      <w:r>
        <w:rPr>
          <w:rFonts w:ascii="Times New Roman;serif" w:hAnsi="Times New Roman;serif"/>
          <w:b w:val="false"/>
          <w:color w:val="222222"/>
          <w:sz w:val="20"/>
        </w:rPr>
        <w:t xml:space="preserve">$0.1 million </w:t>
      </w:r>
      <w:r>
        <w:rPr>
          <w:rFonts w:ascii="Times New Roman;serif" w:hAnsi="Times New Roman;serif"/>
          <w:b w:val="false"/>
          <w:color w:val="000000"/>
          <w:sz w:val="20"/>
        </w:rPr>
        <w:t xml:space="preserve">and </w:t>
      </w:r>
      <w:r>
        <w:rPr>
          <w:rFonts w:ascii="Times New Roman;serif" w:hAnsi="Times New Roman;serif"/>
          <w:b w:val="false"/>
          <w:color w:val="222222"/>
          <w:sz w:val="20"/>
        </w:rPr>
        <w:t>$0.2 million</w:t>
      </w:r>
      <w:r>
        <w:rPr>
          <w:rFonts w:ascii="Times New Roman;serif" w:hAnsi="Times New Roman;serif"/>
          <w:b w:val="false"/>
          <w:color w:val="000000"/>
          <w:sz w:val="20"/>
        </w:rPr>
        <w:t>, respectively, was recorded related to short-term leases. For each of the three and six months ended June 30, 2026 and 2025, t</w:t>
      </w:r>
      <w:r>
        <w:rPr>
          <w:rFonts w:ascii="Times New Roman;serif" w:hAnsi="Times New Roman;serif"/>
          <w:b w:val="false"/>
          <w:color w:val="222222"/>
          <w:sz w:val="20"/>
        </w:rPr>
        <w:t xml:space="preserve">he Company recognized $3.0 million and $6.0 million of operating lease expense, respectively. For each of the </w:t>
      </w:r>
      <w:r>
        <w:rPr>
          <w:rFonts w:ascii="Times New Roman;serif" w:hAnsi="Times New Roman;serif"/>
          <w:b w:val="false"/>
          <w:color w:val="000000"/>
          <w:sz w:val="20"/>
        </w:rPr>
        <w:t xml:space="preserve">three and six months ended June 30, 2026 and 2025, </w:t>
      </w:r>
      <w:r>
        <w:rPr>
          <w:rFonts w:ascii="Times New Roman;serif" w:hAnsi="Times New Roman;serif"/>
          <w:b w:val="false"/>
          <w:color w:val="222222"/>
          <w:sz w:val="20"/>
        </w:rPr>
        <w:t xml:space="preserve">the Company recognized less than </w:t>
      </w:r>
      <w:r>
        <w:rPr>
          <w:rFonts w:ascii="Times New Roman;serif" w:hAnsi="Times New Roman;serif"/>
          <w:b w:val="false"/>
          <w:color w:val="000000"/>
          <w:sz w:val="20"/>
        </w:rPr>
        <w:t>$0.1 million</w:t>
      </w:r>
      <w:r>
        <w:rPr>
          <w:color w:val="222222"/>
        </w:rPr>
        <w:t xml:space="preserve"> </w:t>
      </w:r>
      <w:r>
        <w:rPr>
          <w:rFonts w:ascii="Times New Roman;serif" w:hAnsi="Times New Roman;serif"/>
          <w:b w:val="false"/>
          <w:color w:val="222222"/>
          <w:sz w:val="20"/>
        </w:rPr>
        <w:t>of financing lease expense</w:t>
      </w:r>
      <w:r>
        <w:rPr>
          <w:rFonts w:ascii="Times New Roman;serif" w:hAnsi="Times New Roman;serif"/>
          <w:b w:val="false"/>
          <w:color w:val="000000"/>
          <w:sz w:val="20"/>
        </w:rPr>
        <w:t>.</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Operating and finance lease assets and liabilities are as follows:</w:t>
      </w:r>
    </w:p>
    <w:p>
      <w:pPr>
        <w:pStyle w:val="TextBody"/>
        <w:bidi w:val="0"/>
        <w:spacing w:before="0" w:after="0"/>
        <w:ind w:left="0" w:right="0" w:firstLine="270"/>
        <w:jc w:val="both"/>
        <w:rPr/>
      </w:pPr>
      <w:r>
        <w:rPr/>
      </w:r>
    </w:p>
    <w:tbl>
      <w:tblPr>
        <w:tblW w:w="8696" w:type="dxa"/>
        <w:jc w:val="left"/>
        <w:tblInd w:w="0" w:type="dxa"/>
        <w:tblLayout w:type="fixed"/>
        <w:tblCellMar>
          <w:top w:w="28" w:type="dxa"/>
          <w:left w:w="28" w:type="dxa"/>
          <w:bottom w:w="28" w:type="dxa"/>
          <w:right w:w="28" w:type="dxa"/>
        </w:tblCellMar>
      </w:tblPr>
      <w:tblGrid>
        <w:gridCol w:w="417"/>
        <w:gridCol w:w="368"/>
        <w:gridCol w:w="369"/>
        <w:gridCol w:w="109"/>
        <w:gridCol w:w="109"/>
        <w:gridCol w:w="109"/>
        <w:gridCol w:w="1220"/>
        <w:gridCol w:w="1220"/>
        <w:gridCol w:w="1234"/>
        <w:gridCol w:w="109"/>
        <w:gridCol w:w="109"/>
        <w:gridCol w:w="109"/>
        <w:gridCol w:w="228"/>
        <w:gridCol w:w="779"/>
        <w:gridCol w:w="117"/>
        <w:gridCol w:w="109"/>
        <w:gridCol w:w="109"/>
        <w:gridCol w:w="109"/>
        <w:gridCol w:w="304"/>
        <w:gridCol w:w="1039"/>
        <w:gridCol w:w="157"/>
        <w:gridCol w:w="109"/>
        <w:gridCol w:w="154"/>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62,700 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65,460 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96,891 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2727dc015d44a9bbd26ee8a4ef4c08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Investments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rPr>
        <w:t xml:space="preserve">Marketable debt securities held by the Company are classified as available-for-sale pursuant to ASC 320, </w:t>
      </w:r>
      <w:r>
        <w:rPr>
          <w:rFonts w:ascii="Times New Roman;serif" w:hAnsi="Times New Roman;serif"/>
          <w:b w:val="false"/>
          <w:i/>
          <w:color w:val="000000"/>
          <w:sz w:val="20"/>
        </w:rPr>
        <w:t>Investments – Debt and Equity Securities</w:t>
      </w:r>
      <w:r>
        <w:rPr>
          <w:rFonts w:ascii="Times New Roman;serif" w:hAnsi="Times New Roman;serif"/>
          <w:b w:val="false"/>
          <w:color w:val="000000"/>
          <w:sz w:val="20"/>
        </w:rPr>
        <w:t>, and carried at fair value in the accompanying condensed consolidated balance sheets on a settlement date basis. The following tables summarize the gross unrealized gains and losses of the Company’s marketable securities:</w:t>
      </w:r>
    </w:p>
    <w:p>
      <w:pPr>
        <w:pStyle w:val="TextBody"/>
        <w:bidi w:val="0"/>
        <w:spacing w:before="0" w:after="0"/>
        <w:ind w:left="0" w:right="0" w:firstLine="270"/>
        <w:jc w:val="both"/>
        <w:rPr/>
      </w:pPr>
      <w:r>
        <w:rPr/>
      </w:r>
    </w:p>
    <w:tbl>
      <w:tblPr>
        <w:tblW w:w="9867" w:type="dxa"/>
        <w:jc w:val="right"/>
        <w:tblInd w:w="0" w:type="dxa"/>
        <w:tblLayout w:type="fixed"/>
        <w:tblCellMar>
          <w:top w:w="28" w:type="dxa"/>
          <w:left w:w="28" w:type="dxa"/>
          <w:bottom w:w="28" w:type="dxa"/>
          <w:right w:w="28" w:type="dxa"/>
        </w:tblCellMar>
      </w:tblPr>
      <w:tblGrid>
        <w:gridCol w:w="954"/>
        <w:gridCol w:w="842"/>
        <w:gridCol w:w="844"/>
        <w:gridCol w:w="109"/>
        <w:gridCol w:w="109"/>
        <w:gridCol w:w="109"/>
        <w:gridCol w:w="229"/>
        <w:gridCol w:w="898"/>
        <w:gridCol w:w="118"/>
        <w:gridCol w:w="109"/>
        <w:gridCol w:w="109"/>
        <w:gridCol w:w="109"/>
        <w:gridCol w:w="211"/>
        <w:gridCol w:w="406"/>
        <w:gridCol w:w="109"/>
        <w:gridCol w:w="109"/>
        <w:gridCol w:w="109"/>
        <w:gridCol w:w="109"/>
        <w:gridCol w:w="211"/>
        <w:gridCol w:w="541"/>
        <w:gridCol w:w="109"/>
        <w:gridCol w:w="109"/>
        <w:gridCol w:w="109"/>
        <w:gridCol w:w="109"/>
        <w:gridCol w:w="309"/>
        <w:gridCol w:w="596"/>
        <w:gridCol w:w="160"/>
        <w:gridCol w:w="109"/>
        <w:gridCol w:w="109"/>
        <w:gridCol w:w="109"/>
        <w:gridCol w:w="300"/>
        <w:gridCol w:w="1176"/>
        <w:gridCol w:w="219"/>
      </w:tblGrid>
      <w:tr>
        <w:trPr/>
        <w:tc>
          <w:tcPr>
            <w:tcW w:w="95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85,950 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102,438 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102,073 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Classified 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64,973 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2"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102,073 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tbl>
      <w:tblPr>
        <w:tblW w:w="9820" w:type="dxa"/>
        <w:jc w:val="right"/>
        <w:tblInd w:w="0" w:type="dxa"/>
        <w:tblLayout w:type="fixed"/>
        <w:tblCellMar>
          <w:top w:w="28" w:type="dxa"/>
          <w:left w:w="28" w:type="dxa"/>
          <w:bottom w:w="28" w:type="dxa"/>
          <w:right w:w="28" w:type="dxa"/>
        </w:tblCellMar>
      </w:tblPr>
      <w:tblGrid>
        <w:gridCol w:w="954"/>
        <w:gridCol w:w="842"/>
        <w:gridCol w:w="844"/>
        <w:gridCol w:w="109"/>
        <w:gridCol w:w="109"/>
        <w:gridCol w:w="109"/>
        <w:gridCol w:w="252"/>
        <w:gridCol w:w="862"/>
        <w:gridCol w:w="130"/>
        <w:gridCol w:w="109"/>
        <w:gridCol w:w="109"/>
        <w:gridCol w:w="109"/>
        <w:gridCol w:w="211"/>
        <w:gridCol w:w="466"/>
        <w:gridCol w:w="109"/>
        <w:gridCol w:w="109"/>
        <w:gridCol w:w="109"/>
        <w:gridCol w:w="109"/>
        <w:gridCol w:w="211"/>
        <w:gridCol w:w="436"/>
        <w:gridCol w:w="109"/>
        <w:gridCol w:w="109"/>
        <w:gridCol w:w="109"/>
        <w:gridCol w:w="109"/>
        <w:gridCol w:w="309"/>
        <w:gridCol w:w="596"/>
        <w:gridCol w:w="160"/>
        <w:gridCol w:w="109"/>
        <w:gridCol w:w="109"/>
        <w:gridCol w:w="109"/>
        <w:gridCol w:w="329"/>
        <w:gridCol w:w="1125"/>
        <w:gridCol w:w="240"/>
      </w:tblGrid>
      <w:tr>
        <w:trPr/>
        <w:tc>
          <w:tcPr>
            <w:tcW w:w="95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5,117 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82,754 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83,034 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98,527 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98,802 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Classified 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61,395 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98,802 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righ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all marketable securities held by the Company had remaining contractual maturities of three years or less. There have been no impairments of the Company’s assets measured and carried at fair value during the three and six months ended June 30,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Fair Value Measurements</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Company’s fair value measurements are classified and disclosed in one of the following three categories:</w:t>
      </w:r>
    </w:p>
    <w:p>
      <w:pPr>
        <w:pStyle w:val="TextBody"/>
        <w:bidi w:val="0"/>
        <w:spacing w:before="0" w:after="0"/>
        <w:ind w:left="0" w:right="0" w:firstLine="27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1: Unadjusted quoted prices in active markets that are accessible at the measurement date for identical, unrestricted assets or liabilities;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2: Quoted prices in markets that are not active, or inputs which are observable, either directly or indirectly, for substantially the full term of the asset or liability;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3: Prices or valuation techniques that require inputs that are both significant to the fair value measurement and unobservable (i.e., supported by little or no market activity).</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Assets and liabilities measured at fair value are classified in their entirety based on the lowest level of input that is significant to the fair value measurement. The commercial paper, corporate notes, U.S. government securities, and U.S. government agency bonds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The deferred compensation plan liabilities are recorded at the value of the amount owed to the plan participants, with changes in value recognized as compensation expense. The calculation of the deferred compensation plan obligation is derived from observable market data by reference to hypothetical investments selected by the participants. There were no transfers into or out of Level 3 from December 31, 2025 to June 30, 2026. </w:t>
      </w:r>
    </w:p>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2727dc015d44a9bbd26ee8a4ef4c08e_7">
        <w:r>
          <w:rPr>
            <w:rStyle w:val="InternetLink"/>
            <w:rFonts w:ascii="Times New Roman;serif" w:hAnsi="Times New Roman;serif"/>
            <w:b/>
            <w:color w:val="0000FF"/>
            <w:sz w:val="20"/>
            <w:u w:val="single"/>
          </w:rPr>
          <w:t>Table of Contents</w:t>
        </w:r>
      </w:hyperlink>
    </w:p>
    <w:p>
      <w:pPr>
        <w:pStyle w:val="TextBody"/>
        <w:bidi w:val="0"/>
        <w:spacing w:before="0" w:after="0"/>
        <w:ind w:left="0" w:right="0" w:firstLine="27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valuation of the Company’s financial assets and liabilities that are measured at fair value on a recurring basis:</w:t>
      </w:r>
    </w:p>
    <w:p>
      <w:pPr>
        <w:pStyle w:val="TextBody"/>
        <w:bidi w:val="0"/>
        <w:spacing w:before="0" w:after="0"/>
        <w:ind w:left="0" w:right="0" w:firstLine="270"/>
        <w:jc w:val="both"/>
        <w:rPr/>
      </w:pPr>
      <w:r>
        <w:rPr/>
      </w:r>
    </w:p>
    <w:tbl>
      <w:tblPr>
        <w:tblW w:w="12040" w:type="dxa"/>
        <w:jc w:val="center"/>
        <w:tblInd w:w="0" w:type="dxa"/>
        <w:tblLayout w:type="fixed"/>
        <w:tblCellMar>
          <w:top w:w="28" w:type="dxa"/>
          <w:left w:w="28" w:type="dxa"/>
          <w:bottom w:w="28" w:type="dxa"/>
          <w:right w:w="28" w:type="dxa"/>
        </w:tblCellMar>
      </w:tblPr>
      <w:tblGrid>
        <w:gridCol w:w="724"/>
        <w:gridCol w:w="268"/>
        <w:gridCol w:w="26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406"/>
        <w:gridCol w:w="154"/>
      </w:tblGrid>
      <w:tr>
        <w:trPr/>
        <w:tc>
          <w:tcPr>
            <w:tcW w:w="72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category</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Commercial paper </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U.S. government securities </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10"/>
        </w:rPr>
        <w:t xml:space="preserve">(a) </w:t>
      </w:r>
      <w:r>
        <w:rPr>
          <w:rFonts w:ascii="Times New Roman;serif" w:hAnsi="Times New Roman;serif"/>
          <w:b w:val="false"/>
          <w:color w:val="000000"/>
          <w:sz w:val="16"/>
        </w:rPr>
        <w:t>Approximately $46.6 million of U.S. government securities had an original maturity of 90 days or less and were recorded as a cash equivalent as of June 30, 2026. Approximately $47.8 million of U.S. government securities and $2.0 million of commercial paper had an original maturity of 90 days or less and were recorded as a cash equivalent as of December 31, 2025.</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fair values of the cash equivalents and marketable securities are based on observable market prices. The Company’s accounts receivable, accounts payable and accrued expenses are valued at cost which approximates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Revolving Credit Agreement</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July 29, 2022, the Company, as borrower, entered into a $150.0 million five-year senior secured revolving credit agreement by and among the Company, the other loan parties thereto, the lenders party thereto, and JPMorgan Chase Bank, N.A., as the administrative agent (the “Revolving Credit Agreement”). The Revolving Credit Agreement includes a $15.0 million sub-facility for the issuance of letters of credit, of which the Company is utilizing approximately $6.0 million. Amounts available under the Revolving Credit Agreement are for the working capital needs and other general corporate purposes of the Company. The Company incurred and capitalized approximately $1.1 million of debt issuance costs related to the Revolving Credit Agreement.</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Outstanding borrowings under the Revolving Credit Agreement bear interest, with pricing based from time to time at the Company’s election at (i) the Secured Overnight Financing Rate (“SOFR”) plus 0.10% plus a spread ranging from 1.25% to 2.50% as determined by the Company’s Total Net Leverage Ratio (as defined in the Revolving Credit Agreement) or (ii) the alternative base rate (as defined in the Revolving Credit Agreement) plus a spread ranging from 0.25% to 1.50% as determined by the Company’s Total Net Leverage Ratio. The Revolving Credit Agreement also includes a commitment fee, which ranges from 0.20% to 0.25% as determined by the Company’s Total Net Leverage Ratio.</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is permitted to voluntarily prepay borrowings under the Revolving Credit Agreement, in whole or in part, without premium or penalty. On any business day on which the total amount of outstanding Revolving Loans (as defined in the Revolving Credit Agreement) and letters of credit exceeds the total Revolving Commitments (as defined in the Revolving Credit Agreement), the Company must prepay the Revolving Loans in an amount equal to such excess. As of June 30, 2026, there are no outstanding borrowings under the Revolving Credit Agreement.</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Revolving Credit Agreement contains a number of affirmative, negative, reporting and financial covenants, in each case subject to certain exceptions and materiality thresholds. The Revolving Credit Agreement requires the Company to be in quarterly compliance, measured on a trailing four quarter basis, with a financial covenant. The maximum Total Net Leverage Ratio (as defined in the Revolving Credit Agreement) is 3.50 to 1.00. The Company may elect to increase the maximum Total Net Leverage Ratio to 4.00 to 1.00 for a period of four consecutive quarters in connection with a Permitted Acquisition (as defined in the Revolving Credit Agreement).</w:t>
      </w:r>
    </w:p>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2727dc015d44a9bbd26ee8a4ef4c08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Revolving Credit Agreement contains usual and customary restrictions on the ability of the Company and its subsidiaries to: (i) incur additional indebtedness; (ii) create liens; (iii) consolidate, merge, sell or otherwise dispose of all, or substantially all, of its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its affiliates.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Obligations under the Revolving Credit Agreement are secured by first priority liens over substantially all of the assets of Vericel Corporation, excluding certain subsidiaries (subject to customary exclusions set forth in the Revolving Credit Agreement and the other transaction 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Stock-Based Compensation</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Vericel Corporation 2022 Omnibus Incentive Plan (“2022 Plan”) was approved on April 27, 2022, and the Vericel Corporation Amended and Restated 2022 Omnibus Incentive Plan (“Amended and Restated 2022 Plan”) was approved on April 30, 2025. The Amended and Restated 2022 Plan provides incentives through the grant of stock options, stock appreciation rights, restricted stock awards and restricted stock units. The exercise price of stock options granted under the Amended and Restated 2022 Plan shall not be less than the fair market value of the Company’s common stock on the date of grant. The Amended and Restated 2022 Plan amended and restated the 2022 Plan, which replaced the 1992 Stock Option Plan, the 2001 Stock Option Plan, the Amended and Restated 2004 Equity Incentive Plan, the 2009 Second Amended and Restated Omnibus Incentive Plan, the 2017 Omnibus Incentive Plan and the Amended and Restated 2019 Omnibus Incentive Plan (collectively the “Prior Plans”), and no new grants have been granted under the Prior Plans after approval of the 2022 Plan. However, the expiration or forfeiture of options previously granted under the Prior Plans will increase the number of shares available for issuance under the Amended and Restated 2022 Plan.</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Stock Compensation Expense</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Non-cash stock-based compensation expense (service-based stock options, restricted stock units and the employee stock purchase plan) is summarized in the following table:</w:t>
      </w:r>
    </w:p>
    <w:tbl>
      <w:tblPr>
        <w:tblW w:w="9642" w:type="dxa"/>
        <w:jc w:val="left"/>
        <w:tblInd w:w="0" w:type="dxa"/>
        <w:tblLayout w:type="fixed"/>
        <w:tblCellMar>
          <w:top w:w="28" w:type="dxa"/>
          <w:left w:w="28" w:type="dxa"/>
          <w:bottom w:w="28" w:type="dxa"/>
          <w:right w:w="28" w:type="dxa"/>
        </w:tblCellMar>
      </w:tblPr>
      <w:tblGrid>
        <w:gridCol w:w="1532"/>
        <w:gridCol w:w="1346"/>
        <w:gridCol w:w="1352"/>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non-cash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Service-Based Stock Options</w:t>
      </w:r>
    </w:p>
    <w:p>
      <w:pPr>
        <w:pStyle w:val="TextBody"/>
        <w:bidi w:val="0"/>
        <w:spacing w:before="0" w:after="0"/>
        <w:ind w:left="0" w:right="0" w:firstLine="135"/>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granted service-based options to purchase common stock of 54,750 and 580,440, respectively, and 74,625 and 576,723, respectively, for the same periods in 2025. The weighted-average grant-date fair value of service-based options granted during the three and six months ended June 30, 2026 was $17.71 and $19.71 per option, respectively, and $21.52 and $28.84, respectively, for the same periods in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Restricted Stock Units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granted 38,150 and 589,551 restricted stock units, respectively, and 87,065 and 555,951, respectively, for the same periods in 2025. The weighted-average grant-date fair value of restricted stock units granted during the three and six months ended June 30, 2026 was $34.73 and $37.89 per unit, respectively, and $38.77 and $51.87 per unit, respectively, for the same periods in 2025.</w:t>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2727dc015d44a9bbd26ee8a4ef4c08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Net Income (Loss) Per Common Share</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A summary of net income (loss) per common share is presented below:</w:t>
      </w:r>
    </w:p>
    <w:tbl>
      <w:tblPr>
        <w:tblW w:w="10123" w:type="dxa"/>
        <w:jc w:val="left"/>
        <w:tblInd w:w="0" w:type="dxa"/>
        <w:tblLayout w:type="fixed"/>
        <w:tblCellMar>
          <w:top w:w="28" w:type="dxa"/>
          <w:left w:w="28" w:type="dxa"/>
          <w:bottom w:w="28" w:type="dxa"/>
          <w:right w:w="28" w:type="dxa"/>
        </w:tblCellMar>
      </w:tblPr>
      <w:tblGrid>
        <w:gridCol w:w="1707"/>
        <w:gridCol w:w="1499"/>
        <w:gridCol w:w="1504"/>
        <w:gridCol w:w="109"/>
        <w:gridCol w:w="109"/>
        <w:gridCol w:w="109"/>
        <w:gridCol w:w="220"/>
        <w:gridCol w:w="643"/>
        <w:gridCol w:w="113"/>
        <w:gridCol w:w="113"/>
        <w:gridCol w:w="113"/>
        <w:gridCol w:w="113"/>
        <w:gridCol w:w="220"/>
        <w:gridCol w:w="612"/>
        <w:gridCol w:w="113"/>
        <w:gridCol w:w="109"/>
        <w:gridCol w:w="109"/>
        <w:gridCol w:w="109"/>
        <w:gridCol w:w="211"/>
        <w:gridCol w:w="691"/>
        <w:gridCol w:w="109"/>
        <w:gridCol w:w="109"/>
        <w:gridCol w:w="109"/>
        <w:gridCol w:w="109"/>
        <w:gridCol w:w="211"/>
        <w:gridCol w:w="796"/>
        <w:gridCol w:w="154"/>
      </w:tblGrid>
      <w:tr>
        <w:trPr/>
        <w:tc>
          <w:tcPr>
            <w:tcW w:w="1707"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(Amounts 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stock options and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52,312 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income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23"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shares excluded from diluted net income (loss) per common share:</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11. NexoBrid License and Supply Agreements </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May 6, 2019, the Company entered into exclusive license and supply agreements with MediWound to commercialize NexoBrid in North America. NexoBrid is a topically-administered biological orphan product containing proteolytic enzymes, for which the FDA approved a BLA in December 2022, permitting the product’s use for the removal of eschar in adults with deep partial-thickness and/or full-thickness thermal burns. Subsequently, in August 2024, the FDA approved a supplemental BLA expanding NexoBrid’s indication to include pediatric patients.</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license agreement, following the FDA’s approval of the BLA for NexoBrid, MediWound transferred the BLA to Vericel. NexoBrid is approved in the European Union (“EU”) and other international markets and has been designated as an orphan biologic in the U.S., EU and other international markets.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May 2019, the Company paid MediWound $17.5 million in consideration for the license, which was recorded as research and development expense during 2019. The FDA’s December 2022 approval of NexoBrid resulted in the achievement of a $7.5 million regulatory milestone payment pursuant to the terms of the license agreement. The Company recorded the $7.5 million milestone for the licensing rights to commercially sell NexoBrid in the U.S. as an intangible asset as of December 31, 2022 (see Note 4, “Selected Balance Sheet Components” for further details). The $7.5 million milestone payment was paid to MediWound in February of 2023.</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Additionally, the Company is obligated to pay MediWound up to $125.0 million, which is contingent upon meeting certain sales milestones. The first sales milestone payment of $7.5 million would be triggered when annual net sales of NexoBrid or improvements to NexoBrid in North America exceed $75.0 million. As of June 30, 2026, the sales milestone payments are not yet probable and therefore, not recorded as a liability. The Company pays MediWound tiered royalties on net sales ranging from mid-high single-digit to mid-teen percentages, subject to customary reductions. Pursuant to the terms of the Company’s supply agreement with MediWound, MediWound is manufacturing, and will continue to manufacture, NexoBrid for the Company on a unit price basis, which may be increased pursuant to the terms of the supply agreement. MediWound was obligated to supply the Company with NexoBrid for sale in North America on an exclusive basis for the first five years of the term of the supply agreement. Under the supply agreement, the Company possessed the option to extend the initial term of the agreement by an additional 24 months, which it did in May 2022. After the initial term, the Company may extend the supply agreement on an annual basis for up to 10 additional years, at its sole discretion. In March 2025 and March 2026, the Company exercised the first and second of these annual extensions, respectively, extending the term of the supply agreement through at least May 2028. Under the supply agreement, the Company is permitted to establish an alternate source of supply in certain circumstances, including the event of a supply failure.</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2727dc015d44a9bbd26ee8a4ef4c08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12. Commitments and Contingencies </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could be a party to various legal proceedings arising in the ordinary course of business. The costs and outcome of litigation, regulatory, investigatory or other proceedings cannot be predicted with certainty, and some lawsuits, claims, actions or proceedings may be disposed of unfavorably to the Company and could have a material adverse effect on the Company’s results of operations or financial condition. In addition, intellectual property disputes often have a risk of injunctive relief which, if imposed against the Company, could materially and adversely affect its financial condition or results of operations. If a matter is both probable to result in material liability and the amount of loss can be reasonably estimated, the Company estimates and discloses the possible material loss or range of loss. If such loss is not probable or cannot be reasonably estimated, a liability is not recorded in its condensed consolidated financial statements. </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no material ongoing litigation in which the Company was a party or any material ongoing regulatory or other proceedings and had no knowledge of any investigations by government or regulatory authorities in which the Company is a target that could have a material adverse effect on its current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2727dc015d44a9bbd26ee8a4ef4c08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Segment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its business primarily in the U.S. in one reportable segment - the research, product development, manufacture and distribution of cellular therapies and specialty biologics for use in the treatment of specific conditions. The Company is managed on a consolidated basis. </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Chief Executive Officer was determined to be the Company’s chief operating decision maker (“CODM”). The CODM reviews and evaluates revenue, expenses and consolidated net income (loss), consistent with what is reported on the consolidated statement of operations, for purposes of assessing performance, making operating decisions, allocating resources, and planning and forecasting for future periods. </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addition to the significant expense categories within the Company’s consolidated statements of operations, see below for disaggregated amounts that comprise selling, general and administrative expenses:</w:t>
      </w:r>
    </w:p>
    <w:p>
      <w:pPr>
        <w:pStyle w:val="TextBody"/>
        <w:bidi w:val="0"/>
        <w:spacing w:before="0" w:after="0"/>
        <w:ind w:left="0" w:right="0" w:firstLine="270"/>
        <w:jc w:val="both"/>
        <w:rPr/>
      </w:pPr>
      <w:r>
        <w:rPr/>
      </w:r>
    </w:p>
    <w:tbl>
      <w:tblPr>
        <w:tblW w:w="9702" w:type="dxa"/>
        <w:jc w:val="left"/>
        <w:tblInd w:w="0" w:type="dxa"/>
        <w:tblLayout w:type="fixed"/>
        <w:tblCellMar>
          <w:top w:w="28" w:type="dxa"/>
          <w:left w:w="28" w:type="dxa"/>
          <w:bottom w:w="28" w:type="dxa"/>
          <w:right w:w="28" w:type="dxa"/>
        </w:tblCellMar>
      </w:tblPr>
      <w:tblGrid>
        <w:gridCol w:w="1513"/>
        <w:gridCol w:w="1333"/>
        <w:gridCol w:w="133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51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14. The BARDA Agreement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March 31, 2026, the Company entered into a ten-year agreement with the U.S. Biomedical Advanced Research and Development Authority (“BARDA”), part of the Administration for Strategic Preparedness and Response (“ASPR”) within the U.S. Department of Health and Human Services (the “BARDA Agreement”). The BARDA Agreement is valued at up to $196.9 million and details BARDA’s agreement to procure certain quantities of NexoBrid, the establishment of a Vendor Managed Inventory (“VMI”) system for NexoBrid, the potential design and validation of a U.S.-based NexoBrid manufacturing facility, and the development of a next generation formulation and an additional indication for the product.</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BARDA Agreement’s base period encompasses $34.9 million in BARDA funding, which includes approximately $10 million for the initial procurement of NexoBrid for emergency preparedness and VMI establishment, funding for VMI-related services and initial development activities for a potential expanded NexoBrid indication for the treatment of blast trauma injuries. The BARDA Agreement, which became effective on April 1, 2026, also includes optional awards for additional NexoBrid procurement, further clinical development for a potential blast trauma indication, design and validation of a potential U.S.-based manufacturing facility and the development and procurement of a room temperature stable formulation of NexoBrid. The Company did not record any revenue from this agreement during the three months ended June 30, 2026.</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2727dc015d44a9bbd26ee8a4ef4c0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15. Subsequent Events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July 2026, the Company’s Board of Directors authorized the repurchase of up to $200.0 million of the Company’s common stock, with no expiration date. The authorization allows for repurchases to be made in the open market, privately negotiated transactions, or otherwise, in accordance with applicable federal securities laws, including through Rule 10b5‐1 trading plans and under Rule 10b‐18 of the Securities Exchange Act of 1934, as amended.</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specific timing, price and size of purchases will depend on prevailing stock prices, general economic and market conditions, and other considerations. The share repurchase program does not obligate the Company to acquire any specific amount of the Company’s common stock and may be suspended or discontinued at any time at the Company’s discretion.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2727dc015d44a9bbd26ee8a4ef4c08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left"/>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rPr>
        <w:t>Vericel Corporation is a leading provider of advanced therapies for the sports medicine and severe burn care markets. We have a highly differentiated portfolio of cell therapy and specialty biologic products that combines innovations in biology with medical technologies. We were among the first companies to achieve commercial success in the complex field of cell therapies with treatments that use tissue engineering to regenerate skin and healthy knee cartilage. We currently market two U.S. Food and Drug Administration (“FDA”) approved autologous cell therapy products and one FDA-approved specialty biologic product in the U.S. MACI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is an autologous cellularized scaffold product indicated for the repair of symptomatic, single or multiple full-thickness cartilage defects of the knee with or without bone involvement in adults. Since MACI’s commercial launch, the product’s FDA-approved labeling has provided for a treating surgeon to use MACI to treat a patient through an open surgical procedure. In August 2024, the FDA approved a supplemental Biologics License Application (“sBLA”) expanding the MACI indication to add instructions for the arthroscopic delivery of MACI to the product’s approved labeling. MACI Arthro</w:t>
      </w:r>
      <w:r>
        <w:rPr>
          <w:rFonts w:ascii="Times New Roman;serif" w:hAnsi="Times New Roman;serif"/>
          <w:b w:val="false"/>
          <w:color w:val="000000"/>
          <w:sz w:val="13"/>
        </w:rPr>
        <w:t xml:space="preserve">® </w:t>
      </w:r>
      <w:r>
        <w:rPr>
          <w:rFonts w:ascii="Times New Roman;serif" w:hAnsi="Times New Roman;serif"/>
          <w:b w:val="false"/>
          <w:color w:val="000000"/>
          <w:sz w:val="20"/>
        </w:rPr>
        <w:t>allows surgeons to evaluate and prepare the cartilage defect site as well as deliver the MACI implant through small incisions using custom-designed arthroscopic instruments developed by the Company (“MACI Arthro instruments”). MACI Arthro became commercially available in the U.S. during the third quarter of 2024 and the Company began selling MACI Arthro instruments at that time.</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rPr>
        <w:t>Epicel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is a permanent skin replacement Humanitarian Use Device (“HUD”) indicated for the treatment of adult and pediatric patients with deep-dermal or full-thickness burns comprising greater than or equal to 30 percent of a patient’s total body surface area (“TBSA”). We also hold an exclusive license from MediWound Ltd. (“MediWound”) for the North American rights to NexoBrid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(anacaulase-bcdb), a topically-administered biological orphan product containing proteolytic enzymes, which is indicated for the removal of eschar in adult and pediatric patients with deep partial-thickness and/or full-thickness thermal burns.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Manufacturing</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have a cell manufacturing facility in Cambridge, Massachusetts, which is currently used for U.S. manufacturing and distribution of MACI and Epicel. In January 2022, we entered into a lease agreement (as amended, the “Burlington Lease”) to lease approximately 126,000 square feet of manufacturing, laboratory and office space in Burlington, Massachusetts. The Burlington facility is complete, and we are currently utilizing the facility’s office space. In March 2026, we received FDA approval to begin MACI commercial manufacturing at the Burlington facility and we are currently transitioning the facility’s manufacturing component into the primary manufacturing facility for MACI, and have begun manufacturing a portion of MACI implants at that location. We intend that the Burlington facility’s manufacturing component will eventually also become the primary manufacturing facility for Epicel, upon FDA qualification for Epicel manufacturing.</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manufacturing process for NexoBrid is conducted by MediWound, primarily at manufacturing locations in Israel. Certain raw materials utilized in NexoBrid’s manufacture, including the supply of the active ingredient bromelain, are sourced from Taiwan.</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color w:val="000000"/>
          <w:sz w:val="20"/>
        </w:rPr>
      </w:pPr>
      <w:r>
        <w:rPr>
          <w:rFonts w:ascii="Times New Roman;serif" w:hAnsi="Times New Roman;serif"/>
          <w:b/>
          <w:color w:val="000000"/>
          <w:sz w:val="20"/>
        </w:rPr>
        <w:t xml:space="preserve">Product Portfolio </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current marketed products include two FDA-approved autologous cell therapies and one FDA-approved specialty biologic product. MACI is a third-generation autologous cellularized scaffold product indicated for the repair of symptomatic, single or multiple full-thickness cartilage defects of the knee with or without bone involvement in adults. In connection with our MACI product, we sell MACI biopsy kits, which are used by treating surgeons to obtain a sample of cartilage tissue, which is later sent to us. If a patient decides to move forward with MACI treatment, we subsequently use the cartilage sample to manufacture a MACI implant. When an orthopedic surgeon decides to treat a patient by implanting MACI through an arthroscopic approach the surgeon may choose to use our custom MACI Arthro instruments during the procedure, which we sell by way of a separate transaction.</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Epicel is a permanent skin replacement indicated for the treatment of adult and pediatric patients with deep-dermal or full-thickness burns comprising greater than or equal to 30 percent of a patient’s TBSA. Both autologous cell therapy products, MACI and Epicel, are currently manufactured and marketed in the U.S. NexoBrid is a topically-administered biological orphan product containing proteolytic enzymes that is indicated for eschar removal in adult and pediatric patients with deep partial-thickness and/or full-thickness thermal burns. We hold exclusive license and supply agreements with MediWound to commercialize NexoBrid in North America. We operate our business primarily in the U.S. in one reportable segment -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2727dc015d44a9bbd26ee8a4ef4c08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research, product development, manufacture and distribution of cellular therapies and specialty biologics for use in the treatment of specific conditions.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color w:val="000000"/>
          <w:sz w:val="20"/>
        </w:rPr>
      </w:pPr>
      <w:r>
        <w:rPr>
          <w:rFonts w:ascii="Times New Roman;serif" w:hAnsi="Times New Roman;serif"/>
          <w:b/>
          <w:color w:val="000000"/>
          <w:sz w:val="20"/>
        </w:rPr>
        <w:t xml:space="preserve">MACI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MACI is a third-generation autologous chondrocyte implantation (“ACI”) product indicated for the repair of symptomatic, single or multiple full-thickness cartilage defects of the knee with or without bone involvement in adults. </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Our target audiences are orthopedic surgeons who self-identify and/or have formal specialty training in sports medicine, and a subpopulation of general orthopedic surgeons who perform a high volume of cartilage repair procedures involving the knee. Our MACI commercial team consists of individual sales representatives that regularly engage with our target audience. The team is divided into geographic regions and is managed by a senior sales leadership team. A vast majority of the largest commercial payers in the U.S. have a formal medical policy that provides benefit coverage for treatment with MACI. With respect to private commercial payers that have not yet approved a medical policy for MACI, we often obtain approval on a case-by-case basis. </w:t>
      </w:r>
    </w:p>
    <w:p>
      <w:pPr>
        <w:pStyle w:val="TextBody"/>
        <w:bidi w:val="0"/>
        <w:spacing w:before="0" w:after="0"/>
        <w:jc w:val="left"/>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rPr>
        <w:t>MACI consists of autologous cultured chondrocytes, which are human-derived cells that are obtained from the patient’s own cartilage, and which are seeded onto a resorbable Type I/III collagen membrane. Since MACI’s commercial launch, the product’s FDA-approved labeling has provided for a treating surgeon to use MACI to treat a patient through an open surgical procedure. In August 2024, the FDA approved a supplemental Biologics License Application (“sBLA”) expanding the MACI indication to add instructions for the arthroscopic delivery of MACI to the product’s approved labeling, permitting the repair of single or multiple full-thickness cartilage defects of the knee up to 4 cm</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 size via an arthroscopic approach. MACI Arthro provides a less invasive technique compared to the open arthrotomy approach and allows surgeons to evaluate, prepare and treat the cartilage defect, and deliver the MACI implant, under direct arthroscopic visualization and, should the surgeon so choose, to use specialized and custom-designed instruments (the “MACI Arthro instruments”) through small incisions or portals. The arthroscopic delivery of MACI may increase the ease of MACI’s use for physicians and may reduce both the length of the procedure as well as procedure-induced trauma, which may result in a reduction of a patient’s post-operative pain and accelerate a patient’s recovery. MACI Arthro became commercially available in the U.S. during the third quarter of 2024, and we began selling MACI Arthro instruments at that time. We have experienced strong surgeon interest in the MACI Arthro technique since its launch, and we believe that the availability of MACI Arthro provides a significant growth opportunity for the overall MACI business. In conjunction with the launch of MACI Arthro, we have expanded our target surgeon base from 5,000 to 7,000 to include orthopedic surgeons that perform high volumes of knee cartilage repair surgeries, predominantly through arthroscopic procedures.</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We also are focused on delivering MACI treatment to patients suffering from cartilage damage in the ankle. Following an application to the FDA, we received Investigational New Drug (“IND”) clearance for MACI’s use in the ankle during the second quarter of 2025, and during the fourth quarter of 2025 initiated a Study of MACI in Patients Aged 17 to 65 with Symptomatic Chondral or Osteochondral Defects of the Talus (“MASCOT”). MASCOT is a two-year prospective, multicenter, two-arm, parallel group open-label trial in which a total of 309 subjects, aged 17 to 65, will be randomized using a 2:1 ratio to receive a one-time treatment in the talus with MACI or arthroscopic bone marrow stimulation. MASCOT is the first randomized, controlled clinical trial evaluating MACI for the treatment of Osteochondral Lesion of the Talus (“OLT”). There are approximately 165,000 ankle resurfacing procedures conducted in the U.S. each year. Approximately 66,000 of those patients each year are considered clinically appropriate for MACI by surgeons. We estimate that approximately 18,000 of those patients suffer from larger ankle cartilage lesions, resulting in an increase of MACI’s addressable market. If approved, we believe MACI’s label expansion allowing its use to repair cartilage defects in the ankle will be a significant long-term growth driver for the product in the coming years. </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Finally, our Burlington facility, discussed more fully above, is designed to meet both U.S. and global manufacturing requirements, which provides strategic flexibility to potentially commercialize MACI outside the U.S., and we are currently evaluating introducing MACI in additional geographies. We are currently focused on obtaining regulatory and marketing approval for MACI in the United Kingdom through the Medicine and Healthcare products Regulatory Agency (“MHRA”) and, if successful, anticipate commercializing MACI in the United Kingdom in 2027.</w:t>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2727dc015d44a9bbd26ee8a4ef4c08e_7">
        <w:r>
          <w:rPr>
            <w:rStyle w:val="InternetLink"/>
            <w:rFonts w:ascii="Times New Roman;serif" w:hAnsi="Times New Roman;serif"/>
            <w:b/>
            <w:color w:val="0000FF"/>
            <w:sz w:val="20"/>
            <w:u w:val="single"/>
          </w:rPr>
          <w:t>Table of Contents</w:t>
        </w:r>
      </w:hyperlink>
    </w:p>
    <w:p>
      <w:pPr>
        <w:pStyle w:val="TextBody"/>
        <w:bidi w:val="0"/>
        <w:spacing w:before="0" w:after="0"/>
        <w:ind w:left="0" w:right="0" w:firstLine="270"/>
        <w:jc w:val="both"/>
        <w:rPr/>
      </w:pPr>
      <w:r>
        <w:rPr/>
      </w:r>
    </w:p>
    <w:p>
      <w:pPr>
        <w:pStyle w:val="TextBody"/>
        <w:bidi w:val="0"/>
        <w:spacing w:lineRule="auto" w:line="288" w:before="0" w:after="0"/>
        <w:ind w:left="0" w:right="0" w:firstLine="270"/>
        <w:jc w:val="left"/>
        <w:rPr>
          <w:rFonts w:ascii="Times New Roman;serif" w:hAnsi="Times New Roman;serif"/>
          <w:b/>
          <w:color w:val="000000"/>
          <w:sz w:val="20"/>
        </w:rPr>
      </w:pPr>
      <w:r>
        <w:rPr>
          <w:rFonts w:ascii="Times New Roman;serif" w:hAnsi="Times New Roman;serif"/>
          <w:b/>
          <w:color w:val="000000"/>
          <w:sz w:val="20"/>
        </w:rPr>
        <w:t>Epicel</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Epicel is a permanent skin replacement for deep-dermal or full-thickness burns comprising greater than or equal to 30 percent TBSA. Epicel is regulated by the FDA’s Center for Biologics Evaluation and Research (“CBER”) under medical device authorities, and is the only FDA-approved cultured epidermal autograft product available for large total surface area burns in both adult and pediatric patients. Epicel was designated as a HUD in 1998 and a Humanitarian Device Exemption (“HDE”) application for the product was submitted in 1999. HUDs are devices that are intended for diseases or conditions that affect fewer than 8,000 individuals annually in the U.S., and, for certain HUDs, the amount a manufacturer may charge for the product’s use is restricted.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Epicel is not price-restricted in this manner because in 2016, the FDA approved our HDE supplement to revise the labeled indications of use for Epicel to specifically include pediatric patients, thus allowing Epicel to be sold for profit. The product label also specifies that the probable benefit of Epicel, mainly related to survival, was demonstrated in two Epicel clinical experience databases and a physician-sponsored study comparing outcomes in patients with large burns treated with Epicel relative to standard care.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left"/>
        <w:rPr>
          <w:rFonts w:ascii="Times New Roman;serif" w:hAnsi="Times New Roman;serif"/>
          <w:b/>
          <w:color w:val="000000"/>
          <w:sz w:val="20"/>
        </w:rPr>
      </w:pPr>
      <w:r>
        <w:rPr>
          <w:rFonts w:ascii="Times New Roman;serif" w:hAnsi="Times New Roman;serif"/>
          <w:b/>
          <w:color w:val="000000"/>
          <w:sz w:val="20"/>
        </w:rPr>
        <w:t xml:space="preserve">NexoBrid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Our portfolio of commercial-stage products also includes NexoBrid (anacaulase-bcdb), a topically-administered biological orphan product containing proteolytic enzymes, for which the FDA approved a BLA in December 2022. NexoBrid is indicated for the removal of eschar in adults with deep partial-thickness and/or full-thickness thermal burns. Subsequently, in August 2024, the FDA approved an sBLA expanding NexoBrid’s indication to include pediatric patients. </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addition to the U.S., NexoBrid is approved in the European Union (“EU”) and other international markets and has been designated as an orphan biologic in the U.S., EU and other international markets. NexoBrid has the potential to change the standard of care for eschar removal with respect to hospitalized burn patients and treat a significant addressable market in the U.S. With respect to NexoBrid, of the approximately 40,000 people that are hospitalized in the U.S. each year for burn-related injuries, the majority, over 30,000, have thermal burns and will likely require some level of eschar removal. NexoBrid’s FDA approval expands our burn care franchise’s total addressable market, which permits us to treat a significantly larger segment of hospitalized burn patients than with Epicel alone. The expansion of our target addressable market supports a broader commercial footprint, and we believe that this may help drive both increased NexoBrid use as well as increased Epicel awareness throughout the burn care space. Both our Epicel and NexoBrid products are serviced by our burn care field force, which consists of individual sales and clinical representatives that regularly engage with our target audience. The team is divided into geographical regions and is managed by a senior sales leadership team.</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In May 2019, we entered into exclusive license and supply agreements with MediWound to commercialize NexoBrid in North America. The manufacturing process for NexoBrid is conducted by MediWound, primarily at manufacturing locations in Israel. Certain raw materials utilized in NexoBrid’s manufacture, including the supply of the active ingredient bromelain, are sourced from Taiwan. </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Recent Developments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July 2026, our Board of Directors authorized the repurchase of up to $200.0 million of the Company’s common stock, with no expiration date. The authorization allows for repurchases to be made in the open market, privately negotiated transactions, or otherwise, in accordance with applicable federal securities laws, including through Rule 10b5‐1 trading plans and under Rule 10b‐18 of the Securities Exchange Act of 1934, as amended.</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specific timing, price and size of purchases will depend on prevailing stock prices, general economic and market conditions, and other considerations. The share repurchase program does not obligate us to acquire any specific amount of our common stock and may be suspended or discontinued at any time at our discretion.</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2727dc015d44a9bbd26ee8a4ef4c08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our condensed consolidated results of operations:</w:t>
      </w:r>
    </w:p>
    <w:tbl>
      <w:tblPr>
        <w:tblW w:w="12305" w:type="dxa"/>
        <w:jc w:val="left"/>
        <w:tblInd w:w="0" w:type="dxa"/>
        <w:tblLayout w:type="fixed"/>
        <w:tblCellMar>
          <w:top w:w="28" w:type="dxa"/>
          <w:left w:w="28" w:type="dxa"/>
          <w:bottom w:w="28" w:type="dxa"/>
          <w:right w:w="28" w:type="dxa"/>
        </w:tblCellMar>
      </w:tblPr>
      <w:tblGrid>
        <w:gridCol w:w="592"/>
        <w:gridCol w:w="349"/>
        <w:gridCol w:w="350"/>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314"/>
        <w:gridCol w:w="317"/>
        <w:gridCol w:w="367"/>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62"/>
        <w:gridCol w:w="264"/>
        <w:gridCol w:w="418"/>
      </w:tblGrid>
      <w:tr>
        <w:trPr/>
        <w:tc>
          <w:tcPr>
            <w:tcW w:w="59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2"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4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4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4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4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(498.9)</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Comparison of the Periods Ended June 30, 2026 and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Total Revenue</w:t>
      </w:r>
    </w:p>
    <w:p>
      <w:pPr>
        <w:pStyle w:val="TextBody"/>
        <w:bidi w:val="0"/>
        <w:spacing w:before="0" w:after="0"/>
        <w:ind w:left="0" w:right="0" w:firstLine="270"/>
        <w:jc w:val="both"/>
        <w:rPr/>
      </w:pPr>
      <w:r>
        <w:rPr/>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Revenue by product is as follows:</w:t>
      </w:r>
    </w:p>
    <w:p>
      <w:pPr>
        <w:pStyle w:val="TextBody"/>
        <w:bidi w:val="0"/>
        <w:spacing w:before="0" w:after="0"/>
        <w:jc w:val="left"/>
        <w:rPr/>
      </w:pPr>
      <w:r>
        <w:rPr/>
      </w:r>
    </w:p>
    <w:tbl>
      <w:tblPr>
        <w:tblW w:w="11975" w:type="dxa"/>
        <w:jc w:val="left"/>
        <w:tblInd w:w="0" w:type="dxa"/>
        <w:tblLayout w:type="fixed"/>
        <w:tblCellMar>
          <w:top w:w="28" w:type="dxa"/>
          <w:left w:w="28" w:type="dxa"/>
          <w:bottom w:w="28" w:type="dxa"/>
          <w:right w:w="28" w:type="dxa"/>
        </w:tblCellMar>
      </w:tblPr>
      <w:tblGrid>
        <w:gridCol w:w="397"/>
        <w:gridCol w:w="349"/>
        <w:gridCol w:w="350"/>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55"/>
        <w:gridCol w:w="256"/>
        <w:gridCol w:w="367"/>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418"/>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3"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r>
      <w:tr>
        <w:trPr/>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Epicel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NexoBrid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Total revenue increase for the three and six months ended June 30, 2026, compared to the same periods in 2025, was driven primarily by MACI and Epicel volume and price growth.</w:t>
      </w:r>
    </w:p>
    <w:p>
      <w:pPr>
        <w:pStyle w:val="TextBody"/>
        <w:bidi w:val="0"/>
        <w:spacing w:before="0" w:after="0"/>
        <w:ind w:left="0" w:right="0" w:firstLine="27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Seasonality</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Sales of MACI implants have historically experienced a level of seasonality throughout the year. In the last five years through 2025, MACI sales volumes from the first through the fourth quarter on average represented 21% (20%-22% range), 23% (22%-24% range), 22% (21%-24% range) and 34% (33%-34% range) respectively, of total annual volumes. Historically, MACI orders are normally stronger in the fourth quarter due to several factors including the satisfaction by patients of insurance deductible limits and the time of year patients prefer to start rehabilitation. Due to the low incidence and variable occurrence of severe burns, Epicel has inherent variability from quarter-to-quarter and does not exhibit significant seasonality.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Gross Profit</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Gross profit increased for the three and six months ended June 30, 2026, compared to the same periods in 2025, primarily driven by MACI and Epicel revenue growth combined with our primarily fixed manufacturing cost structure, which consists mainly of labor and facility costs.</w:t>
      </w:r>
    </w:p>
    <w:p>
      <w:pPr>
        <w:pStyle w:val="TextBody"/>
        <w:bidi w:val="0"/>
        <w:spacing w:before="0" w:after="0"/>
        <w:ind w:left="0" w:right="0" w:firstLine="27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for the three and six months ended June 30, 2026 were $7.5 million and $15.6 million, respectively, compared to $6.7 million and $14.0 million, respectively, for the same periods in 2025. The increase is primarily due to higher headcount and employee expenses, regulatory support for potential MACI launch in the United Kingdom and MACI MASCOT trial spend.</w:t>
      </w:r>
    </w:p>
    <w:p>
      <w:pPr>
        <w:pStyle w:val="TextBody"/>
        <w:bidi w:val="0"/>
        <w:spacing w:before="0" w:after="0"/>
        <w:ind w:left="0" w:right="0" w:firstLine="27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2727dc015d44a9bbd26ee8a4ef4c08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three and six months ended June 30, 2026 were $48.5 million and $97.7 million, respectively, compared to $41.9 million and $83.7 million, respectively, for the same periods in 2025. The increase in selling, general and administrative expenses for the three and six months ended June 30, 2026 is primarily due to higher headcount and employee expenses, including the MACI sales force expansion, and an increase in marketing programs. Higher facility costs with respect to the new facility in Burlington, Massachusetts also contributed to the increase in selling, general and administrative expenses for the six months ended June 30, 2026.</w:t>
      </w:r>
    </w:p>
    <w:p>
      <w:pPr>
        <w:pStyle w:val="TextBody"/>
        <w:bidi w:val="0"/>
        <w:spacing w:before="0" w:after="0"/>
        <w:ind w:left="0" w:right="0" w:firstLine="270"/>
        <w:jc w:val="both"/>
        <w:rPr/>
      </w:pPr>
      <w:r>
        <w:rPr/>
      </w:r>
    </w:p>
    <w:p>
      <w:pPr>
        <w:pStyle w:val="TextBody"/>
        <w:bidi w:val="0"/>
        <w:spacing w:lineRule="auto" w:line="288" w:before="0" w:after="0"/>
        <w:jc w:val="left"/>
        <w:rPr/>
      </w:pPr>
      <w:r>
        <w:rPr>
          <w:rFonts w:ascii="Times New Roman;serif" w:hAnsi="Times New Roman;serif"/>
          <w:b w:val="false"/>
          <w:i/>
          <w:color w:val="000000"/>
          <w:sz w:val="20"/>
        </w:rPr>
        <w:t>Total Other Income</w:t>
      </w:r>
      <w:r>
        <w:rPr>
          <w:color w:val="000000"/>
        </w:rPr>
        <w:t> </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increase in total other income for the three and six months ended June 30, 2026, compared to the same periods in 2025 was due to an increase in interest income, which was primarily due to fluctuations in the balances and rates of return on our investments in various marketable debt securities and money market funds.</w:t>
      </w:r>
    </w:p>
    <w:p>
      <w:pPr>
        <w:pStyle w:val="TextBody"/>
        <w:bidi w:val="0"/>
        <w:spacing w:before="0" w:after="0"/>
        <w:ind w:left="0" w:right="0" w:firstLine="27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 Expense</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Non-cash stock-based compensation expense is summarized in the following table: </w:t>
      </w:r>
    </w:p>
    <w:p>
      <w:pPr>
        <w:pStyle w:val="TextBody"/>
        <w:bidi w:val="0"/>
        <w:spacing w:before="0" w:after="0"/>
        <w:ind w:left="0" w:right="0" w:firstLine="270"/>
        <w:jc w:val="both"/>
        <w:rPr/>
      </w:pPr>
      <w:r>
        <w:rPr/>
      </w:r>
    </w:p>
    <w:tbl>
      <w:tblPr>
        <w:tblW w:w="11705" w:type="dxa"/>
        <w:jc w:val="left"/>
        <w:tblInd w:w="0" w:type="dxa"/>
        <w:tblLayout w:type="fixed"/>
        <w:tblCellMar>
          <w:top w:w="28" w:type="dxa"/>
          <w:left w:w="28" w:type="dxa"/>
          <w:bottom w:w="28" w:type="dxa"/>
          <w:right w:w="28" w:type="dxa"/>
        </w:tblCellMar>
      </w:tblPr>
      <w:tblGrid>
        <w:gridCol w:w="592"/>
        <w:gridCol w:w="349"/>
        <w:gridCol w:w="350"/>
        <w:gridCol w:w="109"/>
        <w:gridCol w:w="109"/>
        <w:gridCol w:w="109"/>
        <w:gridCol w:w="211"/>
        <w:gridCol w:w="616"/>
        <w:gridCol w:w="109"/>
        <w:gridCol w:w="109"/>
        <w:gridCol w:w="109"/>
        <w:gridCol w:w="109"/>
        <w:gridCol w:w="211"/>
        <w:gridCol w:w="721"/>
        <w:gridCol w:w="109"/>
        <w:gridCol w:w="109"/>
        <w:gridCol w:w="109"/>
        <w:gridCol w:w="109"/>
        <w:gridCol w:w="211"/>
        <w:gridCol w:w="631"/>
        <w:gridCol w:w="109"/>
        <w:gridCol w:w="109"/>
        <w:gridCol w:w="109"/>
        <w:gridCol w:w="109"/>
        <w:gridCol w:w="263"/>
        <w:gridCol w:w="263"/>
        <w:gridCol w:w="367"/>
        <w:gridCol w:w="109"/>
        <w:gridCol w:w="109"/>
        <w:gridCol w:w="109"/>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263"/>
        <w:gridCol w:w="263"/>
        <w:gridCol w:w="418"/>
      </w:tblGrid>
      <w:tr>
        <w:trPr/>
        <w:tc>
          <w:tcPr>
            <w:tcW w:w="59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8"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r>
      <w:tr>
        <w:trPr/>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4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non-cash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4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decrease in stock-based compensation expense for the three and six months ended June 30, 2026, compared to the same periods in 2025, was due primarily to fluctuations in stock prices and the mix of service-based options and restricted stock units, which impacts the fair value of the options and restricted stock units awarded and the expense recognized in the period.</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ind w:left="0" w:right="0" w:firstLine="27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sources and uses of cash for each of the periods presented:</w:t>
      </w:r>
    </w:p>
    <w:p>
      <w:pPr>
        <w:pStyle w:val="TextBody"/>
        <w:bidi w:val="0"/>
        <w:spacing w:before="0" w:after="0"/>
        <w:jc w:val="both"/>
        <w:rPr/>
      </w:pPr>
      <w:r>
        <w:rPr/>
      </w:r>
    </w:p>
    <w:tbl>
      <w:tblPr>
        <w:tblW w:w="8827" w:type="dxa"/>
        <w:jc w:val="left"/>
        <w:tblInd w:w="0" w:type="dxa"/>
        <w:tblLayout w:type="fixed"/>
        <w:tblCellMar>
          <w:top w:w="28" w:type="dxa"/>
          <w:left w:w="28" w:type="dxa"/>
          <w:bottom w:w="28" w:type="dxa"/>
          <w:right w:w="28" w:type="dxa"/>
        </w:tblCellMar>
      </w:tblPr>
      <w:tblGrid>
        <w:gridCol w:w="2030"/>
        <w:gridCol w:w="1788"/>
        <w:gridCol w:w="1792"/>
        <w:gridCol w:w="109"/>
        <w:gridCol w:w="109"/>
        <w:gridCol w:w="109"/>
        <w:gridCol w:w="211"/>
        <w:gridCol w:w="721"/>
        <w:gridCol w:w="109"/>
        <w:gridCol w:w="109"/>
        <w:gridCol w:w="109"/>
        <w:gridCol w:w="109"/>
        <w:gridCol w:w="211"/>
        <w:gridCol w:w="721"/>
        <w:gridCol w:w="109"/>
        <w:gridCol w:w="109"/>
        <w:gridCol w:w="109"/>
        <w:gridCol w:w="109"/>
        <w:gridCol w:w="154"/>
      </w:tblGrid>
      <w:tr>
        <w:trPr/>
        <w:tc>
          <w:tcPr>
            <w:tcW w:w="2030"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Net Cash Provided by Operating Activities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cash and cash equivalents totaled $125.4 million, short-term investments totaled $37.1 million and long-term investments totaled $65.0 million as of June 30, 2026. The $32.6 million of cash provided by operations during the six months ended June 30, 2026 was primarily the result of non-cash charges of $20.4 million related to stock-based compensation expense, $6.9 million in depreciation and amortization expense, $2.8 million of operating lease amortization and a net increase of $6.2 million related to movements in our working capital accounts, partially offset by a net loss of $4.1 million. The overall increase in cash from our working capital accounts was primarily driven by a decrease in accounts receivable due to cash collections and an increase in accounts payable due to timing of payments, partially offset by payments on operating leases.</w:t>
      </w:r>
    </w:p>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2727dc015d44a9bbd26ee8a4ef4c08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cash and cash equivalents totaled $80.5 million, short-term investments totaled $36.3 million and long-term investments totaled $47.4 million as of June 30, 2025. The $14.8 million of cash provided by operations during the six months ended June 30, 2025 was primarily the result of non-cash charges of $21.6 million related to stock-based compensation expense, $5.5 million in depreciation and amortization expense and $2.7 million of operating lease amortization, partially offset by a net loss of $11.8 million and a net decrease of $4.0 million related to movements in our working capital accounts. The overall decrease in cash from our working capital accounts was primarily driven by an increase in accounts receivable due to higher sales volume, as well as a decrease in accounts payable and accrued expenses due to timing of payments.</w:t>
      </w:r>
    </w:p>
    <w:p>
      <w:pPr>
        <w:pStyle w:val="TextBody"/>
        <w:bidi w:val="0"/>
        <w:spacing w:before="0" w:after="0"/>
        <w:ind w:left="0" w:right="0" w:firstLine="270"/>
        <w:jc w:val="both"/>
        <w:rPr/>
      </w:pPr>
      <w:r>
        <w:rPr/>
      </w:r>
    </w:p>
    <w:p>
      <w:pPr>
        <w:pStyle w:val="TextBody"/>
        <w:bidi w:val="0"/>
        <w:spacing w:lineRule="auto" w:line="288" w:before="0" w:after="0"/>
        <w:jc w:val="left"/>
        <w:rPr/>
      </w:pPr>
      <w:r>
        <w:rPr>
          <w:rFonts w:ascii="Times New Roman;serif" w:hAnsi="Times New Roman;serif"/>
          <w:b w:val="false"/>
          <w:i/>
          <w:color w:val="000000"/>
          <w:sz w:val="20"/>
        </w:rPr>
        <w:t>Net Cash Used In Investing Activities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during the six months ended June 30, 2026 was the result of $29.0 million in investment purchases and $3.2 million of property and equipment purchases primarily for construction in process, partially offset by $25.2 million of investment sales and maturities.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during the six months ended June 30, 2025 was the result of $22.3 million of property and equipment purchases primarily for construction in process related to the Burlington Lease and $29.0 million in investment purchases, partially offset by $27.2 million of investment sales and maturities.</w:t>
      </w:r>
    </w:p>
    <w:p>
      <w:pPr>
        <w:pStyle w:val="TextBody"/>
        <w:bidi w:val="0"/>
        <w:spacing w:before="0" w:after="0"/>
        <w:ind w:left="0" w:right="0" w:firstLine="270"/>
        <w:jc w:val="both"/>
        <w:rPr/>
      </w:pPr>
      <w:r>
        <w:rPr/>
      </w:r>
    </w:p>
    <w:p>
      <w:pPr>
        <w:pStyle w:val="TextBody"/>
        <w:bidi w:val="0"/>
        <w:spacing w:lineRule="auto" w:line="288" w:before="0" w:after="0"/>
        <w:jc w:val="both"/>
        <w:rPr/>
      </w:pPr>
      <w:r>
        <w:rPr>
          <w:rFonts w:ascii="Times New Roman;serif" w:hAnsi="Times New Roman;serif"/>
          <w:b w:val="false"/>
          <w:i/>
          <w:color w:val="000000"/>
          <w:sz w:val="20"/>
        </w:rPr>
        <w:t>Net Cash (Used in) Provided by Financing Activities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rPr>
        <w:t xml:space="preserve">Net cash used in financing activities during the six months ended June 30, 2026 </w:t>
      </w:r>
      <w:r>
        <w:rPr>
          <w:rFonts w:ascii="Times New Roman;serif" w:hAnsi="Times New Roman;serif"/>
          <w:b w:val="false"/>
          <w:color w:val="000000"/>
          <w:sz w:val="20"/>
          <w:shd w:fill="FFFFFF" w:val="clear"/>
        </w:rPr>
        <w:t xml:space="preserve">was the result of </w:t>
      </w:r>
      <w:r>
        <w:rPr>
          <w:rFonts w:ascii="Times New Roman;serif" w:hAnsi="Times New Roman;serif"/>
          <w:b w:val="false"/>
          <w:color w:val="000000"/>
          <w:sz w:val="20"/>
        </w:rPr>
        <w:t xml:space="preserve">payment of employee withholding taxes related to the vesting of restricted stock units of $4.7 million, partially offset by the </w:t>
      </w:r>
      <w:r>
        <w:rPr>
          <w:rFonts w:ascii="Times New Roman;serif" w:hAnsi="Times New Roman;serif"/>
          <w:b w:val="false"/>
          <w:color w:val="000000"/>
          <w:sz w:val="20"/>
          <w:shd w:fill="FFFFFF" w:val="clear"/>
        </w:rPr>
        <w:t>net proceeds from the exercise of stock options and the employee stock purchase plan of</w:t>
      </w:r>
      <w:r>
        <w:rPr>
          <w:color w:val="000000"/>
        </w:rPr>
        <w:t xml:space="preserve"> </w:t>
      </w:r>
      <w:r>
        <w:rPr>
          <w:rFonts w:ascii="Times New Roman;serif" w:hAnsi="Times New Roman;serif"/>
          <w:b w:val="false"/>
          <w:color w:val="000000"/>
          <w:sz w:val="20"/>
        </w:rPr>
        <w:t>$4.4 million.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during the six months ended June 30, 2025 was the result of net proceeds from the exercise of stock options and the employee stock purchase plan of $11.2 million, partially offset by the payment of employee withholding taxes related to the vesting of restricted stock units of $6.3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Since our acquisition of MACI and Epicel in 2014, our primary focus has been to invest in our existing commercial business with the goal of growing revenue. We have raised significant funds in order to advance and complete our product development and product life-cycle management programs and to market and commercialize our products. To date, we have financed our operations primarily through cash received through MACI, Epicel and NexoBrid sales, debt, and public and private sales of our equity securities. In the future, we may finance our operations through sales of equity securities, revolver borrowings or other debt financings, in addition to cash generated from operations.</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believe that our current cash on hand, cash equivalents, investments, and available borrowing capacity will be sufficient to support our current operations through at least 12 months from the issuance of the condensed consolidated financial statements included in this report. Our actual cash requirements may differ from projections and will depend on many factors, including the level and pace of future research and development efforts, the scope and results of ongoing and potential clinical trials, the costs involved in filing, prosecuting and enforcing patents, the need for additional manufacturing capacity, competing technological and market developments, global macroeconomic conditions, costs associated with possible acquisitions or development of complementary business activities, and the cost to market our products.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June 30, 2026, we were not party to any off-balance sheet arrangements.</w:t>
      </w:r>
    </w:p>
    <w:p>
      <w:pPr>
        <w:pStyle w:val="TextBody"/>
        <w:bidi w:val="0"/>
        <w:spacing w:before="0" w:after="0"/>
        <w:ind w:left="0" w:right="0" w:firstLine="27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Sources of Capital</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July 29, 2022, we entered into a $150.0 million five-year senior secured revolving credit agreement by and among the Company, the other loan parties thereto, the lenders party thereto, and JPMorgan Chase Bank, N.A., as the administrative agent (the “Revolving Credit Agreement”). We have no immediate plans to borrow under the Revolving Credit Agreement, but we may use the facility for working capital needs and other general corporate purposes. As of June 30, 2026, there are no outstanding borrowings under the Revolving Credit Agreement, and we are in compliance with all applicable covenant requirements. See Note 8, “Revolving Credit Agreement” in the accompanying condensed consolidated financial statements for further details.</w:t>
      </w:r>
    </w:p>
    <w:p>
      <w:pPr>
        <w:pStyle w:val="TextBody"/>
        <w:bidi w:val="0"/>
        <w:spacing w:before="0" w:after="0"/>
        <w:ind w:left="0" w:right="0" w:firstLine="27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2727dc015d44a9bbd26ee8a4ef4c08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disclosure of our contractual obligations and commitments is set forth in the heading “Management’s Discussion and Analysis of Financial Condition and Results of Operations - Contractual Obligations” in our Annual Report on Form 10-K for the year ended December 31, 2025. There have been no other material changes, outside of the ordinary course of business, to our contractual obligations and commitments since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discussion and analysis of our financial condition and results of operations are based on our condensed consolidated financial statements, which have been prepared in accordance with U.S. GAAP. The preparation of these condensed consolidated financial statements requires us to make estimates and judgments that affect our reported assets, liabilities, revenues, expenses, and related disclosures. Actual results may differ materially from these estimates under different assumptions and conditions.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in the six months ended June 30, 2026. For further information, refer to our summary of significant accounting policies and estimates in our Annual Report on Form 10-K filed for the year ended December 31, 2025.</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Cautionary Note Regarding Forward-Looking Statements </w:t>
      </w:r>
    </w:p>
    <w:p>
      <w:pPr>
        <w:pStyle w:val="TextBody"/>
        <w:bidi w:val="0"/>
        <w:spacing w:before="0" w:after="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rPr>
        <w:t>This report, including the documents incorporated by reference herein, contains certain statements that describe our management’s beliefs concerning future business conditions, plans and prospects, growth opportunities and the outlook for our business based upon information currently available. Such statements are “forward-looking” statements within the meaning of the Private Securities Litigation Reform Act of 1995, Section 27A of the Securities Act of 1933, as amended, and Section 21E of the Securities Exchange Act of 1934, as amended (“Exchange Act”). Wherever possible, we have identified these forward-looking statements by words such as “will,” “may,” “anticipates,” “believes,” “intends,” “estimates,” “expects,” “plans,” “projects,” “trends,” “opportunity,” “current,” “intention,” “position,” “assume,” “potential,” “outlook,” “remain,” “continue,” “maintain,” “sustain,” “seek,” “target,” “achieve,” “continuing,” “ongoing,” and similar words or phrases, or future or conditional verbs such as “would,” “should,” “could,” “may,” or similar expressions. Among the factors that could cause actual results to differ materially from those set forth in the forward-looking statements include, but are not limited to, uncertainties associated with our expectations regarding future revenue, growth in revenue, market penetration for MACI</w:t>
      </w:r>
      <w:r>
        <w:rPr>
          <w:rFonts w:ascii="Times New Roman;serif" w:hAnsi="Times New Roman;serif"/>
          <w:b w:val="false"/>
          <w:color w:val="000000"/>
          <w:sz w:val="13"/>
        </w:rPr>
        <w:t>®</w:t>
      </w:r>
      <w:r>
        <w:rPr>
          <w:rFonts w:ascii="Times New Roman;serif" w:hAnsi="Times New Roman;serif"/>
          <w:b w:val="false"/>
          <w:color w:val="000000"/>
          <w:sz w:val="20"/>
        </w:rPr>
        <w:t>, MACI Arthro</w:t>
      </w:r>
      <w:r>
        <w:rPr>
          <w:rFonts w:ascii="Times New Roman;serif" w:hAnsi="Times New Roman;serif"/>
          <w:b w:val="false"/>
          <w:color w:val="000000"/>
          <w:sz w:val="13"/>
        </w:rPr>
        <w: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Epicel</w:t>
      </w:r>
      <w:r>
        <w:rPr>
          <w:rFonts w:ascii="Times New Roman;serif" w:hAnsi="Times New Roman;serif"/>
          <w:b w:val="false"/>
          <w:color w:val="000000"/>
          <w:sz w:val="13"/>
        </w:rPr>
        <w:t>®</w:t>
      </w:r>
      <w:r>
        <w:rPr>
          <w:rFonts w:ascii="Times New Roman;serif" w:hAnsi="Times New Roman;serif"/>
          <w:b w:val="false"/>
          <w:color w:val="000000"/>
          <w:sz w:val="20"/>
        </w:rPr>
        <w:t>, and NexoBrid</w:t>
      </w:r>
      <w:r>
        <w:rPr>
          <w:rFonts w:ascii="Times New Roman;serif" w:hAnsi="Times New Roman;serif"/>
          <w:b w:val="false"/>
          <w:color w:val="000000"/>
          <w:sz w:val="13"/>
        </w:rPr>
        <w:t xml:space="preserve">® </w:t>
      </w:r>
      <w:r>
        <w:rPr>
          <w:rFonts w:ascii="Times New Roman;serif" w:hAnsi="Times New Roman;serif"/>
          <w:b w:val="false"/>
          <w:color w:val="000000"/>
          <w:sz w:val="20"/>
        </w:rPr>
        <w:t>in the U.S. and in applicable markets outside the U.S., growth in profit, gross margins and operating margins, the ability to continue to scale our manufacturing operations to meet the demand for our cell therapy products, the ability to sustain profitability, the expected target surgeon audience, potential fluctuations in sales and volumes and our results of operations over the course of the year, timing and conduct of clinical trial and product development activities, timing and likelihood of the FDA’s potential approval of the use of MACI to treat cartilage defects in the ankle, the timing and likelihood of obtaining market approval for MACI in the United Kingdom, the estimate of the commercial growth potential of our products and product candidates, competitive developments, changes in third-party coverage and reimbursement, including recent and future healthcare and drug pricing reform measures and private payor initiatives, surgeon adoption of MACI Arthro, physician and burn center adoption of NexoBrid, labor strikes, supply chain disruptions or other events or factors that might affect our ability to manufacture MACI or Epicel or affect MediWound’s ability to manufacture and supply sufficient quantities of NexoBrid to meet customer demand, including but not limited to conflicts in the Middle East region involving Israel or those related to disruptions of land or sea transportation routes or distribution or shipping channels, uncertainties associated with the potential benefits of the Company’s agreement with BARDA for the procurement and development of NexoBrid and the availability of funding from BARDA under that agreement, negative impacts on the global economy and capital markets resulting from the conflicts in Ukraine and Iran, as well as other hostilities in the Middle East, changes in trade policies and regulations, including the potential for increases or changes in duties, current and potentially new tariffs or quotas, lingering effects of adverse developments affecting financial institutions, companies in the financial services industry or the financial services industry generally, changes in governmental monetary and fiscal policies, including, but not limited to, Federal Reserve policies in connection with continued inflationary pressures, the impact from future regulatory, judicial and legislative changes affecting our industry or to the broader market, including those included in the One Big Beautiful Bill Act (the “OBBBA”), and a U.S. government shutdown. These forward-looking statements are based upon assumptions our management believes are reasonable. Such forward-looking statements are subject to risks and uncertainties, which could cause our actual results, performance and achievements to differ materially from those expressed in, or implied by, these statements, including, among others, the risks and uncertainties listed in our Annual Report on Form 10-K under “Part I, Item 1A. Risk Factors” and in our subsequent reports filed with the SEC.</w:t>
      </w:r>
    </w:p>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2727dc015d44a9bbd26ee8a4ef4c08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Because our forward-looking statements are based on estimates and assumptions that are subject to significant business, economic and competitive uncertainties, many of which are beyond our control or are subject to change, actual results could be materially different and any or all of our forward-looking statements may turn out to be wrong. Forward-looking statements speak only as of the date made and can be affected by assumptions we might make or by known or unknown risks and uncertainties. Many factors mentioned in our discussion in our Annual Report on Form 10-K will be important in determining future results. New factors emerge from time to time, and it is not possible for us to predict which factors will arise. Consequently, we cannot assure you that our expectations or forecasts expressed in such forward-looking statements will be achieved. Except as required by law, we undertake no obligation to publicly update any of our forward-looking or other statements, whether as a result of new information, future events, or otherwise. </w:t>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quantitative and qualitative disclosures about market risk, see “Part II, Item 7A. Quantitative and Qualitative Disclosures About Market Risk” of our Annual Report on Form 10-K for the year ended December 31, 2025. Our exposures to market risk have not changed materially since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Management of the Company, with the participation of its Chief Executive Officer and Chief Financial Officer (its Certifying Officers), evaluated the effectiveness of the Company’s disclosure controls and procedures as defined in Rules 13a-15(e) and 15d-15(e) under the Exchange Act. Based on the evaluation as of June 30, 2026, the Company’s Certifying Officers concluded that the Company’s disclosure controls and procedures were effective.</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has established disclosure controls and procedures designed to ensure that information required to be disclosed by the Company in the reports that it files or submits under the Exchange Act, is recorded, processed, summarized and reported within the time periods specified in the U.S. Securities and Exchange Commission’s rules and forms, and that such information is accumulated and communicated to management of the Company, with the participation of its Certifying Officers,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there were no material changes made in our internal control over financial reporting (as such term is defined in Rules 13a-15(f) and 15d-15(f) of the Exchange Act).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2727dc015d44a9bbd26ee8a4ef4c08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are currently not party to any material legal proceedings, although from time to time we may become involved in disputes in connection with the operation of our business.</w:t>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Factors that could cause the Company’s actual results to differ materially from those in this Quarterly Report are any of the risks described in our Annual Report on Form 10-K for the fiscal year ended December 31, 2025, filed with the SEC on February 26, 2026. Any of these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Quarterly Report on Form 10-Q, there have been no material changes to the risk factors disclosed in our Annual Report on Form 10-K for the fiscal year ended December 31, 2025. </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following Section 16 officers or directors adopted, modified or terminated a “Rule 10b5-1 trading arrangement” (as defined in Item 408 of Regulation S-K of the Exchange Act).</w:t>
      </w:r>
    </w:p>
    <w:p>
      <w:pPr>
        <w:pStyle w:val="TextBody"/>
        <w:bidi w:val="0"/>
        <w:spacing w:before="0" w:after="0"/>
        <w:ind w:left="0" w:right="0" w:firstLine="27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On May 19, 2026, Robert Zerbe, Chairman of the Vericel Corporation Board of Directors, entered into a Rule 10b5-1 trading arrangement providing for the potential sale of up to 33,750 shares of our common stock between August 31, 2026 and September 30, 2027.</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There were no “non-Rule 10b5-1 trading arrangements” (as defined in Item 408 of Regulation S-K of the Exchange Act) adopted, modified or terminated during the three months ended June 30, 2026 by our Section 16 officers or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2727dc015d44a9bbd26ee8a4ef4c08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Exhibits listed in the Exhibit Index are filed as a part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EXHIBIT INDEX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23"/>
        <w:gridCol w:w="285"/>
        <w:gridCol w:w="287"/>
        <w:gridCol w:w="109"/>
        <w:gridCol w:w="109"/>
        <w:gridCol w:w="109"/>
        <w:gridCol w:w="1663"/>
        <w:gridCol w:w="1379"/>
        <w:gridCol w:w="1377"/>
        <w:gridCol w:w="109"/>
        <w:gridCol w:w="109"/>
        <w:gridCol w:w="109"/>
        <w:gridCol w:w="170"/>
        <w:gridCol w:w="170"/>
        <w:gridCol w:w="171"/>
        <w:gridCol w:w="109"/>
        <w:gridCol w:w="109"/>
        <w:gridCol w:w="109"/>
        <w:gridCol w:w="306"/>
        <w:gridCol w:w="276"/>
        <w:gridCol w:w="278"/>
        <w:gridCol w:w="109"/>
        <w:gridCol w:w="109"/>
        <w:gridCol w:w="109"/>
        <w:gridCol w:w="210"/>
        <w:gridCol w:w="210"/>
        <w:gridCol w:w="211"/>
        <w:gridCol w:w="109"/>
        <w:gridCol w:w="109"/>
        <w:gridCol w:w="109"/>
        <w:gridCol w:w="378"/>
        <w:gridCol w:w="359"/>
        <w:gridCol w:w="517"/>
      </w:tblGrid>
      <w:tr>
        <w:trPr/>
        <w:tc>
          <w:tcPr>
            <w:tcW w:w="32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Restated Articles of Incorporation of the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17, 2009</w:t>
            </w:r>
          </w:p>
        </w:tc>
      </w:tr>
      <w:tr>
        <w:trPr/>
        <w:tc>
          <w:tcPr>
            <w:tcW w:w="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Certificate of Amendment to Restated Articles of Incorporation of the Company dated February 9, 2010.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333-160044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2010</w:t>
            </w:r>
          </w:p>
        </w:tc>
      </w:tr>
      <w:tr>
        <w:trPr/>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Certificate of Amendment to Restated Articles of Incorporation of the Company dated March 22, 2011.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25, 2011</w:t>
            </w:r>
          </w:p>
        </w:tc>
      </w:tr>
      <w:tr>
        <w:trPr/>
        <w:tc>
          <w:tcPr>
            <w:tcW w:w="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Certificate of Amendment to the Restated Articles of Incorporation of the Company, dated November 21, 2014.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001-35280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24, 2014</w:t>
            </w:r>
          </w:p>
        </w:tc>
      </w:tr>
      <w:tr>
        <w:trPr/>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80"/>
                  <w:sz w:val="20"/>
                  <w:u w:val="single"/>
                </w:rPr>
                <w:t>Sec</w:t>
              </w:r>
            </w:hyperlink>
            <w:hyperlink r:id="rId7">
              <w:r>
                <w:rPr>
                  <w:rStyle w:val="InternetLink"/>
                  <w:rFonts w:ascii="Times New Roman;serif" w:hAnsi="Times New Roman;serif"/>
                  <w:b w:val="false"/>
                  <w:color w:val="000080"/>
                  <w:sz w:val="20"/>
                  <w:u w:val="single"/>
                </w:rPr>
                <w:t xml:space="preserve">ond </w:t>
              </w:r>
            </w:hyperlink>
            <w:hyperlink r:id="rId8">
              <w:r>
                <w:rPr>
                  <w:rStyle w:val="InternetLink"/>
                  <w:rFonts w:ascii="Times New Roman;serif" w:hAnsi="Times New Roman;serif"/>
                  <w:b w:val="false"/>
                  <w:color w:val="000080"/>
                  <w:sz w:val="20"/>
                  <w:u w:val="single"/>
                </w:rPr>
                <w:t xml:space="preserve">Amended and </w:t>
              </w:r>
            </w:hyperlink>
            <w:hyperlink r:id="rId9">
              <w:r>
                <w:rPr>
                  <w:rStyle w:val="InternetLink"/>
                  <w:rFonts w:ascii="Times New Roman;serif" w:hAnsi="Times New Roman;serif"/>
                  <w:b w:val="false"/>
                  <w:color w:val="000080"/>
                  <w:sz w:val="20"/>
                  <w:u w:val="single"/>
                </w:rPr>
                <w:t>R</w:t>
              </w:r>
            </w:hyperlink>
            <w:hyperlink r:id="rId10">
              <w:r>
                <w:rPr>
                  <w:rStyle w:val="InternetLink"/>
                  <w:rFonts w:ascii="Times New Roman;serif" w:hAnsi="Times New Roman;serif"/>
                  <w:b w:val="false"/>
                  <w:color w:val="000080"/>
                  <w:sz w:val="20"/>
                  <w:u w:val="single"/>
                </w:rPr>
                <w:t xml:space="preserve">estated </w:t>
              </w:r>
            </w:hyperlink>
            <w:hyperlink r:id="rId11">
              <w:r>
                <w:rPr>
                  <w:rStyle w:val="InternetLink"/>
                  <w:rFonts w:ascii="Times New Roman;serif" w:hAnsi="Times New Roman;serif"/>
                  <w:b w:val="false"/>
                  <w:color w:val="000080"/>
                  <w:sz w:val="20"/>
                  <w:u w:val="single"/>
                </w:rPr>
                <w:t>B</w:t>
              </w:r>
            </w:hyperlink>
            <w:hyperlink r:id="rId12">
              <w:r>
                <w:rPr>
                  <w:rStyle w:val="InternetLink"/>
                  <w:rFonts w:ascii="Times New Roman;serif" w:hAnsi="Times New Roman;serif"/>
                  <w:b w:val="false"/>
                  <w:color w:val="000080"/>
                  <w:sz w:val="20"/>
                  <w:u w:val="single"/>
                </w:rPr>
                <w:t>ylaws</w:t>
              </w:r>
            </w:hyperlink>
            <w:hyperlink r:id="rId13">
              <w:r>
                <w:rPr>
                  <w:rStyle w:val="InternetLink"/>
                  <w:rFonts w:ascii="Times New Roman;serif" w:hAnsi="Times New Roman;serif"/>
                  <w:b w:val="false"/>
                  <w:color w:val="000080"/>
                  <w:sz w:val="20"/>
                  <w:u w:val="single"/>
                </w:rPr>
                <w:t xml:space="preserve"> of Vericel Corporation, effective as of May 18, 2026</w:t>
              </w:r>
            </w:hyperlink>
            <w:hyperlink r:id="rId14">
              <w:r>
                <w:rPr>
                  <w:rStyle w:val="InternetLink"/>
                  <w:rFonts w:ascii="Times New Roman;serif" w:hAnsi="Times New Roman;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001-35280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18, 2026</w:t>
            </w:r>
          </w:p>
        </w:tc>
      </w:tr>
      <w:tr>
        <w:trPr/>
        <w:tc>
          <w:tcPr>
            <w:tcW w:w="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Description of Capital Stock.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001-35280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2020</w:t>
            </w:r>
          </w:p>
        </w:tc>
      </w:tr>
      <w:tr>
        <w:trPr/>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1ceocertificationq22026.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12cfocertificationq22026.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1ceoandcfosoxcertifica.htm">
              <w:r>
                <w:rPr>
                  <w:rStyle w:val="InternetLink"/>
                  <w:rFonts w:ascii="Times New Roman;serif" w:hAnsi="Times New Roman;serif"/>
                  <w:b w:val="false"/>
                  <w:color w:val="0000FF"/>
                  <w:sz w:val="20"/>
                  <w:u w:val="single"/>
                </w:rPr>
                <w:t>Certification of Chief Executive Officer and Chief Financial Officer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2727dc015d44a9bbd26ee8a4ef4c08e_4">
              <w:r>
                <w:rPr>
                  <w:rStyle w:val="InternetLink"/>
                  <w:rFonts w:ascii="Times New Roman;serif" w:hAnsi="Times New Roman;serif"/>
                  <w:b w:val="false"/>
                  <w:color w:val="0000FF"/>
                  <w:sz w:val="20"/>
                  <w:u w:val="single"/>
                </w:rPr>
                <w:t>Cover Page Interactive Data File (formatted as inline XBRL and contained in Exhibit 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Filed herewith.</w:t>
      </w:r>
    </w:p>
    <w:p>
      <w:pPr>
        <w:pStyle w:val="TextBody"/>
        <w:bidi w:val="0"/>
        <w:spacing w:before="0" w:after="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f2727dc015d44a9bbd26ee8a4ef4c08e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30, 2026 </w:t>
      </w:r>
    </w:p>
    <w:p>
      <w:pPr>
        <w:pStyle w:val="TextBody"/>
        <w:bidi w:val="0"/>
        <w:spacing w:lineRule="auto" w:line="288" w:before="0" w:after="0"/>
        <w:jc w:val="left"/>
        <w:rPr>
          <w:color w:val="000000"/>
        </w:rPr>
      </w:pPr>
      <w:r>
        <w:rPr>
          <w:color w:val="000000"/>
        </w:rPr>
        <w:t> </w:t>
      </w:r>
    </w:p>
    <w:tbl>
      <w:tblPr>
        <w:tblW w:w="3581" w:type="dxa"/>
        <w:jc w:val="left"/>
        <w:tblInd w:w="0" w:type="dxa"/>
        <w:tblLayout w:type="fixed"/>
        <w:tblCellMar>
          <w:top w:w="28" w:type="dxa"/>
          <w:left w:w="28" w:type="dxa"/>
          <w:bottom w:w="28" w:type="dxa"/>
          <w:right w:w="28" w:type="dxa"/>
        </w:tblCellMar>
      </w:tblPr>
      <w:tblGrid>
        <w:gridCol w:w="124"/>
        <w:gridCol w:w="109"/>
        <w:gridCol w:w="109"/>
        <w:gridCol w:w="948"/>
        <w:gridCol w:w="948"/>
        <w:gridCol w:w="13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VERICEL CORPORATION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DOMINICK C. COLANGELO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Dominick C. Colangelo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JOSEPH A. MARA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Joseph A. Mara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Dominick C. Colangelo,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I have reviewed this Quarterly Report on Form 10-Q of Vericel Corporation;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4.</w:t>
      </w:r>
      <w:r>
        <w:rPr>
          <w:color w:val="000000"/>
        </w:rPr>
        <w:t xml:space="preserve">                        </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1305"/>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firstLine="1305"/>
        <w:jc w:val="left"/>
        <w:rPr>
          <w:color w:val="000000"/>
        </w:rPr>
      </w:pPr>
      <w:r>
        <w:rPr>
          <w:color w:val="000000"/>
        </w:rPr>
        <w:t> </w:t>
      </w:r>
    </w:p>
    <w:p>
      <w:pPr>
        <w:pStyle w:val="TextBody"/>
        <w:bidi w:val="0"/>
        <w:spacing w:lineRule="auto" w:line="288" w:before="0" w:after="0"/>
        <w:ind w:left="0" w:right="0" w:firstLine="1305"/>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firstLine="1305"/>
        <w:jc w:val="left"/>
        <w:rPr>
          <w:color w:val="000000"/>
        </w:rPr>
      </w:pPr>
      <w:r>
        <w:rPr>
          <w:color w:val="000000"/>
        </w:rPr>
        <w:t> </w:t>
      </w:r>
    </w:p>
    <w:p>
      <w:pPr>
        <w:pStyle w:val="TextBody"/>
        <w:bidi w:val="0"/>
        <w:spacing w:lineRule="auto" w:line="288" w:before="0" w:after="0"/>
        <w:ind w:left="0" w:right="0" w:firstLine="1305"/>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1305"/>
        <w:jc w:val="left"/>
        <w:rPr>
          <w:color w:val="000000"/>
        </w:rPr>
      </w:pPr>
      <w:r>
        <w:rPr>
          <w:color w:val="000000"/>
        </w:rPr>
        <w:t> </w:t>
      </w:r>
    </w:p>
    <w:p>
      <w:pPr>
        <w:pStyle w:val="TextBody"/>
        <w:bidi w:val="0"/>
        <w:spacing w:lineRule="auto" w:line="288" w:before="0" w:after="0"/>
        <w:ind w:left="0" w:right="0" w:firstLine="1305"/>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firstLine="1305"/>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1305"/>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1305"/>
        <w:jc w:val="left"/>
        <w:rPr>
          <w:color w:val="000000"/>
        </w:rPr>
      </w:pPr>
      <w:r>
        <w:rPr>
          <w:color w:val="000000"/>
        </w:rPr>
        <w:t> </w:t>
      </w:r>
    </w:p>
    <w:p>
      <w:pPr>
        <w:pStyle w:val="TextBody"/>
        <w:bidi w:val="0"/>
        <w:spacing w:lineRule="auto" w:line="288" w:before="0" w:after="0"/>
        <w:ind w:left="0" w:right="0" w:firstLine="1305"/>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585"/>
        <w:jc w:val="left"/>
        <w:rPr/>
      </w:pPr>
      <w:r>
        <w:rPr/>
      </w:r>
    </w:p>
    <w:p>
      <w:pPr>
        <w:pStyle w:val="TextBody"/>
        <w:bidi w:val="0"/>
        <w:spacing w:lineRule="auto" w:line="288" w:before="0" w:after="0"/>
        <w:ind w:left="0" w:right="0" w:firstLine="585"/>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30, 2026 </w:t>
      </w:r>
    </w:p>
    <w:p>
      <w:pPr>
        <w:pStyle w:val="TextBody"/>
        <w:bidi w:val="0"/>
        <w:spacing w:lineRule="auto" w:line="288" w:before="0" w:after="0"/>
        <w:jc w:val="center"/>
        <w:rPr>
          <w:color w:val="000000"/>
        </w:rPr>
      </w:pPr>
      <w:r>
        <w:rPr>
          <w:color w:val="000000"/>
        </w:rPr>
        <w:t> </w:t>
      </w:r>
    </w:p>
    <w:tbl>
      <w:tblPr>
        <w:tblW w:w="39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49"/>
        <w:gridCol w:w="949"/>
        <w:gridCol w:w="13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DOMINICK C. COLANGELO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Dominick C. Colangelo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Joseph A. Mara,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Vericel Corporation; </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firstLine="585"/>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firstLine="585"/>
        <w:jc w:val="left"/>
        <w:rPr>
          <w:color w:val="000000"/>
        </w:rPr>
      </w:pPr>
      <w:r>
        <w:rPr>
          <w:color w:val="000000"/>
        </w:rPr>
        <w:t> </w:t>
      </w:r>
    </w:p>
    <w:p>
      <w:pPr>
        <w:pStyle w:val="TextBody"/>
        <w:bidi w:val="0"/>
        <w:spacing w:lineRule="auto" w:line="288" w:before="0" w:after="0"/>
        <w:ind w:left="0" w:right="0" w:firstLine="585"/>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firstLine="585"/>
        <w:jc w:val="left"/>
        <w:rPr>
          <w:color w:val="000000"/>
        </w:rPr>
      </w:pPr>
      <w:r>
        <w:rPr>
          <w:color w:val="000000"/>
        </w:rPr>
        <w:t> </w:t>
      </w:r>
    </w:p>
    <w:p>
      <w:pPr>
        <w:pStyle w:val="TextBody"/>
        <w:bidi w:val="0"/>
        <w:spacing w:lineRule="auto" w:line="288" w:before="0" w:after="0"/>
        <w:ind w:left="0" w:right="0" w:firstLine="585"/>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585"/>
        <w:jc w:val="left"/>
        <w:rPr>
          <w:color w:val="000000"/>
        </w:rPr>
      </w:pPr>
      <w:r>
        <w:rPr>
          <w:color w:val="000000"/>
        </w:rPr>
        <w:t> </w:t>
      </w:r>
    </w:p>
    <w:p>
      <w:pPr>
        <w:pStyle w:val="TextBody"/>
        <w:bidi w:val="0"/>
        <w:spacing w:lineRule="auto" w:line="288" w:before="0" w:after="0"/>
        <w:ind w:left="0" w:right="0" w:firstLine="585"/>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firstLine="585"/>
        <w:jc w:val="left"/>
        <w:rPr>
          <w:color w:val="000000"/>
        </w:rPr>
      </w:pPr>
      <w:r>
        <w:rPr>
          <w:color w:val="000000"/>
        </w:rPr>
        <w:t> </w:t>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firstLine="585"/>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585"/>
        <w:jc w:val="left"/>
        <w:rPr>
          <w:color w:val="000000"/>
        </w:rPr>
      </w:pPr>
      <w:r>
        <w:rPr>
          <w:color w:val="000000"/>
        </w:rPr>
        <w:t> </w:t>
      </w:r>
    </w:p>
    <w:p>
      <w:pPr>
        <w:pStyle w:val="TextBody"/>
        <w:bidi w:val="0"/>
        <w:spacing w:lineRule="auto" w:line="288" w:before="0" w:after="0"/>
        <w:ind w:left="0" w:right="0" w:firstLine="585"/>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585"/>
        <w:jc w:val="left"/>
        <w:rPr/>
      </w:pPr>
      <w:r>
        <w:rPr/>
      </w:r>
    </w:p>
    <w:p>
      <w:pPr>
        <w:pStyle w:val="TextBody"/>
        <w:bidi w:val="0"/>
        <w:spacing w:lineRule="auto" w:line="288" w:before="0" w:after="0"/>
        <w:ind w:left="0" w:right="0" w:firstLine="585"/>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30, 2026 </w:t>
      </w:r>
    </w:p>
    <w:p>
      <w:pPr>
        <w:pStyle w:val="TextBody"/>
        <w:bidi w:val="0"/>
        <w:spacing w:lineRule="auto" w:line="288" w:before="0" w:after="0"/>
        <w:jc w:val="center"/>
        <w:rPr>
          <w:color w:val="000000"/>
        </w:rPr>
      </w:pPr>
      <w:r>
        <w:rPr>
          <w:color w:val="000000"/>
        </w:rPr>
        <w:t> </w:t>
      </w:r>
    </w:p>
    <w:tbl>
      <w:tblPr>
        <w:tblW w:w="31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36"/>
        <w:gridCol w:w="736"/>
        <w:gridCol w:w="10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JOSEPH A. MARA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Joseph A. Mara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40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Vericel Corporation (the “Company”) on Form 10-Q for the quarter ended June 30, 2026, as filed with the Securities and Exchange Commission on the date hereof (the “Report”), the undersigned officer of the Company certifies, pursuant to 18 U.S.C. Section 1350, as adopted pursuant to Section 906 of the Sarbanes-Oxley Act of 2002 (“Section 906”), the following:</w:t>
      </w:r>
    </w:p>
    <w:p>
      <w:pPr>
        <w:pStyle w:val="TextBody"/>
        <w:bidi w:val="0"/>
        <w:spacing w:lineRule="auto" w:line="288" w:before="0" w:after="0"/>
        <w:ind w:left="0" w:right="0" w:firstLine="405"/>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The Report fully complies with the requirements of section 13(a) and 15(d) of the Securities Exchange Act of 1934;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30, 2026 </w:t>
      </w:r>
    </w:p>
    <w:p>
      <w:pPr>
        <w:pStyle w:val="TextBody"/>
        <w:bidi w:val="0"/>
        <w:spacing w:lineRule="auto" w:line="288" w:before="0" w:after="0"/>
        <w:jc w:val="left"/>
        <w:rPr>
          <w:color w:val="000000"/>
        </w:rPr>
      </w:pPr>
      <w:r>
        <w:rPr>
          <w:color w:val="000000"/>
        </w:rPr>
        <w:t> </w:t>
      </w:r>
    </w:p>
    <w:tbl>
      <w:tblPr>
        <w:tblW w:w="3581" w:type="dxa"/>
        <w:jc w:val="left"/>
        <w:tblInd w:w="0" w:type="dxa"/>
        <w:tblLayout w:type="fixed"/>
        <w:tblCellMar>
          <w:top w:w="28" w:type="dxa"/>
          <w:left w:w="28" w:type="dxa"/>
          <w:bottom w:w="28" w:type="dxa"/>
          <w:right w:w="28" w:type="dxa"/>
        </w:tblCellMar>
      </w:tblPr>
      <w:tblGrid>
        <w:gridCol w:w="124"/>
        <w:gridCol w:w="109"/>
        <w:gridCol w:w="109"/>
        <w:gridCol w:w="949"/>
        <w:gridCol w:w="949"/>
        <w:gridCol w:w="13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DOMINICK C. COLANGELO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Dominick C. Colangelo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tbl>
      <w:tblPr>
        <w:tblW w:w="2861" w:type="dxa"/>
        <w:jc w:val="left"/>
        <w:tblInd w:w="0" w:type="dxa"/>
        <w:tblLayout w:type="fixed"/>
        <w:tblCellMar>
          <w:top w:w="28" w:type="dxa"/>
          <w:left w:w="28" w:type="dxa"/>
          <w:bottom w:w="28" w:type="dxa"/>
          <w:right w:w="28" w:type="dxa"/>
        </w:tblCellMar>
      </w:tblPr>
      <w:tblGrid>
        <w:gridCol w:w="124"/>
        <w:gridCol w:w="109"/>
        <w:gridCol w:w="109"/>
        <w:gridCol w:w="735"/>
        <w:gridCol w:w="735"/>
        <w:gridCol w:w="10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JOSEPH MARA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Joseph Mara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100" w:after="283"/>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Vericel Corporation and will be retained by Vericel Corporation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87359/000129993309004957/exhibit1.htm" TargetMode="External"/><Relationship Id="rId3" Type="http://schemas.openxmlformats.org/officeDocument/2006/relationships/hyperlink" Target="https://www.sec.gov/Archives/edgar/data/887359/000095012310030777/b80276exv3w2.htm" TargetMode="External"/><Relationship Id="rId4" Type="http://schemas.openxmlformats.org/officeDocument/2006/relationships/hyperlink" Target="https://www.sec.gov/Archives/edgar/data/887359/000095012311029237/a59068exv3w1.htm" TargetMode="External"/><Relationship Id="rId5" Type="http://schemas.openxmlformats.org/officeDocument/2006/relationships/hyperlink" Target="https://www.sec.gov/Archives/edgar/data/887359/000110465914083052/a14-25082_1ex3d1.htm" TargetMode="External"/><Relationship Id="rId6" Type="http://schemas.openxmlformats.org/officeDocument/2006/relationships/hyperlink" Target="https://www.sec.gov/Archives/edgar/data/887359/000114036126021892/ef20073865_ex3-1.htm" TargetMode="External"/><Relationship Id="rId7" Type="http://schemas.openxmlformats.org/officeDocument/2006/relationships/hyperlink" Target="https://www.sec.gov/Archives/edgar/data/887359/000114036126021892/ef20073865_ex3-1.htm" TargetMode="External"/><Relationship Id="rId8" Type="http://schemas.openxmlformats.org/officeDocument/2006/relationships/hyperlink" Target="https://www.sec.gov/Archives/edgar/data/887359/000114036126021892/ef20073865_ex3-1.htm" TargetMode="External"/><Relationship Id="rId9" Type="http://schemas.openxmlformats.org/officeDocument/2006/relationships/hyperlink" Target="https://www.sec.gov/Archives/edgar/data/887359/000114036126021892/ef20073865_ex3-1.htm" TargetMode="External"/><Relationship Id="rId10" Type="http://schemas.openxmlformats.org/officeDocument/2006/relationships/hyperlink" Target="https://www.sec.gov/Archives/edgar/data/887359/000114036126021892/ef20073865_ex3-1.htm" TargetMode="External"/><Relationship Id="rId11" Type="http://schemas.openxmlformats.org/officeDocument/2006/relationships/hyperlink" Target="https://www.sec.gov/Archives/edgar/data/887359/000114036126021892/ef20073865_ex3-1.htm" TargetMode="External"/><Relationship Id="rId12" Type="http://schemas.openxmlformats.org/officeDocument/2006/relationships/hyperlink" Target="https://www.sec.gov/Archives/edgar/data/887359/000114036126021892/ef20073865_ex3-1.htm" TargetMode="External"/><Relationship Id="rId13" Type="http://schemas.openxmlformats.org/officeDocument/2006/relationships/hyperlink" Target="https://www.sec.gov/Archives/edgar/data/887359/000114036126021892/ef20073865_ex3-1.htm" TargetMode="External"/><Relationship Id="rId14" Type="http://schemas.openxmlformats.org/officeDocument/2006/relationships/hyperlink" Target="https://www.sec.gov/Archives/edgar/data/887359/000114036126021892/ef20073865_ex3-1.htm" TargetMode="External"/><Relationship Id="rId15" Type="http://schemas.openxmlformats.org/officeDocument/2006/relationships/hyperlink" Target="https://www.sec.gov/Archives/edgar/data/887359/000162828020002229/ex45descriptionofcapit.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15375</Words>
  <Characters>86414</Characters>
  <CharactersWithSpaces>100955</CharactersWithSpaces>
  <Paragraphs>2091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