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ind w:left="60"/>
        <w:spacing w:after="0"/>
        <w:rPr>
          <w:sz w:val="20"/>
          <w:szCs w:val="20"/>
          <w:color w:val="auto"/>
        </w:rPr>
      </w:pPr>
      <w:r>
        <w:rPr>
          <w:rFonts w:ascii="Arial" w:cs="Arial" w:eastAsia="Arial" w:hAnsi="Arial"/>
          <w:sz w:val="18"/>
          <w:szCs w:val="18"/>
          <w:b w:val="1"/>
          <w:bCs w:val="1"/>
          <w:color w:val="auto"/>
        </w:rPr>
        <w:t>(Mark One)</w:t>
      </w:r>
    </w:p>
    <w:p>
      <w:pPr>
        <w:spacing w:after="0" w:line="115" w:lineRule="exact"/>
        <w:rPr>
          <w:sz w:val="24"/>
          <w:szCs w:val="24"/>
          <w:color w:val="auto"/>
        </w:rPr>
      </w:pPr>
    </w:p>
    <w:p>
      <w:pPr>
        <w:ind w:left="540" w:hanging="208"/>
        <w:spacing w:after="0"/>
        <w:tabs>
          <w:tab w:leader="none" w:pos="540" w:val="left"/>
        </w:tabs>
        <w:numPr>
          <w:ilvl w:val="0"/>
          <w:numId w:val="1"/>
        </w:numPr>
        <w:rPr>
          <w:rFonts w:ascii="Arial" w:cs="Arial" w:eastAsia="Arial" w:hAnsi="Arial"/>
          <w:sz w:val="19"/>
          <w:szCs w:val="19"/>
          <w:color w:val="auto"/>
        </w:rPr>
      </w:pPr>
      <w:r>
        <w:rPr>
          <w:rFonts w:ascii="Arial" w:cs="Arial" w:eastAsia="Arial" w:hAnsi="Arial"/>
          <w:sz w:val="21"/>
          <w:szCs w:val="21"/>
          <w:b w:val="1"/>
          <w:bCs w:val="1"/>
          <w:color w:val="auto"/>
        </w:rPr>
        <w:t>QUARTERLY REPORT PURSUANT TO SECTION 13 OR 15(D) OF THE SECURITIES EXCHANGE ACT OF</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1934</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right="260" w:firstLine="324"/>
        <w:spacing w:after="0" w:line="250" w:lineRule="auto"/>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jc w:val="center"/>
        <w:ind w:right="-19"/>
        <w:spacing w:after="0" w:line="197" w:lineRule="auto"/>
        <w:rPr>
          <w:sz w:val="20"/>
          <w:szCs w:val="20"/>
          <w:color w:val="auto"/>
        </w:rPr>
      </w:pPr>
      <w:r>
        <w:rPr>
          <w:rFonts w:ascii="Arial" w:cs="Arial" w:eastAsia="Arial" w:hAnsi="Arial"/>
          <w:sz w:val="18"/>
          <w:szCs w:val="18"/>
          <w:b w:val="1"/>
          <w:bCs w:val="1"/>
          <w:color w:val="auto"/>
        </w:rPr>
        <w:t>Commission file number 001-35280</w:t>
      </w:r>
    </w:p>
    <w:p>
      <w:pPr>
        <w:jc w:val="center"/>
        <w:ind w:right="-19"/>
        <w:spacing w:after="0" w:line="216" w:lineRule="auto"/>
        <w:rPr>
          <w:sz w:val="20"/>
          <w:szCs w:val="20"/>
          <w:color w:val="auto"/>
        </w:rPr>
      </w:pPr>
      <w:r>
        <w:rPr>
          <w:rFonts w:ascii="Arial" w:cs="Arial" w:eastAsia="Arial" w:hAnsi="Arial"/>
          <w:sz w:val="32"/>
          <w:szCs w:val="32"/>
          <w:b w:val="1"/>
          <w:bCs w:val="1"/>
          <w:color w:val="auto"/>
        </w:rPr>
        <w:t>VERICEL CORPORATION</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86" w:right="239" w:bottom="1440" w:gutter="0" w:footer="0" w:header="0"/>
        </w:sectPr>
      </w:pPr>
    </w:p>
    <w:p>
      <w:pPr>
        <w:spacing w:after="0" w:line="300"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Michigan</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94-3096597</w:t>
      </w:r>
    </w:p>
    <w:p>
      <w:pPr>
        <w:spacing w:after="0" w:line="90" w:lineRule="exact"/>
        <w:rPr>
          <w:sz w:val="24"/>
          <w:szCs w:val="24"/>
          <w:color w:val="auto"/>
        </w:rPr>
      </w:pPr>
    </w:p>
    <w:p>
      <w:pPr>
        <w:sectPr>
          <w:pgSz w:w="11900" w:h="16838" w:orient="portrait"/>
          <w:cols w:equalWidth="0" w:num="2">
            <w:col w:w="7380" w:space="720"/>
            <w:col w:w="3320"/>
          </w:cols>
          <w:pgMar w:left="240" w:top="786" w:right="239" w:bottom="1440" w:gutter="0" w:footer="0" w:header="0"/>
          <w:type w:val="continuous"/>
        </w:sectPr>
      </w:pPr>
    </w:p>
    <w:p>
      <w:pPr>
        <w:ind w:left="18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2">
            <w:col w:w="7220" w:space="720"/>
            <w:col w:w="3480"/>
          </w:cols>
          <w:pgMar w:left="240" w:top="786" w:right="2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160" w:space="720"/>
            <w:col w:w="3540"/>
          </w:cols>
          <w:pgMar w:left="240" w:top="786" w:right="239" w:bottom="1440" w:gutter="0" w:footer="0" w:header="0"/>
          <w:type w:val="continuous"/>
        </w:sectPr>
      </w:pP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64 Sidney Street</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Cambridge, MA 02139</w:t>
      </w:r>
    </w:p>
    <w:p>
      <w:pPr>
        <w:sectPr>
          <w:pgSz w:w="11900" w:h="16838" w:orient="portrait"/>
          <w:cols w:equalWidth="0" w:num="1">
            <w:col w:w="11420"/>
          </w:cols>
          <w:pgMar w:left="240" w:top="786" w:right="239" w:bottom="1440" w:gutter="0" w:footer="0" w:header="0"/>
          <w:type w:val="continuous"/>
        </w:sectPr>
      </w:pP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556-0311</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66" w:lineRule="exact"/>
        <w:rPr>
          <w:sz w:val="24"/>
          <w:szCs w:val="24"/>
          <w:color w:val="auto"/>
        </w:rPr>
      </w:pPr>
    </w:p>
    <w:p>
      <w:pPr>
        <w:ind w:right="140" w:firstLine="324"/>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o</w:t>
      </w:r>
    </w:p>
    <w:p>
      <w:pPr>
        <w:spacing w:after="0" w:line="123" w:lineRule="exact"/>
        <w:rPr>
          <w:sz w:val="24"/>
          <w:szCs w:val="24"/>
          <w:color w:val="auto"/>
        </w:rPr>
      </w:pPr>
    </w:p>
    <w:p>
      <w:pPr>
        <w:jc w:val="both"/>
        <w:ind w:firstLine="243"/>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x No - o</w:t>
      </w:r>
    </w:p>
    <w:p>
      <w:pPr>
        <w:spacing w:after="0" w:line="123" w:lineRule="exact"/>
        <w:rPr>
          <w:sz w:val="24"/>
          <w:szCs w:val="24"/>
          <w:color w:val="auto"/>
        </w:rPr>
      </w:pPr>
    </w:p>
    <w:p>
      <w:pPr>
        <w:ind w:right="40" w:firstLine="243"/>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1080" w:type="dxa"/>
        <w:tblCellMar>
          <w:top w:w="0" w:type="dxa"/>
          <w:left w:w="0" w:type="dxa"/>
          <w:bottom w:w="0" w:type="dxa"/>
          <w:right w:w="0" w:type="dxa"/>
        </w:tblCellMar>
      </w:tblPr>
      <w:tr>
        <w:trPr>
          <w:trHeight w:val="206"/>
        </w:trPr>
        <w:tc>
          <w:tcPr>
            <w:tcW w:w="4720" w:type="dxa"/>
            <w:vAlign w:val="bottom"/>
          </w:tcPr>
          <w:p>
            <w:pPr>
              <w:jc w:val="center"/>
              <w:ind w:right="1639"/>
              <w:spacing w:after="0"/>
              <w:rPr>
                <w:sz w:val="20"/>
                <w:szCs w:val="20"/>
                <w:color w:val="auto"/>
              </w:rPr>
            </w:pPr>
            <w:r>
              <w:rPr>
                <w:rFonts w:ascii="Arial" w:cs="Arial" w:eastAsia="Arial" w:hAnsi="Arial"/>
                <w:sz w:val="16"/>
                <w:szCs w:val="16"/>
                <w:color w:val="auto"/>
                <w:w w:val="92"/>
              </w:rPr>
              <w:t>Large accelerated filer - o</w:t>
            </w:r>
          </w:p>
        </w:tc>
        <w:tc>
          <w:tcPr>
            <w:tcW w:w="3720" w:type="dxa"/>
            <w:vAlign w:val="bottom"/>
          </w:tcPr>
          <w:p>
            <w:pPr>
              <w:jc w:val="center"/>
              <w:ind w:left="1619"/>
              <w:spacing w:after="0"/>
              <w:rPr>
                <w:sz w:val="20"/>
                <w:szCs w:val="20"/>
                <w:color w:val="auto"/>
              </w:rPr>
            </w:pPr>
            <w:r>
              <w:rPr>
                <w:rFonts w:ascii="Arial" w:cs="Arial" w:eastAsia="Arial" w:hAnsi="Arial"/>
                <w:sz w:val="16"/>
                <w:szCs w:val="16"/>
                <w:color w:val="auto"/>
                <w:w w:val="94"/>
              </w:rPr>
              <w:t>Accelerated filer - x</w:t>
            </w:r>
          </w:p>
        </w:tc>
      </w:tr>
      <w:tr>
        <w:trPr>
          <w:trHeight w:val="257"/>
        </w:trPr>
        <w:tc>
          <w:tcPr>
            <w:tcW w:w="4720" w:type="dxa"/>
            <w:vAlign w:val="bottom"/>
          </w:tcPr>
          <w:p>
            <w:pPr>
              <w:jc w:val="center"/>
              <w:ind w:right="1639"/>
              <w:spacing w:after="0"/>
              <w:rPr>
                <w:sz w:val="20"/>
                <w:szCs w:val="20"/>
                <w:color w:val="auto"/>
              </w:rPr>
            </w:pPr>
            <w:r>
              <w:rPr>
                <w:rFonts w:ascii="Arial" w:cs="Arial" w:eastAsia="Arial" w:hAnsi="Arial"/>
                <w:sz w:val="16"/>
                <w:szCs w:val="16"/>
                <w:color w:val="auto"/>
                <w:w w:val="93"/>
              </w:rPr>
              <w:t>Non-accelerated filer - o</w:t>
            </w:r>
          </w:p>
        </w:tc>
        <w:tc>
          <w:tcPr>
            <w:tcW w:w="3720" w:type="dxa"/>
            <w:vAlign w:val="bottom"/>
          </w:tcPr>
          <w:p>
            <w:pPr>
              <w:jc w:val="center"/>
              <w:ind w:left="1639"/>
              <w:spacing w:after="0"/>
              <w:rPr>
                <w:sz w:val="20"/>
                <w:szCs w:val="20"/>
                <w:color w:val="auto"/>
              </w:rPr>
            </w:pPr>
            <w:r>
              <w:rPr>
                <w:rFonts w:ascii="Arial" w:cs="Arial" w:eastAsia="Arial" w:hAnsi="Arial"/>
                <w:sz w:val="16"/>
                <w:szCs w:val="16"/>
                <w:color w:val="auto"/>
                <w:w w:val="93"/>
              </w:rPr>
              <w:t>Smaller reporting company - o</w:t>
            </w:r>
          </w:p>
        </w:tc>
      </w:tr>
      <w:tr>
        <w:trPr>
          <w:trHeight w:val="257"/>
        </w:trPr>
        <w:tc>
          <w:tcPr>
            <w:tcW w:w="4720" w:type="dxa"/>
            <w:vAlign w:val="bottom"/>
          </w:tcPr>
          <w:p>
            <w:pPr>
              <w:jc w:val="center"/>
              <w:ind w:right="1639"/>
              <w:spacing w:after="0"/>
              <w:rPr>
                <w:sz w:val="20"/>
                <w:szCs w:val="20"/>
                <w:color w:val="auto"/>
              </w:rPr>
            </w:pPr>
            <w:r>
              <w:rPr>
                <w:rFonts w:ascii="Arial" w:cs="Arial" w:eastAsia="Arial" w:hAnsi="Arial"/>
                <w:sz w:val="16"/>
                <w:szCs w:val="16"/>
                <w:color w:val="auto"/>
                <w:w w:val="92"/>
              </w:rPr>
              <w:t>(Do not check if a smaller reporting company)</w:t>
            </w:r>
          </w:p>
        </w:tc>
        <w:tc>
          <w:tcPr>
            <w:tcW w:w="3720" w:type="dxa"/>
            <w:vAlign w:val="bottom"/>
          </w:tcPr>
          <w:p>
            <w:pPr>
              <w:jc w:val="center"/>
              <w:ind w:left="1619"/>
              <w:spacing w:after="0"/>
              <w:rPr>
                <w:sz w:val="20"/>
                <w:szCs w:val="20"/>
                <w:color w:val="auto"/>
              </w:rPr>
            </w:pPr>
            <w:r>
              <w:rPr>
                <w:rFonts w:ascii="Arial" w:cs="Arial" w:eastAsia="Arial" w:hAnsi="Arial"/>
                <w:sz w:val="16"/>
                <w:szCs w:val="16"/>
                <w:color w:val="auto"/>
                <w:w w:val="92"/>
              </w:rPr>
              <w:t>Emerging growth company - o</w:t>
            </w:r>
          </w:p>
        </w:tc>
      </w:tr>
    </w:tbl>
    <w:p>
      <w:pPr>
        <w:spacing w:after="0" w:line="235" w:lineRule="exact"/>
        <w:rPr>
          <w:sz w:val="24"/>
          <w:szCs w:val="24"/>
          <w:color w:val="auto"/>
        </w:rPr>
      </w:pPr>
    </w:p>
    <w:p>
      <w:pPr>
        <w:ind w:right="100" w:firstLine="243"/>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o No - x</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7"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5580" w:type="dxa"/>
            <w:vAlign w:val="bottom"/>
          </w:tcPr>
          <w:p>
            <w:pPr>
              <w:jc w:val="center"/>
              <w:ind w:right="490"/>
              <w:spacing w:after="0"/>
              <w:rPr>
                <w:sz w:val="20"/>
                <w:szCs w:val="20"/>
                <w:color w:val="auto"/>
              </w:rPr>
            </w:pPr>
            <w:r>
              <w:rPr>
                <w:rFonts w:ascii="Arial" w:cs="Arial" w:eastAsia="Arial" w:hAnsi="Arial"/>
                <w:sz w:val="18"/>
                <w:szCs w:val="18"/>
                <w:b w:val="1"/>
                <w:bCs w:val="1"/>
                <w:color w:val="auto"/>
                <w:w w:val="99"/>
              </w:rPr>
              <w:t>COMMON STOCK, NO PAR VALUE</w:t>
            </w:r>
          </w:p>
        </w:tc>
        <w:tc>
          <w:tcPr>
            <w:tcW w:w="5540" w:type="dxa"/>
            <w:vAlign w:val="bottom"/>
          </w:tcPr>
          <w:p>
            <w:pPr>
              <w:jc w:val="right"/>
              <w:ind w:right="2350"/>
              <w:spacing w:after="0"/>
              <w:rPr>
                <w:sz w:val="20"/>
                <w:szCs w:val="20"/>
                <w:color w:val="auto"/>
              </w:rPr>
            </w:pPr>
            <w:r>
              <w:rPr>
                <w:rFonts w:ascii="Arial" w:cs="Arial" w:eastAsia="Arial" w:hAnsi="Arial"/>
                <w:sz w:val="18"/>
                <w:szCs w:val="18"/>
                <w:b w:val="1"/>
                <w:bCs w:val="1"/>
                <w:color w:val="auto"/>
              </w:rPr>
              <w:t>42,726,455</w:t>
            </w:r>
          </w:p>
        </w:tc>
      </w:tr>
      <w:tr>
        <w:trPr>
          <w:trHeight w:val="270"/>
        </w:trPr>
        <w:tc>
          <w:tcPr>
            <w:tcW w:w="5580" w:type="dxa"/>
            <w:vAlign w:val="bottom"/>
          </w:tcPr>
          <w:p>
            <w:pPr>
              <w:jc w:val="center"/>
              <w:ind w:right="490"/>
              <w:spacing w:after="0"/>
              <w:rPr>
                <w:sz w:val="20"/>
                <w:szCs w:val="20"/>
                <w:color w:val="auto"/>
              </w:rPr>
            </w:pPr>
            <w:r>
              <w:rPr>
                <w:rFonts w:ascii="Arial" w:cs="Arial" w:eastAsia="Arial" w:hAnsi="Arial"/>
                <w:sz w:val="18"/>
                <w:szCs w:val="18"/>
                <w:color w:val="auto"/>
                <w:w w:val="91"/>
              </w:rPr>
              <w:t>(Class)</w:t>
            </w:r>
          </w:p>
        </w:tc>
        <w:tc>
          <w:tcPr>
            <w:tcW w:w="5540" w:type="dxa"/>
            <w:vAlign w:val="bottom"/>
          </w:tcPr>
          <w:p>
            <w:pPr>
              <w:jc w:val="center"/>
              <w:ind w:right="50"/>
              <w:spacing w:after="0"/>
              <w:rPr>
                <w:sz w:val="20"/>
                <w:szCs w:val="20"/>
                <w:color w:val="auto"/>
              </w:rPr>
            </w:pPr>
            <w:r>
              <w:rPr>
                <w:rFonts w:ascii="Arial" w:cs="Arial" w:eastAsia="Arial" w:hAnsi="Arial"/>
                <w:sz w:val="18"/>
                <w:szCs w:val="18"/>
                <w:color w:val="auto"/>
                <w:w w:val="90"/>
              </w:rPr>
              <w:t>Outstanding at August 3, 2018</w:t>
            </w:r>
          </w:p>
        </w:tc>
      </w:tr>
      <w:tr>
        <w:trPr>
          <w:trHeight w:val="156"/>
        </w:trPr>
        <w:tc>
          <w:tcPr>
            <w:tcW w:w="5580" w:type="dxa"/>
            <w:vAlign w:val="bottom"/>
            <w:tcBorders>
              <w:bottom w:val="single" w:sz="8" w:color="auto"/>
            </w:tcBorders>
          </w:tcPr>
          <w:p>
            <w:pPr>
              <w:spacing w:after="0"/>
              <w:rPr>
                <w:sz w:val="13"/>
                <w:szCs w:val="13"/>
                <w:color w:val="auto"/>
              </w:rPr>
            </w:pPr>
          </w:p>
        </w:tc>
        <w:tc>
          <w:tcPr>
            <w:tcW w:w="5540" w:type="dxa"/>
            <w:vAlign w:val="bottom"/>
            <w:tcBorders>
              <w:bottom w:val="single" w:sz="8" w:color="auto"/>
            </w:tcBorders>
          </w:tcPr>
          <w:p>
            <w:pPr>
              <w:spacing w:after="0"/>
              <w:rPr>
                <w:sz w:val="13"/>
                <w:szCs w:val="13"/>
                <w:color w:val="auto"/>
              </w:rPr>
            </w:pPr>
          </w:p>
        </w:tc>
      </w:tr>
      <w:tr>
        <w:trPr>
          <w:trHeight w:val="169"/>
        </w:trPr>
        <w:tc>
          <w:tcPr>
            <w:tcW w:w="5580" w:type="dxa"/>
            <w:vAlign w:val="bottom"/>
            <w:tcBorders>
              <w:bottom w:val="single" w:sz="8" w:color="auto"/>
            </w:tcBorders>
          </w:tcPr>
          <w:p>
            <w:pPr>
              <w:spacing w:after="0"/>
              <w:rPr>
                <w:sz w:val="14"/>
                <w:szCs w:val="14"/>
                <w:color w:val="auto"/>
              </w:rPr>
            </w:pPr>
          </w:p>
        </w:tc>
        <w:tc>
          <w:tcPr>
            <w:tcW w:w="554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786"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180" w:type="dxa"/>
            <w:vAlign w:val="bottom"/>
            <w:gridSpan w:val="16"/>
          </w:tcPr>
          <w:p>
            <w:pPr>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as of June 30, 2018 and December 31, 2017</w:t>
              </w:r>
            </w:hyperlink>
          </w:p>
        </w:tc>
        <w:tc>
          <w:tcPr>
            <w:tcW w:w="412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six months ended June 30, 2018 and 2017</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547"/>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six months ended June 30, 2018 and 2017</w:t>
              </w:r>
            </w:hyperlink>
          </w:p>
        </w:tc>
        <w:tc>
          <w:tcPr>
            <w:tcW w:w="64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14</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Quantitative and Qualitative Disclosures About Market Risk</w:t>
              </w:r>
            </w:hyperlink>
          </w:p>
        </w:tc>
        <w:tc>
          <w:tcPr>
            <w:tcW w:w="590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20</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200" w:type="dxa"/>
            <w:vAlign w:val="bottom"/>
            <w:gridSpan w:val="1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20</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920" w:type="dxa"/>
            <w:vAlign w:val="bottom"/>
            <w:gridSpan w:val="6"/>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11180" w:type="dxa"/>
            <w:vAlign w:val="bottom"/>
            <w:gridSpan w:val="16"/>
          </w:tcPr>
          <w:p>
            <w:pPr>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21</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1"/>
              </w:rPr>
            </w:pPr>
            <w:hyperlink w:anchor="page22">
              <w:r>
                <w:rPr>
                  <w:rFonts w:ascii="Arial" w:cs="Arial" w:eastAsia="Arial" w:hAnsi="Arial"/>
                  <w:sz w:val="18"/>
                  <w:szCs w:val="18"/>
                  <w:color w:val="0000EE"/>
                  <w:w w:val="81"/>
                </w:rPr>
                <w:t>Risk Factors</w:t>
              </w:r>
            </w:hyperlink>
          </w:p>
        </w:tc>
        <w:tc>
          <w:tcPr>
            <w:tcW w:w="420" w:type="dxa"/>
            <w:vAlign w:val="bottom"/>
            <w:tcBorders>
              <w:top w:val="single" w:sz="8" w:color="0000EE"/>
            </w:tcBorders>
          </w:tcPr>
          <w:p>
            <w:pPr>
              <w:spacing w:after="0"/>
              <w:rPr>
                <w:sz w:val="24"/>
                <w:szCs w:val="24"/>
                <w:color w:val="auto"/>
              </w:rPr>
            </w:pPr>
          </w:p>
        </w:tc>
        <w:tc>
          <w:tcPr>
            <w:tcW w:w="8940" w:type="dxa"/>
            <w:vAlign w:val="bottom"/>
            <w:gridSpan w:val="11"/>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21</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19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Unresolved Staff Comments</w:t>
              </w:r>
            </w:hyperlink>
          </w:p>
        </w:tc>
        <w:tc>
          <w:tcPr>
            <w:tcW w:w="8220" w:type="dxa"/>
            <w:vAlign w:val="bottom"/>
            <w:gridSpan w:val="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21</w:t>
              </w:r>
            </w:hyperlink>
          </w:p>
        </w:tc>
      </w:tr>
      <w:tr>
        <w:trPr>
          <w:trHeight w:val="547"/>
        </w:trPr>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00" w:type="dxa"/>
            <w:vAlign w:val="bottom"/>
            <w:gridSpan w:val="1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21</w:t>
              </w:r>
            </w:hyperlink>
          </w:p>
        </w:tc>
      </w:tr>
      <w:tr>
        <w:trPr>
          <w:trHeight w:val="547"/>
        </w:trPr>
        <w:tc>
          <w:tcPr>
            <w:tcW w:w="9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82"/>
              </w:rPr>
            </w:pPr>
            <w:hyperlink w:anchor="page22">
              <w:r>
                <w:rPr>
                  <w:rFonts w:ascii="Arial" w:cs="Arial" w:eastAsia="Arial" w:hAnsi="Arial"/>
                  <w:sz w:val="18"/>
                  <w:szCs w:val="18"/>
                  <w:color w:val="0000EE"/>
                  <w:w w:val="82"/>
                </w:rPr>
                <w:t>Exhibits</w:t>
              </w:r>
            </w:hyperlink>
          </w:p>
        </w:tc>
        <w:tc>
          <w:tcPr>
            <w:tcW w:w="3740" w:type="dxa"/>
            <w:vAlign w:val="bottom"/>
            <w:tcBorders>
              <w:top w:val="single" w:sz="8" w:color="0000EE"/>
            </w:tcBorders>
            <w:gridSpan w:val="7"/>
          </w:tcPr>
          <w:p>
            <w:pPr>
              <w:spacing w:after="0"/>
              <w:rPr>
                <w:sz w:val="24"/>
                <w:szCs w:val="24"/>
                <w:color w:val="auto"/>
              </w:rPr>
            </w:pPr>
          </w:p>
        </w:tc>
        <w:tc>
          <w:tcPr>
            <w:tcW w:w="5920" w:type="dxa"/>
            <w:vAlign w:val="bottom"/>
            <w:gridSpan w:val="6"/>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21</w:t>
              </w:r>
            </w:hyperlink>
          </w:p>
        </w:tc>
      </w:tr>
      <w:tr>
        <w:trPr>
          <w:trHeight w:val="520"/>
        </w:trPr>
        <w:tc>
          <w:tcPr>
            <w:tcW w:w="1118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 Index</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22</w:t>
              </w:r>
            </w:hyperlink>
          </w:p>
        </w:tc>
      </w:tr>
      <w:tr>
        <w:trPr>
          <w:trHeight w:val="547"/>
        </w:trPr>
        <w:tc>
          <w:tcPr>
            <w:tcW w:w="980" w:type="dxa"/>
            <w:vAlign w:val="bottom"/>
            <w:tcBorders>
              <w:top w:val="single" w:sz="8" w:color="0000EE"/>
            </w:tcBorders>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w:t>
              </w:r>
            </w:hyperlink>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23</w:t>
              </w:r>
            </w:hyperlink>
          </w:p>
        </w:tc>
      </w:tr>
      <w:tr>
        <w:trPr>
          <w:trHeight w:val="20"/>
        </w:trPr>
        <w:tc>
          <w:tcPr>
            <w:tcW w:w="6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5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7020" w:type="dxa"/>
            <w:vAlign w:val="bottom"/>
          </w:tcPr>
          <w:p>
            <w:pPr>
              <w:jc w:val="center"/>
              <w:ind w:left="1650"/>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3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4"/>
        </w:trPr>
        <w:tc>
          <w:tcPr>
            <w:tcW w:w="1340" w:type="dxa"/>
            <w:vAlign w:val="bottom"/>
          </w:tcPr>
          <w:p>
            <w:pPr>
              <w:spacing w:after="0"/>
              <w:rPr>
                <w:sz w:val="24"/>
                <w:szCs w:val="24"/>
                <w:color w:val="auto"/>
              </w:rPr>
            </w:pPr>
          </w:p>
        </w:tc>
        <w:tc>
          <w:tcPr>
            <w:tcW w:w="7020" w:type="dxa"/>
            <w:vAlign w:val="bottom"/>
          </w:tcPr>
          <w:p>
            <w:pPr>
              <w:jc w:val="center"/>
              <w:ind w:left="1590"/>
              <w:spacing w:after="0"/>
              <w:rPr>
                <w:sz w:val="20"/>
                <w:szCs w:val="20"/>
                <w:color w:val="auto"/>
              </w:rPr>
            </w:pPr>
            <w:r>
              <w:rPr>
                <w:rFonts w:ascii="Arial" w:cs="Arial" w:eastAsia="Arial" w:hAnsi="Arial"/>
                <w:sz w:val="18"/>
                <w:szCs w:val="18"/>
                <w:b w:val="1"/>
                <w:bCs w:val="1"/>
                <w:color w:val="auto"/>
              </w:rPr>
              <w:t>VERICEL CORPORATION</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(Unaudited, amounts in thousands)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609"/>
        </w:trPr>
        <w:tc>
          <w:tcPr>
            <w:tcW w:w="13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134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30"/>
        </w:trPr>
        <w:tc>
          <w:tcPr>
            <w:tcW w:w="13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7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94,969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26,862</w:t>
            </w: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$102 and $249,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18,270</w:t>
            </w:r>
          </w:p>
        </w:tc>
      </w:tr>
      <w:tr>
        <w:trPr>
          <w:trHeight w:val="243"/>
        </w:trPr>
        <w:tc>
          <w:tcPr>
            <w:tcW w:w="134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7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3,793</w:t>
            </w: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w:t>
            </w:r>
          </w:p>
        </w:tc>
      </w:tr>
      <w:tr>
        <w:trPr>
          <w:trHeight w:val="237"/>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117,520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50,506</w:t>
            </w: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4,071</w:t>
            </w:r>
          </w:p>
        </w:tc>
      </w:tr>
      <w:tr>
        <w:trPr>
          <w:trHeight w:val="237"/>
        </w:trPr>
        <w:tc>
          <w:tcPr>
            <w:tcW w:w="1340" w:type="dxa"/>
            <w:vAlign w:val="bottom"/>
          </w:tcPr>
          <w:p>
            <w:pPr>
              <w:ind w:left="380"/>
              <w:spacing w:after="0"/>
              <w:rPr>
                <w:sz w:val="20"/>
                <w:szCs w:val="20"/>
                <w:color w:val="auto"/>
              </w:rPr>
            </w:pPr>
            <w:r>
              <w:rPr>
                <w:rFonts w:ascii="Arial" w:cs="Arial" w:eastAsia="Arial" w:hAnsi="Arial"/>
                <w:sz w:val="18"/>
                <w:szCs w:val="18"/>
                <w:color w:val="auto"/>
                <w:w w:val="96"/>
              </w:rPr>
              <w:t>Total assets</w:t>
            </w:r>
          </w:p>
        </w:tc>
        <w:tc>
          <w:tcPr>
            <w:tcW w:w="70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122,193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54,577</w:t>
            </w:r>
          </w:p>
        </w:tc>
      </w:tr>
      <w:tr>
        <w:trPr>
          <w:trHeight w:val="67"/>
        </w:trPr>
        <w:tc>
          <w:tcPr>
            <w:tcW w:w="8360" w:type="dxa"/>
            <w:vAlign w:val="bottom"/>
            <w:tcBorders>
              <w:bottom w:val="single" w:sz="8" w:color="CCEEFF"/>
            </w:tcBorders>
            <w:gridSpan w:val="2"/>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04"/>
        </w:trPr>
        <w:tc>
          <w:tcPr>
            <w:tcW w:w="83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243"/>
        </w:trPr>
        <w:tc>
          <w:tcPr>
            <w:tcW w:w="1340" w:type="dxa"/>
            <w:vAlign w:val="bottom"/>
          </w:tcPr>
          <w:p>
            <w:pPr>
              <w:ind w:left="40"/>
              <w:spacing w:after="0"/>
              <w:rPr>
                <w:sz w:val="20"/>
                <w:szCs w:val="20"/>
                <w:color w:val="auto"/>
              </w:rPr>
            </w:pPr>
            <w:r>
              <w:rPr>
                <w:rFonts w:ascii="Arial" w:cs="Arial" w:eastAsia="Arial" w:hAnsi="Arial"/>
                <w:sz w:val="18"/>
                <w:szCs w:val="18"/>
                <w:color w:val="auto"/>
                <w:w w:val="92"/>
              </w:rPr>
              <w:t>Current liabilities:</w:t>
            </w:r>
          </w:p>
        </w:tc>
        <w:tc>
          <w:tcPr>
            <w:tcW w:w="7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5,552</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5,573</w:t>
            </w: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7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Current portion of term loan credit agreement (net of deferred costs of $69 and $67, respectively)</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350</w:t>
            </w: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w:t>
            </w:r>
          </w:p>
        </w:tc>
      </w:tr>
      <w:tr>
        <w:trPr>
          <w:trHeight w:val="243"/>
        </w:trPr>
        <w:tc>
          <w:tcPr>
            <w:tcW w:w="1340" w:type="dxa"/>
            <w:vAlign w:val="bottom"/>
          </w:tcPr>
          <w:p>
            <w:pPr>
              <w:ind w:left="180"/>
              <w:spacing w:after="0"/>
              <w:rPr>
                <w:sz w:val="20"/>
                <w:szCs w:val="20"/>
                <w:color w:val="auto"/>
              </w:rPr>
            </w:pPr>
            <w:r>
              <w:rPr>
                <w:rFonts w:ascii="Arial" w:cs="Arial" w:eastAsia="Arial" w:hAnsi="Arial"/>
                <w:sz w:val="18"/>
                <w:szCs w:val="18"/>
                <w:color w:val="auto"/>
              </w:rPr>
              <w:t>Other</w:t>
            </w:r>
          </w:p>
        </w:tc>
        <w:tc>
          <w:tcPr>
            <w:tcW w:w="7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181</w:t>
            </w: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Revolving and term loan credit agreement (net of deferred costs of $167 and $196, respectively)</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14,416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16,888</w:t>
            </w: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7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2,059</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32,037</w:t>
            </w: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Common stock, no par value; shares authorized — 75,000; shares issued and outstanding — 42,684 and</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35,861,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463,483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383,020</w:t>
            </w:r>
          </w:p>
        </w:tc>
      </w:tr>
      <w:tr>
        <w:trPr>
          <w:trHeight w:val="243"/>
        </w:trPr>
        <w:tc>
          <w:tcPr>
            <w:tcW w:w="13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7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397</w:t>
            </w:r>
          </w:p>
        </w:tc>
      </w:tr>
      <w:tr>
        <w:trPr>
          <w:trHeight w:val="27"/>
        </w:trPr>
        <w:tc>
          <w:tcPr>
            <w:tcW w:w="8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(373,187)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(360,877)</w:t>
            </w:r>
          </w:p>
        </w:tc>
      </w:tr>
      <w:tr>
        <w:trPr>
          <w:trHeight w:val="237"/>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90,598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22,540</w:t>
            </w:r>
          </w:p>
        </w:tc>
      </w:tr>
      <w:tr>
        <w:trPr>
          <w:trHeight w:val="27"/>
        </w:trPr>
        <w:tc>
          <w:tcPr>
            <w:tcW w:w="83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54,577</w:t>
            </w: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26,314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7,727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14,779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11,284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11,535</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3,739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11,791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17,241</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15,530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30,213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23,679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(12,144)</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in fair value of warrants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translation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Net loss per share attributable to common shareholders (Basic and</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w w:val="92"/>
              </w:rPr>
              <w:t>Weighted average number of common shares outstanding (Basic and</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8"/>
                <w:szCs w:val="18"/>
                <w:color w:val="auto"/>
              </w:rPr>
              <w:t>38,349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32,765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37,251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32,333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3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(12,166)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Change in fair value of warrants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Loss on sales of fixed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r>
      <w:tr>
        <w:trPr>
          <w:trHeight w:val="243"/>
        </w:trPr>
        <w:tc>
          <w:tcPr>
            <w:tcW w:w="8360" w:type="dxa"/>
            <w:vAlign w:val="bottom"/>
          </w:tcPr>
          <w:p>
            <w:pPr>
              <w:ind w:left="360"/>
              <w:spacing w:after="0"/>
              <w:rPr>
                <w:sz w:val="20"/>
                <w:szCs w:val="20"/>
                <w:color w:val="auto"/>
              </w:rPr>
            </w:pPr>
            <w:r>
              <w:rPr>
                <w:rFonts w:ascii="Arial" w:cs="Arial" w:eastAsia="Arial" w:hAnsi="Arial"/>
                <w:sz w:val="18"/>
                <w:szCs w:val="18"/>
                <w:color w:val="auto"/>
              </w:rPr>
              <w:t>Deferred rent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and liabilities,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Net cash used for operating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(8,776)</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equity offering</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proceeds from issuance of common stock due to stock option exercises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warrants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68,107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(8,937)</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22,978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94,969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14,041</w:t>
            </w:r>
          </w:p>
        </w:tc>
      </w:tr>
      <w:tr>
        <w:trPr>
          <w:trHeight w:val="67"/>
        </w:trPr>
        <w:tc>
          <w:tcPr>
            <w:tcW w:w="83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8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2018 (UNAUDITED)</w:t>
      </w:r>
    </w:p>
    <w:p>
      <w:pPr>
        <w:spacing w:after="0" w:line="20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6"/>
          <w:szCs w:val="16"/>
          <w:color w:val="auto"/>
        </w:rPr>
        <w:t xml:space="preserve">Vericel Corporation, a Michigan corporation (the Company, Vericel, we, us or our), was incorporated in March 1989 and began employee-based operations in 1991. On May 30, 2014, Vericel completed the acquisition of certain assets and assumed certain liabilities of Sanofi,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(Sanofi), including all of the outstanding equity interests of Genzyme Biosurgery ApS (Genzyme Denmark or the Danish subsidiary) (now known as Vericel Denmark ApS), a wholly-owned subsidiary of Sanofi, and a portfolio of patents and patent applications of Sanofi and certain of its subsidiaries for purposes of acquiring the portion of the cell therapy and regenerative medicine business (the CTRM Business), related to the MACI</w:t>
      </w:r>
      <w:r>
        <w:rPr>
          <w:rFonts w:ascii="Arial" w:cs="Arial" w:eastAsia="Arial" w:hAnsi="Arial"/>
          <w:sz w:val="22"/>
          <w:szCs w:val="22"/>
          <w:color w:val="auto"/>
          <w:vertAlign w:val="superscript"/>
        </w:rPr>
        <w:t>®</w:t>
      </w:r>
      <w:r>
        <w:rPr>
          <w:rFonts w:ascii="Arial" w:cs="Arial" w:eastAsia="Arial" w:hAnsi="Arial"/>
          <w:sz w:val="16"/>
          <w:szCs w:val="16"/>
          <w:color w:val="auto"/>
        </w:rPr>
        <w:t>, Carticel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Epicel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The Company is a fully integrated, commercial-stage biopharmaceutical company and currently markets MACI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Epicel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the U.S. The Company is a leader in advanced cell therapies for the sports medicine and severe burn care markets and a developer of patient-specific expanded cell therapies for use in the treatment of patients with severe diseases and conditions. MACI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that was approved by the FDA on December 13, 2016. The first shipment and implantation of MACI occurred on January 31, 2017. At the end of the second quarter of 2017, the Company removed MACI’s predecessor, Carticel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cultured chondrocytes), from the market. Carticel is an autologous chondrocyte implant indicated for the repair of symptomatic cartilage defects of the femoral condyle (medial, lateral or trochlea), caused by acute or repetitive trauma, in patients who have had an inadequate response to a prior arthroscopic or other surgical repair procedure (e.g., debridement, microfracture, drilling/abrasion arthroplasty, or osteochondral allograft/autograft). The Company also markets Epicel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(cultured epidermal autografts), a permanent skin replacement Humanitarian Use Device (HUD) for the treatment of patients with deep-dermal or full-thickness burns comprising greater than or equal to 30 percent of total body surface area (TBSA). The Company operates its business primarily in the U.S. in one reportable segment — the research, product development, manufacture and distribution of patient-specific, expanded cellular therapies for use in the treatment of specific diseases.</w:t>
      </w:r>
    </w:p>
    <w:p>
      <w:pPr>
        <w:spacing w:after="0" w:line="20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222222"/>
        </w:rPr>
        <w:t xml:space="preserve">The accompanying condensed consolidated financial statements have been prepared on a basis which assumes that the Company will continue as a going concern and contemplates the realization of assets and satisfaction of liabilities and commitments in the normal course of business. As of June 30, 2018, the Company has an accumulated deficit of $373.2 million and had a net loss of $4.7 million during the quarter ended June 30, 2018. The Company had cash of $95.0 million as of June 30, 2018. The Company expects that existing cash together with its </w:t>
      </w:r>
      <w:r>
        <w:rPr>
          <w:rFonts w:ascii="Arial" w:cs="Arial" w:eastAsia="Arial" w:hAnsi="Arial"/>
          <w:sz w:val="16"/>
          <w:szCs w:val="16"/>
          <w:color w:val="000000"/>
        </w:rPr>
        <w:t>term loan and revolving line of credit agreement with Silicon</w:t>
      </w:r>
      <w:r>
        <w:rPr>
          <w:rFonts w:ascii="Arial" w:cs="Arial" w:eastAsia="Arial" w:hAnsi="Arial"/>
          <w:sz w:val="16"/>
          <w:szCs w:val="16"/>
          <w:color w:val="222222"/>
        </w:rPr>
        <w:t xml:space="preserve"> </w:t>
      </w:r>
      <w:r>
        <w:rPr>
          <w:rFonts w:ascii="Arial" w:cs="Arial" w:eastAsia="Arial" w:hAnsi="Arial"/>
          <w:sz w:val="16"/>
          <w:szCs w:val="16"/>
          <w:color w:val="000000"/>
        </w:rPr>
        <w:t xml:space="preserve">Valley Bank (SVB) and MidCap Financial Services (MidCap) (the </w:t>
      </w:r>
      <w:r>
        <w:rPr>
          <w:rFonts w:ascii="Arial" w:cs="Arial" w:eastAsia="Arial" w:hAnsi="Arial"/>
          <w:sz w:val="16"/>
          <w:szCs w:val="16"/>
          <w:color w:val="222222"/>
        </w:rPr>
        <w:t>SVB-MidCap facility), will be sufficient to support the Company's</w:t>
      </w:r>
      <w:r>
        <w:rPr>
          <w:rFonts w:ascii="Arial" w:cs="Arial" w:eastAsia="Arial" w:hAnsi="Arial"/>
          <w:sz w:val="16"/>
          <w:szCs w:val="16"/>
          <w:color w:val="000000"/>
        </w:rPr>
        <w:t xml:space="preserve"> current operations through at least August 2019</w:t>
      </w:r>
      <w:r>
        <w:rPr>
          <w:rFonts w:ascii="Arial" w:cs="Arial" w:eastAsia="Arial" w:hAnsi="Arial"/>
          <w:sz w:val="16"/>
          <w:szCs w:val="16"/>
          <w:color w:val="222222"/>
        </w:rPr>
        <w:t>. In connection with the SVB-MidCap facility,</w:t>
      </w:r>
      <w:r>
        <w:rPr>
          <w:rFonts w:ascii="Arial" w:cs="Arial" w:eastAsia="Arial" w:hAnsi="Arial"/>
          <w:sz w:val="16"/>
          <w:szCs w:val="16"/>
          <w:color w:val="000000"/>
        </w:rPr>
        <w:t xml:space="preserve"> the Company must remain in compliance with minimum monthly net revenue covenants (determined in accordance with U.S. GAAP), measured on a trailing twelve month basis. </w:t>
      </w:r>
      <w:r>
        <w:rPr>
          <w:rFonts w:ascii="Arial" w:cs="Arial" w:eastAsia="Arial" w:hAnsi="Arial"/>
          <w:sz w:val="16"/>
          <w:szCs w:val="16"/>
          <w:color w:val="222222"/>
        </w:rPr>
        <w:t>SVB and MidCap also have the ability to call debt based</w:t>
      </w:r>
      <w:r>
        <w:rPr>
          <w:rFonts w:ascii="Arial" w:cs="Arial" w:eastAsia="Arial" w:hAnsi="Arial"/>
          <w:sz w:val="16"/>
          <w:szCs w:val="16"/>
          <w:color w:val="000000"/>
        </w:rPr>
        <w:t xml:space="preserve"> </w:t>
      </w:r>
      <w:r>
        <w:rPr>
          <w:rFonts w:ascii="Arial" w:cs="Arial" w:eastAsia="Arial" w:hAnsi="Arial"/>
          <w:sz w:val="16"/>
          <w:szCs w:val="16"/>
          <w:color w:val="222222"/>
        </w:rPr>
        <w:t xml:space="preserve">on material adverse change clauses which are subjectively determinable and result in a </w:t>
      </w:r>
      <w:r>
        <w:rPr>
          <w:rFonts w:ascii="Arial" w:cs="Arial" w:eastAsia="Arial" w:hAnsi="Arial"/>
          <w:sz w:val="16"/>
          <w:szCs w:val="16"/>
          <w:color w:val="000000"/>
        </w:rPr>
        <w:t>subjective acceleration clause.</w:t>
      </w:r>
      <w:r>
        <w:rPr>
          <w:rFonts w:ascii="Arial" w:cs="Arial" w:eastAsia="Arial" w:hAnsi="Arial"/>
          <w:sz w:val="16"/>
          <w:szCs w:val="16"/>
          <w:color w:val="222222"/>
        </w:rPr>
        <w:t xml:space="preserve"> If the Company is not in compliance with the monthly net revenue covenants or the subjective acceleration clauses are triggered under the SVB-MidCap facility, then SVB may call the debt. As of June 30, 2018, the Company was in compliance with the minimum revenue covenant set forth in the Third Loan Modification Agreement between the Company, SVB and MidCap. The Company may seek additional funding through debt or equity financings. However, the Company may not be able to obtain financing on acceptable terms or at all. The terms of any financing may adversely affect the holdings or the rights of the Company's shareholders.</w:t>
      </w:r>
    </w:p>
    <w:p>
      <w:pPr>
        <w:spacing w:after="0" w:line="16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condensed consolidated financial statements included herein have been prepared in accordance with the rules and regulations of the U.S. Securities and Exchange Commission (SEC). The preparation of condensed consolidated financial statements in conformity with generally accepted accounting principles in the United States of America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results of operations for the three and six months ended June 30, 2018, are not necessarily indicative of the results to be expected for the full year or for any other period. The June 30, 2018 condensed consolidated balance sheet data was derived from the Company’s audited consolidated financial statements, but does not include all disclosures required by U.S. GAAP.</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right="20" w:firstLine="243"/>
        <w:spacing w:after="0" w:line="308"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the notes thereto included in our Annual Report on Form 10-K for the year ended December 31, 2017, as filed with the SEC on March 5, 2018 (Annual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 of Cash Flows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certain supplementary cash flows information for the six months ended June 30,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w w:val="94"/>
              </w:rPr>
              <w:t>Six Months Ended June 30,</w:t>
            </w:r>
          </w:p>
        </w:tc>
      </w:tr>
      <w:tr>
        <w:trPr>
          <w:trHeight w:val="263"/>
        </w:trPr>
        <w:tc>
          <w:tcPr>
            <w:tcW w:w="7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r>
      <w:tr>
        <w:trPr>
          <w:trHeight w:val="237"/>
        </w:trPr>
        <w:tc>
          <w:tcPr>
            <w:tcW w:w="7120" w:type="dxa"/>
            <w:vAlign w:val="bottom"/>
          </w:tcPr>
          <w:p>
            <w:pPr>
              <w:ind w:left="40"/>
              <w:spacing w:after="0"/>
              <w:rPr>
                <w:sz w:val="20"/>
                <w:szCs w:val="20"/>
                <w:color w:val="auto"/>
              </w:rPr>
            </w:pPr>
            <w:r>
              <w:rPr>
                <w:rFonts w:ascii="Arial" w:cs="Arial" w:eastAsia="Arial" w:hAnsi="Arial"/>
                <w:sz w:val="16"/>
                <w:szCs w:val="16"/>
                <w:b w:val="1"/>
                <w:bCs w:val="1"/>
                <w:color w:val="auto"/>
              </w:rPr>
              <w:t>Supplementary Cash Flows information:</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7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 exercised for common stock</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Interest paid (net of interest capitalized)</w:t>
            </w:r>
          </w:p>
        </w:tc>
        <w:tc>
          <w:tcPr>
            <w:tcW w:w="160" w:type="dxa"/>
            <w:vAlign w:val="bottom"/>
          </w:tcPr>
          <w:p>
            <w:pPr>
              <w:spacing w:after="0"/>
              <w:rPr>
                <w:sz w:val="21"/>
                <w:szCs w:val="21"/>
                <w:color w:val="auto"/>
              </w:rPr>
            </w:pP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7"/>
        </w:trPr>
        <w:tc>
          <w:tcPr>
            <w:tcW w:w="7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converted between common and preferred stock</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38,389</w:t>
            </w:r>
          </w:p>
        </w:tc>
      </w:tr>
      <w:tr>
        <w:trPr>
          <w:trHeight w:val="243"/>
        </w:trPr>
        <w:tc>
          <w:tcPr>
            <w:tcW w:w="7120" w:type="dxa"/>
            <w:vAlign w:val="bottom"/>
          </w:tcPr>
          <w:p>
            <w:pPr>
              <w:ind w:left="180"/>
              <w:spacing w:after="0"/>
              <w:rPr>
                <w:sz w:val="20"/>
                <w:szCs w:val="20"/>
                <w:color w:val="auto"/>
              </w:rPr>
            </w:pPr>
            <w:r>
              <w:rPr>
                <w:rFonts w:ascii="Arial" w:cs="Arial" w:eastAsia="Arial" w:hAnsi="Arial"/>
                <w:sz w:val="18"/>
                <w:szCs w:val="18"/>
                <w:color w:val="auto"/>
              </w:rPr>
              <w:t>Additions to equipment in process included in accounts payable</w:t>
            </w:r>
          </w:p>
        </w:tc>
        <w:tc>
          <w:tcPr>
            <w:tcW w:w="160" w:type="dxa"/>
            <w:vAlign w:val="bottom"/>
          </w:tcPr>
          <w:p>
            <w:pPr>
              <w:spacing w:after="0"/>
              <w:rPr>
                <w:sz w:val="21"/>
                <w:szCs w:val="21"/>
                <w:color w:val="auto"/>
              </w:rPr>
            </w:pP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w:t>
            </w:r>
          </w:p>
        </w:tc>
      </w:tr>
    </w:tbl>
    <w:p>
      <w:pPr>
        <w:spacing w:after="0" w:line="225" w:lineRule="exact"/>
        <w:rPr>
          <w:sz w:val="20"/>
          <w:szCs w:val="20"/>
          <w:color w:val="auto"/>
        </w:rPr>
      </w:pPr>
    </w:p>
    <w:p>
      <w:pPr>
        <w:ind w:right="8300" w:firstLine="8"/>
        <w:spacing w:after="0" w:line="566" w:lineRule="auto"/>
        <w:tabs>
          <w:tab w:leader="none" w:pos="32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Recent Accounting Pronouncements Revenue Recognition</w:t>
      </w:r>
    </w:p>
    <w:p>
      <w:pPr>
        <w:spacing w:after="0" w:line="1"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In May 2014, the Financial Accounting Standards Board (FASB) issued authoritative guidance requiring entities to apply a new model for recognizing revenue from contracts with customers and the reporting of principal versus agent considerations. The guidance superseded the then-applicable revenue recognition guidance and requires entities to evaluate their revenue recognition arrangements using a five step model to determine when a customer obtains control of a transferred good or service. The guidance became effective for the Company beginning January 1, 2018. See note 4 for further discussion.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Leases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FASB issued guidance to increase transparency and comparability among organizations by recognizing lease assets and lease liabilities on the balance sheet and disclosing key information about leasing arrangements. In accordance with the updated guidance, lessees are required to recognize the assets and liabilities arising from operating leases on the balance sheet. The guidance is effective for annual reporting periods beginning after December 15, 2018, including interim periods within 2019. The Company is currently in the process of evaluating its leasing arrangements under the issued guidance and the impact to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 and Net Product Sales</w:t>
      </w:r>
    </w:p>
    <w:p>
      <w:pPr>
        <w:spacing w:after="0" w:line="17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The new revenue standard became effective for the Company on January 1, 2018, and was adopted using the modified retrospective method. Based on the Company's evaluation of all of its product revenue contracts under the new revenue standard there was no cumulative adjustment recorded in the financial statements upon adoption of Accounting Standards Codification 606,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606) on January 1, 2018. For the three and six months ended June 30, 2018, the timing and amount of revenue recognized under ASC 606 is not materially different from that under the previous guidance.</w:t>
      </w:r>
    </w:p>
    <w:p>
      <w:pPr>
        <w:spacing w:after="0" w:line="26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Company recognizes product revenue from sales to a customer (distributor or hospital) following the five step model in ASC 606: (i) identify contract(s) with a customer; (ii) identify the performance obligations in the contract; (iii) determine the transaction price; (iv) allocate the transaction price to the performance obligations in the contract; and (v) recognize revenues when (or as) the Company satisfies the performance obligation. Under this revenue standard, the Company recognizes revenue when its customer obtains control of the promised goods, in an amount that reflects the consideration which the Company expects to receive in exchange for those goods. There are no contractual rights of returns, refunds or similar obligations related to MACI, kits, or Epicel as of June 30, 2018; however, in certain limited cases the Company will accept a product return if a surgery is canceled. Revenue is not recognized in these cases, and historically such amounts have been insignificant.</w:t>
      </w:r>
    </w:p>
    <w:p>
      <w:pPr>
        <w:spacing w:after="0" w:line="28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Currently, for MACI, MACI kits and Epicel there are no variable pricing arrangements related to warranties or rebates offered to customers. Net product revenues from the third party distributor are primarily based on a contracted rate stated in the approved contract. In certain cases, the Company sells through the distributor but retains the credit and collection risk as well as the risk</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that a third party payer rejected a claim or reduced the allowed amount payable for an implant. The net product revenues for these cases are based on expected payments from the insurance provider, hospital or patient. The estimates of such payment amounts are based on publicly available rates and past payer precedents. Changes in estimates are recorded through revenue in the period such change occurs.</w:t>
      </w:r>
    </w:p>
    <w:p>
      <w:pPr>
        <w:spacing w:after="0" w:line="28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majority of orders are due within 60 days of delivery. Shipping and handling fees are included as a component of revenue. The Company recognizes any commission fees as an expense when incurred due to the short-term nature (less than 1 year) of the time period from order of a product to delivery. These fees are included in selling, general, and administrative expenses. There are no returns, refunds or similar obligations related to MACI, MACI kits, or Epicel as of June 30, 2018.</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MACI Kits and Implants</w:t>
      </w:r>
    </w:p>
    <w:p>
      <w:pPr>
        <w:spacing w:after="0" w:line="33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MACI (and previously Carticel) kits are sold directly to hospitals based on contracted rates in the approved contract or sales order. The Company recognizes MACI (or Carticel) kit revenue upon delivery of the biopsy kit at which time the customer (the doctor) is in control of the kit. The kit provides the doctor the ability to biopsy a sampling of cells to provide to the Company that can be used later to manufacture the implant. The ordering of the kit does not obligate the Company to manufacture an implant nor does the receipt of the cell tissue. The customer’s order of an implant is separate from the process of ordering the kit. Therefore, the sale of the kit and any subsequent sale of an implant are distinct contracts and are accounted for separately.</w:t>
      </w:r>
    </w:p>
    <w:p>
      <w:pPr>
        <w:spacing w:after="0" w:line="266"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Company recognizes product revenues from sales of MACI (and previously Carticel) implants upon delivery at which time the customer is in control of the implant and the claim is billable. Prior authorization or confirmation of coverage level by the patient’s private insurance plan, hospital or government payer is a prerequisite to the shipment of product to a patient. As noted above, the Company's net product revenues are based on contracted rates or estimated based on expected payments from the insurance provider, hospital or patient. The estimates of such payment amounts are based on publicly available rates and past payer precedents. Changes in estimates are recorded through revenue in the period such change occurs. Net product revenues from sales to distributors may include a prompt pay discount.</w:t>
      </w:r>
    </w:p>
    <w:p>
      <w:pPr>
        <w:spacing w:after="0" w:line="301"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On July 25, 2018, the Company entered into an amendment to its distribution agreement with Orsini Pharmaceutical Services, Inc. (Orsini). The amendment modified certain payment terms. In addition, under the revised agreement, the parties agreed to eliminate Orsini's right to serve as the Company's exclusive distributor for MACI as the Company is moving to a limited expanded network of distributors. Orsini remains the exclusive pharmacy supplying MACI for only an enumerated list of payers. The amendment includes a provision whereby the Company retains the credit and collection risk from the end customer on implants after June 15, 2018, and Orsini performs the collection activities. Pursuant to the revised arrangement, the Company will pay Orsini a dispensing fee on a per implant basis. In addition, we have agreed to pay Orsini an incremental fee of approximately $1.3 million which will be paid as a service fee based on a fixed number of MACI cases subsequent to the date of amendment with any unpaid amount due to Orsini at June 30, 2019 or upon termination of the agreement by the Company, if earlier.</w:t>
      </w:r>
    </w:p>
    <w:p>
      <w:pPr>
        <w:spacing w:after="0" w:line="20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July 26, 2018, the Company entered into a Dispensing Agreement (Dispensing Agreement) with AllCare Plus Pharmacy, Inc. (AllCare). Pursuant to the Dispensing Agreement, the Company appoints AllCare as a non-exclusive specialty pharmacy provider of MACI. The Company will pay to AllCare a fee for each patient to whom MACI is dispensed. Under the Dispensing Agreement, the Company retains the credit and collection risk from the end customer on all implants.</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Epicel</w:t>
      </w:r>
    </w:p>
    <w:p>
      <w:pPr>
        <w:spacing w:after="0" w:line="33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sells Epicel directly to hospitals based on contracted rates stated in the approved contract or purchase order. Similar to MACI, there is no obligation to manufacture skin grafts upon receipt of a skin biopsy and Vericel has no contractual right to receive payment until the product is delivered to the hospital. The Company recognizes product revenues from sales of Epicel upon delivery to the hospital at which time the customer is in control of the skin grafts and the claim is billable to the hospital.</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i w:val="1"/>
          <w:iCs w:val="1"/>
          <w:color w:val="auto"/>
        </w:rPr>
        <w:t>Revenue by Product and Customer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and description below shows the products from which the Company generated its revenue: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June 30, 2018</w:t>
            </w:r>
          </w:p>
        </w:tc>
        <w:tc>
          <w:tcPr>
            <w:tcW w:w="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 by product (in thousands)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MACI and Carticel implants and kits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gridSpan w:val="2"/>
          </w:tcPr>
          <w:p>
            <w:pPr>
              <w:ind w:left="240"/>
              <w:spacing w:after="0"/>
              <w:rPr>
                <w:sz w:val="20"/>
                <w:szCs w:val="20"/>
                <w:color w:val="auto"/>
              </w:rPr>
            </w:pPr>
            <w:r>
              <w:rPr>
                <w:rFonts w:ascii="Arial" w:cs="Arial" w:eastAsia="Arial" w:hAnsi="Arial"/>
                <w:sz w:val="18"/>
                <w:szCs w:val="18"/>
                <w:color w:val="auto"/>
              </w:rPr>
              <w:t>Implants - based on contracted rate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7,362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18,111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3,099</w:t>
            </w: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Implants - subject to third party reimbursement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14,093</w:t>
            </w:r>
          </w:p>
        </w:tc>
      </w:tr>
      <w:tr>
        <w:trPr>
          <w:trHeight w:val="243"/>
        </w:trPr>
        <w:tc>
          <w:tcPr>
            <w:tcW w:w="4940" w:type="dxa"/>
            <w:vAlign w:val="bottom"/>
            <w:gridSpan w:val="2"/>
          </w:tcPr>
          <w:p>
            <w:pPr>
              <w:ind w:left="260"/>
              <w:spacing w:after="0"/>
              <w:rPr>
                <w:sz w:val="20"/>
                <w:szCs w:val="20"/>
                <w:color w:val="auto"/>
              </w:rPr>
            </w:pPr>
            <w:r>
              <w:rPr>
                <w:rFonts w:ascii="Arial" w:cs="Arial" w:eastAsia="Arial" w:hAnsi="Arial"/>
                <w:sz w:val="18"/>
                <w:szCs w:val="18"/>
                <w:color w:val="auto"/>
              </w:rPr>
              <w:t>Biopsy kits - direct bill</w:t>
            </w:r>
          </w:p>
        </w:tc>
        <w:tc>
          <w:tcPr>
            <w:tcW w:w="2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862</w:t>
            </w: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Change in estimates related to prior periods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Epicel</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Direct bill (hospital)</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8,402</w:t>
            </w:r>
          </w:p>
        </w:tc>
      </w:tr>
      <w:tr>
        <w:trPr>
          <w:trHeight w:val="257"/>
        </w:trPr>
        <w:tc>
          <w:tcPr>
            <w:tcW w:w="4940" w:type="dxa"/>
            <w:vAlign w:val="bottom"/>
            <w:gridSpan w:val="2"/>
          </w:tcPr>
          <w:p>
            <w:pPr>
              <w:ind w:left="16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19,011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16,953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37,038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26,314</w:t>
            </w: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for License Grants, Milestone and Royalty Payments</w:t>
      </w:r>
    </w:p>
    <w:p>
      <w:pPr>
        <w:spacing w:after="0" w:line="33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recognizes other revenue from contracts with customers related to license grants, milestone related payments and royalty based payments by following the five step model described above.</w:t>
      </w:r>
    </w:p>
    <w:p>
      <w:pPr>
        <w:spacing w:after="0" w:line="116"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Upon adoption of ASC 606</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reassessed the accounting for its license agreement with Innovative Cellular Therapeutics CO., LTD. (ICT) discussed in note 15. The Company identified its performance obligations under the agreement which include the license, a training obligation, and supply of certain raw materials for technology transfer. Based on its assessment of this agreement under the new revenue standard the Company determined that the license is distinct and provides ICT with the right to use the Company's technology and accordingly revenue should be recognized at the point in time at which the Company delivered the license (December 2017). This evaluation was based on 1) the rights provided to ICT under the license, including the ability to sublicense 2) the nature of the technology (primarily rights to technology already commercially approved in the US) and 3) ICT's ability to benefit from the license on its own including using its own existing resources as a manufacturer of autologous cell therapies. The transaction price was determined to be $1.2 million. No milestones or royalties are included in the transaction price as the criteria for including these variable payments have not yet been met. The Company assessed the allocation of arrangement consideration noting no differences in allocation from that determined under ASC 605. The license was delivered in December 2017 and revenue of $1.2 million was recorded in 2017 under the then applicable revenue accounting standard ASC 605. Based upon the Company's evaluation under ASC 606 there was no change in amount or timing of revenue recognized for the agreement and therefore no cumulative change adjustment was recorded upon adoption of the new revenue standard on January 1, 2018. The Company’s remaining performance obligations under the ICT license agreement consist of a training obligation related to technology transfer, and supply of certain raw materials for technology transfer.</w:t>
      </w:r>
    </w:p>
    <w:p>
      <w:pPr>
        <w:spacing w:after="0" w:line="17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ICT license agreement provides for future milestone payments due to the Company upon the achievement of certain developmental and commercial events. The Company evaluates these milestones under the new revenue recognition standard at contract inception and at each reporting period date. Based on the Company’s evaluations to date, the Company has not included any of the future milestones in its determination of the transaction price as it is not yet probable that a significant reversal of revenue would not occur if the milestones were to be recognized. This evaluation was based on 1) the pace and eventual achievement of the milestones are largely dependent on ICT’s performance of its contractual obligations and the Company has no prior experience to determine the likelihood of ICT performing those obligations, and 2) the transfer of the funds for each of the milestone payments by ICT to the Company, if achieved, is subject to approval by the State Administration of Foreign Exchange of the People's Republic of China. The Company does not anticipate receiving any milestone payments in 2018 or in the near-term. Furthermore, there can be no assurance that the Company will receive any such milestone or receive any such transfer of funds from ICT ever.</w:t>
      </w:r>
    </w:p>
    <w:p>
      <w:pPr>
        <w:spacing w:after="0" w:line="398"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The ICT license agreement contains future sales-based royalties to the Company in the low-to-mid double digits. These royalties meet the exception for sales-based or usage-based royalties because they predominantly relate to the license and will be recognized when and if the subsequent sales occur. However, there can be no assurance that the Company will receive any such royalties or receive any such transfer of funds from ICT ever.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From July 2016 through June 2017, the Company utilized a direct sales model and contracted with Dohmen Life Science Services, LLC (DLSS) to provide administrative services associated with case management and reimbursement support and to provide billing and collection services for MACI. The Company also utilized Vital Care, Inc. (Vital Care) to provide similar billing and collection services for a subset of insurance payers and patients. In the second quarter of 2017, the Company and DLSS mutually terminated their agreement effective June 30, 2017. On May 15, 2017, the Company entered into a distribution agreement with Orsini Pharmaceutical Services, Inc. as a specialty pharmacy distributor of MACI and has engaged a third party services provider to provide the patient support program previously provided by DLSS and to manage patient cases for MACI. The Company’s receivables risk became more concentrated, and the concentration of credit risk also shifted for the Company. The Company sells Epicel directly to hospitals and not through a distributor. The Company's receivables are less concentrated than those for MACI.</w:t>
      </w:r>
    </w:p>
    <w:p>
      <w:pPr>
        <w:spacing w:after="0" w:line="1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Company's total revenue and accounts receivable balances were comprised of the following concentrations greater than 10% from its largest customers of Carticel, MACI and Epicel,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2240" w:type="dxa"/>
            <w:vAlign w:val="bottom"/>
            <w:gridSpan w:val="4"/>
          </w:tcPr>
          <w:p>
            <w:pPr>
              <w:ind w:left="520"/>
              <w:spacing w:after="0"/>
              <w:rPr>
                <w:sz w:val="20"/>
                <w:szCs w:val="20"/>
                <w:color w:val="auto"/>
              </w:rPr>
            </w:pPr>
            <w:r>
              <w:rPr>
                <w:rFonts w:ascii="Arial" w:cs="Arial" w:eastAsia="Arial" w:hAnsi="Arial"/>
                <w:sz w:val="16"/>
                <w:szCs w:val="16"/>
                <w:b w:val="1"/>
                <w:bCs w:val="1"/>
                <w:color w:val="auto"/>
                <w:w w:val="94"/>
              </w:rPr>
              <w:t>Revenue Concentration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ind w:left="540"/>
              <w:spacing w:after="0"/>
              <w:rPr>
                <w:sz w:val="20"/>
                <w:szCs w:val="20"/>
                <w:color w:val="auto"/>
              </w:rPr>
            </w:pPr>
            <w:r>
              <w:rPr>
                <w:rFonts w:ascii="Arial" w:cs="Arial" w:eastAsia="Arial" w:hAnsi="Arial"/>
                <w:sz w:val="16"/>
                <w:szCs w:val="16"/>
                <w:b w:val="1"/>
                <w:bCs w:val="1"/>
                <w:color w:val="auto"/>
                <w:w w:val="94"/>
              </w:rPr>
              <w:t>Revenue Concentration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w w:val="93"/>
              </w:rPr>
              <w:t>Accounts Receivable Concentration</w:t>
            </w:r>
          </w:p>
        </w:tc>
      </w:tr>
      <w:tr>
        <w:trPr>
          <w:trHeight w:val="33"/>
        </w:trPr>
        <w:tc>
          <w:tcPr>
            <w:tcW w:w="3160" w:type="dxa"/>
            <w:vAlign w:val="bottom"/>
          </w:tcPr>
          <w:p>
            <w:pPr>
              <w:spacing w:after="0"/>
              <w:rPr>
                <w:sz w:val="2"/>
                <w:szCs w:val="2"/>
                <w:color w:val="auto"/>
              </w:rPr>
            </w:pPr>
          </w:p>
        </w:tc>
        <w:tc>
          <w:tcPr>
            <w:tcW w:w="2780" w:type="dxa"/>
            <w:vAlign w:val="bottom"/>
            <w:tcBorders>
              <w:bottom w:val="single" w:sz="8" w:color="auto"/>
            </w:tcBorders>
            <w:gridSpan w:val="6"/>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3160" w:type="dxa"/>
            <w:vAlign w:val="bottom"/>
          </w:tcPr>
          <w:p>
            <w:pPr>
              <w:spacing w:after="0"/>
              <w:rPr>
                <w:sz w:val="22"/>
                <w:szCs w:val="22"/>
                <w:color w:val="auto"/>
              </w:rPr>
            </w:pPr>
          </w:p>
        </w:tc>
        <w:tc>
          <w:tcPr>
            <w:tcW w:w="278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Three Months Ended June 30,</w:t>
            </w:r>
          </w:p>
        </w:tc>
        <w:tc>
          <w:tcPr>
            <w:tcW w:w="22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4"/>
              </w:rPr>
              <w:t>Six Months Ended June 30,</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4000" w:type="dxa"/>
            <w:vAlign w:val="bottom"/>
            <w:gridSpan w:val="2"/>
          </w:tcPr>
          <w:p>
            <w:pPr>
              <w:ind w:left="3660"/>
              <w:spacing w:after="0"/>
              <w:rPr>
                <w:sz w:val="20"/>
                <w:szCs w:val="20"/>
                <w:color w:val="auto"/>
              </w:rPr>
            </w:pPr>
            <w:r>
              <w:rPr>
                <w:rFonts w:ascii="Arial" w:cs="Arial" w:eastAsia="Arial" w:hAnsi="Arial"/>
                <w:sz w:val="14"/>
                <w:szCs w:val="14"/>
                <w:b w:val="1"/>
                <w:bCs w:val="1"/>
                <w:color w:val="auto"/>
              </w:rPr>
              <w:t>2018</w:t>
            </w:r>
          </w:p>
        </w:tc>
        <w:tc>
          <w:tcPr>
            <w:tcW w:w="1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4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300" w:type="dxa"/>
            <w:vAlign w:val="bottom"/>
          </w:tcPr>
          <w:p>
            <w:pPr>
              <w:jc w:val="right"/>
              <w:ind w:right="419"/>
              <w:spacing w:after="0"/>
              <w:rPr>
                <w:sz w:val="20"/>
                <w:szCs w:val="20"/>
                <w:color w:val="auto"/>
              </w:rPr>
            </w:pPr>
            <w:r>
              <w:rPr>
                <w:rFonts w:ascii="Arial" w:cs="Arial" w:eastAsia="Arial" w:hAnsi="Arial"/>
                <w:sz w:val="14"/>
                <w:szCs w:val="14"/>
                <w:b w:val="1"/>
                <w:bCs w:val="1"/>
                <w:color w:val="auto"/>
              </w:rPr>
              <w:t>2017</w:t>
            </w:r>
          </w:p>
        </w:tc>
      </w:tr>
      <w:tr>
        <w:trPr>
          <w:trHeight w:val="270"/>
        </w:trPr>
        <w:tc>
          <w:tcPr>
            <w:tcW w:w="31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MACI and Carticel</w:t>
            </w:r>
            <w:r>
              <w:rPr>
                <w:rFonts w:ascii="Arial" w:cs="Arial" w:eastAsia="Arial" w:hAnsi="Arial"/>
                <w:sz w:val="25"/>
                <w:szCs w:val="25"/>
                <w:color w:val="auto"/>
                <w:vertAlign w:val="superscript"/>
              </w:rPr>
              <w:t>1</w:t>
            </w:r>
          </w:p>
        </w:tc>
        <w:tc>
          <w:tcPr>
            <w:tcW w:w="8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12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14%</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bl>
    <w:p>
      <w:pPr>
        <w:ind w:left="120" w:hanging="112"/>
        <w:spacing w:after="0" w:line="202" w:lineRule="auto"/>
        <w:tabs>
          <w:tab w:leader="none" w:pos="12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Carticel was removed from the market at the end of the second quarter of 2017</w:t>
      </w:r>
    </w:p>
    <w:p>
      <w:pPr>
        <w:spacing w:after="0" w:line="19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Selected Balance Sheet Components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Inventory as of June 30,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60"/>
              <w:spacing w:after="0"/>
              <w:rPr>
                <w:sz w:val="20"/>
                <w:szCs w:val="20"/>
                <w:color w:val="auto"/>
              </w:rPr>
            </w:pPr>
            <w:r>
              <w:rPr>
                <w:rFonts w:ascii="Arial" w:cs="Arial" w:eastAsia="Arial" w:hAnsi="Arial"/>
                <w:sz w:val="18"/>
                <w:szCs w:val="18"/>
                <w:color w:val="auto"/>
              </w:rPr>
              <w:t>Property and equipment, net as of June 30, 2018 and December 31, 2017:</w:t>
            </w: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property and equipment, gross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11,565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10,692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both 2018 and 2017, depreciation expense for the three and six months ended June 30 was $0.4 million and $0.8 million, respectively.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June 30,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related compensation</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Employee related accruals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2,389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w:t>
            </w:r>
          </w:p>
        </w:tc>
      </w:tr>
      <w:tr>
        <w:trPr>
          <w:trHeight w:val="237"/>
        </w:trPr>
        <w:tc>
          <w:tcPr>
            <w:tcW w:w="8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5,111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5,573</w:t>
            </w: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46" w:right="239" w:bottom="1440" w:gutter="0" w:footer="0" w:header="0"/>
          <w:type w:val="continuous"/>
        </w:sectPr>
      </w:pPr>
    </w:p>
    <w:bookmarkStart w:id="10" w:name="page11"/>
    <w:bookmarkEnd w:id="10"/>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 Purchase Warrants</w:t>
      </w:r>
    </w:p>
    <w:p>
      <w:pPr>
        <w:spacing w:after="0" w:line="22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Company has historically issued warrants to purchase shares of the Company’s common stock in connection with certain of its common stock offerings and in September 2016 and December 2017 the Company issued warrants in connection with the amended debt agreement discussed in note 7 (collectively the Debt Warrants). The warrants issued in August 2013 (August 2013 Warrants) include anti-dilution price protection provisions that require cash settlement of the warrants and accordingly require the warrants to be recorded as liabilities of the Company at the estimated fair value at the balance sheet date, with changes in estimated fair value recorded as income or expense (non-cash) in the Company’s statement of operations in each subsequent period. The following table describes the outstanding warrants as of June 30, 2018:</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92"/>
        </w:trPr>
        <w:tc>
          <w:tcPr>
            <w:tcW w:w="366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August 2013 Warrants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September 2016 Warrants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December 2017 Warrants</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price</w:t>
            </w:r>
          </w:p>
        </w:tc>
        <w:tc>
          <w:tcPr>
            <w:tcW w:w="190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rPr>
              <w:t>$4.80</w:t>
            </w:r>
          </w:p>
        </w:tc>
        <w:tc>
          <w:tcPr>
            <w:tcW w:w="208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rPr>
              <w:t>$2.25</w:t>
            </w:r>
          </w:p>
        </w:tc>
        <w:tc>
          <w:tcPr>
            <w:tcW w:w="19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rPr>
              <w:t>$4.27</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Expiration date</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August 16, 2018</w:t>
            </w:r>
          </w:p>
        </w:tc>
        <w:tc>
          <w:tcPr>
            <w:tcW w:w="2080" w:type="dxa"/>
            <w:vAlign w:val="bottom"/>
          </w:tcPr>
          <w:p>
            <w:pPr>
              <w:jc w:val="center"/>
              <w:spacing w:after="0"/>
              <w:rPr>
                <w:sz w:val="20"/>
                <w:szCs w:val="20"/>
                <w:color w:val="auto"/>
              </w:rPr>
            </w:pPr>
            <w:r>
              <w:rPr>
                <w:rFonts w:ascii="Arial" w:cs="Arial" w:eastAsia="Arial" w:hAnsi="Arial"/>
                <w:sz w:val="18"/>
                <w:szCs w:val="18"/>
                <w:color w:val="auto"/>
                <w:w w:val="88"/>
              </w:rPr>
              <w:t>September 9, 2022</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December 6, 2023</w:t>
            </w:r>
          </w:p>
        </w:tc>
      </w:tr>
      <w:tr>
        <w:trPr>
          <w:trHeight w:val="27"/>
        </w:trPr>
        <w:tc>
          <w:tcPr>
            <w:tcW w:w="3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shares issuable on exercise</w:t>
            </w:r>
          </w:p>
        </w:tc>
        <w:tc>
          <w:tcPr>
            <w:tcW w:w="190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315,500</w:t>
            </w:r>
          </w:p>
        </w:tc>
        <w:tc>
          <w:tcPr>
            <w:tcW w:w="20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58,537</w:t>
            </w:r>
          </w:p>
        </w:tc>
        <w:tc>
          <w:tcPr>
            <w:tcW w:w="194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53,902</w:t>
            </w:r>
          </w:p>
        </w:tc>
      </w:tr>
      <w:tr>
        <w:trPr>
          <w:trHeight w:val="27"/>
        </w:trPr>
        <w:tc>
          <w:tcPr>
            <w:tcW w:w="36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During the six months ended June 30, 2018, the Company issued 409,450 and 45,625 shares of common stock upon the exercise of August 2013 and September 2016 Warrants with an exercise price of $4.80 and $2.25 per share, respectively for proceeds of $2.0 million.</w:t>
      </w:r>
    </w:p>
    <w:p>
      <w:pPr>
        <w:spacing w:after="0" w:line="17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fair value of the warrants described in the table above is measured using the Black-Scholes valuation model. Inherent in the Black-Scholes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assumptions used by the Company are summarized in the following tables: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August 2013 Warrants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5.45</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340" w:type="dxa"/>
            <w:vAlign w:val="bottom"/>
          </w:tcPr>
          <w:p>
            <w:pPr>
              <w:spacing w:after="0"/>
              <w:rPr>
                <w:sz w:val="21"/>
                <w:szCs w:val="21"/>
                <w:color w:val="auto"/>
              </w:rPr>
            </w:pPr>
          </w:p>
        </w:tc>
        <w:tc>
          <w:tcPr>
            <w:tcW w:w="17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tcPr>
          <w:p>
            <w:pPr>
              <w:ind w:left="1200"/>
              <w:spacing w:after="0"/>
              <w:rPr>
                <w:sz w:val="20"/>
                <w:szCs w:val="20"/>
                <w:color w:val="auto"/>
              </w:rPr>
            </w:pPr>
            <w:r>
              <w:rPr>
                <w:rFonts w:ascii="Arial" w:cs="Arial" w:eastAsia="Arial" w:hAnsi="Arial"/>
                <w:sz w:val="18"/>
                <w:szCs w:val="18"/>
                <w:color w:val="auto"/>
                <w:w w:val="99"/>
              </w:rPr>
              <w:t>—%</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w w:val="93"/>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3"/>
              </w:rPr>
              <w:t>63.7%</w:t>
            </w:r>
          </w:p>
        </w:tc>
      </w:tr>
      <w:tr>
        <w:trPr>
          <w:trHeight w:val="243"/>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21"/>
                <w:szCs w:val="21"/>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w w:val="93"/>
              </w:rPr>
              <w:t>1.77%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ind w:left="1060"/>
              <w:spacing w:after="0"/>
              <w:rPr>
                <w:sz w:val="20"/>
                <w:szCs w:val="20"/>
                <w:color w:val="auto"/>
              </w:rPr>
            </w:pPr>
            <w:r>
              <w:rPr>
                <w:rFonts w:ascii="Arial" w:cs="Arial" w:eastAsia="Arial" w:hAnsi="Arial"/>
                <w:sz w:val="18"/>
                <w:szCs w:val="18"/>
                <w:color w:val="auto"/>
                <w:w w:val="93"/>
              </w:rPr>
              <w:t>1.65%</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340" w:type="dxa"/>
            <w:vAlign w:val="bottom"/>
            <w:shd w:val="clear" w:color="auto" w:fill="CCEEFF"/>
          </w:tcPr>
          <w:p>
            <w:pPr>
              <w:spacing w:after="0"/>
              <w:rPr>
                <w:sz w:val="21"/>
                <w:szCs w:val="21"/>
                <w:color w:val="auto"/>
              </w:rPr>
            </w:pPr>
          </w:p>
        </w:tc>
        <w:tc>
          <w:tcPr>
            <w:tcW w:w="16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0.62</w:t>
            </w:r>
          </w:p>
        </w:tc>
      </w:tr>
      <w:tr>
        <w:trPr>
          <w:trHeight w:val="27"/>
        </w:trPr>
        <w:tc>
          <w:tcPr>
            <w:tcW w:w="7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 xml:space="preserve">On December 6, 2017, the Company replaced its existing term loan and revolving line of credit agreement with the SVB-MidCap facility which provides access to up to $25.0 million. The updated debt financing consists of a $15.0 million term loan which was drawn at the closing and up to $10.0 million of a revolving line of credit. The term loan is interest only (indexed to Wall Street Journal (WSJ) Prime plus 4.25%) until December 1, 2018 followed by 36 equal monthly payments of principal plus interest maturing December 6, 2021. Under the terms of the agreement, the revolving line of credit is limited to a borrowing base calculated using eligible accounts receivable and maturing December 6, 2021 with an interest rate indexed to WSJ Prime plus 1.25%. </w:t>
      </w:r>
      <w:r>
        <w:rPr>
          <w:rFonts w:ascii="Arial" w:cs="Arial" w:eastAsia="Arial" w:hAnsi="Arial"/>
          <w:sz w:val="17"/>
          <w:szCs w:val="17"/>
          <w:color w:val="222222"/>
        </w:rPr>
        <w:t>The</w:t>
      </w:r>
      <w:r>
        <w:rPr>
          <w:rFonts w:ascii="Arial" w:cs="Arial" w:eastAsia="Arial" w:hAnsi="Arial"/>
          <w:sz w:val="17"/>
          <w:szCs w:val="17"/>
          <w:color w:val="auto"/>
        </w:rPr>
        <w:t xml:space="preserve"> </w:t>
      </w:r>
      <w:r>
        <w:rPr>
          <w:rFonts w:ascii="Arial" w:cs="Arial" w:eastAsia="Arial" w:hAnsi="Arial"/>
          <w:sz w:val="17"/>
          <w:szCs w:val="17"/>
          <w:color w:val="222222"/>
        </w:rPr>
        <w:t xml:space="preserve">Company is subject to various financial and nonfinancial covenants including but not limited to a monthly minimum net revenue covenant </w:t>
      </w:r>
      <w:r>
        <w:rPr>
          <w:rFonts w:ascii="Arial" w:cs="Arial" w:eastAsia="Arial" w:hAnsi="Arial"/>
          <w:sz w:val="17"/>
          <w:szCs w:val="17"/>
          <w:color w:val="000000"/>
        </w:rPr>
        <w:t>(determined in</w:t>
      </w:r>
      <w:r>
        <w:rPr>
          <w:rFonts w:ascii="Arial" w:cs="Arial" w:eastAsia="Arial" w:hAnsi="Arial"/>
          <w:sz w:val="17"/>
          <w:szCs w:val="17"/>
          <w:color w:val="222222"/>
        </w:rPr>
        <w:t xml:space="preserve"> </w:t>
      </w:r>
      <w:r>
        <w:rPr>
          <w:rFonts w:ascii="Arial" w:cs="Arial" w:eastAsia="Arial" w:hAnsi="Arial"/>
          <w:sz w:val="17"/>
          <w:szCs w:val="17"/>
          <w:color w:val="000000"/>
        </w:rPr>
        <w:t>accordance with GAAP), measured on a trailing twelve month basis</w:t>
      </w:r>
      <w:r>
        <w:rPr>
          <w:rFonts w:ascii="Arial" w:cs="Arial" w:eastAsia="Arial" w:hAnsi="Arial"/>
          <w:sz w:val="17"/>
          <w:szCs w:val="17"/>
          <w:color w:val="222222"/>
        </w:rPr>
        <w:t>. SVB and MidCap have the ability to call debt based on material adverse change clauses</w:t>
      </w:r>
      <w:r>
        <w:rPr>
          <w:rFonts w:ascii="Arial" w:cs="Arial" w:eastAsia="Arial" w:hAnsi="Arial"/>
          <w:sz w:val="17"/>
          <w:szCs w:val="17"/>
          <w:color w:val="000000"/>
        </w:rPr>
        <w:t xml:space="preserve"> </w:t>
      </w:r>
      <w:r>
        <w:rPr>
          <w:rFonts w:ascii="Arial" w:cs="Arial" w:eastAsia="Arial" w:hAnsi="Arial"/>
          <w:sz w:val="17"/>
          <w:szCs w:val="17"/>
          <w:color w:val="222222"/>
        </w:rPr>
        <w:t xml:space="preserve">which are subjectively determinable and result in a </w:t>
      </w:r>
      <w:r>
        <w:rPr>
          <w:rFonts w:ascii="Arial" w:cs="Arial" w:eastAsia="Arial" w:hAnsi="Arial"/>
          <w:sz w:val="17"/>
          <w:szCs w:val="17"/>
          <w:color w:val="000000"/>
        </w:rPr>
        <w:t>subjective acceleration clause. SVB and MidCap have a shared first priority perfected security interest in</w:t>
      </w:r>
      <w:r>
        <w:rPr>
          <w:rFonts w:ascii="Arial" w:cs="Arial" w:eastAsia="Arial" w:hAnsi="Arial"/>
          <w:sz w:val="17"/>
          <w:szCs w:val="17"/>
          <w:color w:val="222222"/>
        </w:rPr>
        <w:t xml:space="preserve"> </w:t>
      </w:r>
      <w:r>
        <w:rPr>
          <w:rFonts w:ascii="Arial" w:cs="Arial" w:eastAsia="Arial" w:hAnsi="Arial"/>
          <w:sz w:val="17"/>
          <w:szCs w:val="17"/>
          <w:color w:val="000000"/>
        </w:rPr>
        <w:t>all assets of the Company other than intellectual property.</w:t>
      </w:r>
    </w:p>
    <w:p>
      <w:pPr>
        <w:spacing w:after="0" w:line="182"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As of June 30, 2018, there was an outstanding balance of $15.0 million under the term loan and $2.5 million under the revolving line of credit (net of total deferred costs of $0.2 million). The weighted average interest rate on the outstanding term and revolving credit loans as of June 30, 2018 was 8.82% in addition to a final payment of 3.6% of the term loan due upon maturity. The available capacity under the revolving line of credit a</w:t>
      </w:r>
      <w:r>
        <w:rPr>
          <w:rFonts w:ascii="Arial" w:cs="Arial" w:eastAsia="Arial" w:hAnsi="Arial"/>
          <w:sz w:val="17"/>
          <w:szCs w:val="17"/>
          <w:color w:val="222222"/>
        </w:rPr>
        <w:t>s of</w:t>
      </w:r>
      <w:r>
        <w:rPr>
          <w:rFonts w:ascii="Arial" w:cs="Arial" w:eastAsia="Arial" w:hAnsi="Arial"/>
          <w:sz w:val="17"/>
          <w:szCs w:val="17"/>
          <w:color w:val="auto"/>
        </w:rPr>
        <w:t xml:space="preserve"> June 30, 2018 </w:t>
      </w:r>
      <w:r>
        <w:rPr>
          <w:rFonts w:ascii="Arial" w:cs="Arial" w:eastAsia="Arial" w:hAnsi="Arial"/>
          <w:sz w:val="17"/>
          <w:szCs w:val="17"/>
          <w:color w:val="222222"/>
        </w:rPr>
        <w:t>was</w:t>
      </w:r>
      <w:r>
        <w:rPr>
          <w:rFonts w:ascii="Arial" w:cs="Arial" w:eastAsia="Arial" w:hAnsi="Arial"/>
          <w:sz w:val="17"/>
          <w:szCs w:val="17"/>
          <w:color w:val="auto"/>
        </w:rPr>
        <w:t xml:space="preserve"> $6.8 million</w:t>
      </w:r>
      <w:r>
        <w:rPr>
          <w:rFonts w:ascii="Arial" w:cs="Arial" w:eastAsia="Arial" w:hAnsi="Arial"/>
          <w:sz w:val="17"/>
          <w:szCs w:val="17"/>
          <w:color w:val="222222"/>
        </w:rPr>
        <w:t>.</w:t>
      </w:r>
      <w:r>
        <w:rPr>
          <w:rFonts w:ascii="Arial" w:cs="Arial" w:eastAsia="Arial" w:hAnsi="Arial"/>
          <w:sz w:val="17"/>
          <w:szCs w:val="17"/>
          <w:color w:val="auto"/>
        </w:rPr>
        <w:t xml:space="preserve"> The Company was, and continues to be, in compliance with its financial and non-financial debt covenants.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ind w:left="240"/>
        <w:spacing w:after="0"/>
        <w:rPr>
          <w:sz w:val="20"/>
          <w:szCs w:val="20"/>
          <w:color w:val="auto"/>
        </w:rPr>
      </w:pPr>
      <w:r>
        <w:rPr>
          <w:rFonts w:ascii="Arial" w:cs="Arial" w:eastAsia="Arial" w:hAnsi="Arial"/>
          <w:sz w:val="18"/>
          <w:szCs w:val="18"/>
          <w:color w:val="auto"/>
        </w:rPr>
        <w:t>Annual principal payments on debt at June 30, 2018,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3120" w:type="dxa"/>
        <w:tblCellMar>
          <w:top w:w="0" w:type="dxa"/>
          <w:left w:w="0" w:type="dxa"/>
          <w:bottom w:w="0" w:type="dxa"/>
          <w:right w:w="0" w:type="dxa"/>
        </w:tblCellMar>
      </w:tblPr>
      <w:tr>
        <w:trPr>
          <w:trHeight w:val="186"/>
        </w:trPr>
        <w:tc>
          <w:tcPr>
            <w:tcW w:w="2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2"/>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9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r>
      <w:tr>
        <w:trPr>
          <w:trHeight w:val="250"/>
        </w:trPr>
        <w:tc>
          <w:tcPr>
            <w:tcW w:w="29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2018</w:t>
            </w:r>
          </w:p>
        </w:tc>
        <w:tc>
          <w:tcPr>
            <w:tcW w:w="920" w:type="dxa"/>
            <w:vAlign w:val="bottom"/>
            <w:tcBorders>
              <w:bottom w:val="single" w:sz="8" w:color="BFE4FF"/>
            </w:tcBorders>
            <w:shd w:val="clear" w:color="auto" w:fill="BFE4FF"/>
          </w:tcPr>
          <w:p>
            <w:pPr>
              <w:jc w:val="right"/>
              <w:ind w:right="7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417</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2019</w:t>
            </w: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
        </w:trPr>
        <w:tc>
          <w:tcPr>
            <w:tcW w:w="2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2020</w:t>
            </w:r>
          </w:p>
        </w:tc>
        <w:tc>
          <w:tcPr>
            <w:tcW w:w="9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2021</w:t>
            </w: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7,083</w:t>
            </w:r>
          </w:p>
        </w:tc>
      </w:tr>
      <w:tr>
        <w:trPr>
          <w:trHeight w:val="27"/>
        </w:trPr>
        <w:tc>
          <w:tcPr>
            <w:tcW w:w="2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2022</w:t>
            </w:r>
          </w:p>
        </w:tc>
        <w:tc>
          <w:tcPr>
            <w:tcW w:w="9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9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920" w:type="dxa"/>
            <w:vAlign w:val="bottom"/>
            <w:tcBorders>
              <w:bottom w:val="single" w:sz="8" w:color="BFE4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2920" w:type="dxa"/>
            <w:vAlign w:val="bottom"/>
            <w:tcBorders>
              <w:bottom w:val="single" w:sz="8" w:color="BFE4FF"/>
            </w:tcBorders>
            <w:shd w:val="clear" w:color="auto" w:fill="BFE4FF"/>
          </w:tcPr>
          <w:p>
            <w:pPr>
              <w:spacing w:after="0"/>
              <w:rPr>
                <w:sz w:val="22"/>
                <w:szCs w:val="22"/>
                <w:color w:val="auto"/>
              </w:rPr>
            </w:pPr>
          </w:p>
        </w:tc>
        <w:tc>
          <w:tcPr>
            <w:tcW w:w="920" w:type="dxa"/>
            <w:vAlign w:val="bottom"/>
            <w:tcBorders>
              <w:bottom w:val="single" w:sz="8" w:color="BFE4FF"/>
            </w:tcBorders>
            <w:shd w:val="clear" w:color="auto" w:fill="BFE4FF"/>
          </w:tcPr>
          <w:p>
            <w:pPr>
              <w:jc w:val="right"/>
              <w:ind w:right="7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17,500</w:t>
            </w:r>
          </w:p>
        </w:tc>
      </w:tr>
      <w:tr>
        <w:trPr>
          <w:trHeight w:val="20"/>
        </w:trPr>
        <w:tc>
          <w:tcPr>
            <w:tcW w:w="2920" w:type="dxa"/>
            <w:vAlign w:val="bottom"/>
            <w:tcBorders>
              <w:top w:val="single" w:sz="8" w:color="BFE4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and Equity Incentive Plans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has historically had various stock incentive plans and agreements that provide for the issuance of nonqualified and incentive stock options as well as other equity awards. Such awards may be granted by the Company’s Board of Directors to certain of the Company’s employees, directors and consultants. Options granted under these plans expire no later than ten years from the date of grant, and other than those granted to non-employee directors, generally become exercisable over a four year period, under a graded-vesting methodology, following the date of grant. The Company generally issues new shares upon the exercise of stock options.</w:t>
      </w:r>
    </w:p>
    <w:p>
      <w:pPr>
        <w:spacing w:after="0" w:line="188"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2017 Omnibus Incentive Plan (2017 Plan) was approved by the Company's shareholders on May 3, 2017 at the annual meeting of shareholders. The 2017 Plan provides incentives through the grant of stock options, stock appreciation rights, restricted stock awards and restricted stock units. The exercise price of stock options granted under the 2017 Plan shall not be less than the fair market value of the Company’s common stock on the date of grant. The 2017 Plan replaced the 1992 Stock Option Plan, the 2001 Stock Option Plan, the Amended and Restated 2004 Equity Incentive Plan and the 2009 Second Amended and Restated Omnibus Incentive Plan (Prior Plans), and no new awards have been granted under the Prior Plans. However, the expiration or forfeiture of options previously granted under the Prior Plans will increase the number of shares available for issuance under the 2017 Plan.</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2018, there were 3,022,033 shares available for future grant under the 2017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Employees are able to purchase stock under the Vericel Corporation Employee Stock Purchase Plan (ESPP). The ESPP allows for the issuance of an aggregate of 1,000,000 shares of common stock of which 485,676 have been granted since the inception of the plan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 On July 2, 2018, employees purchased 24,242 shares resulting in proceeds from the sale of common stock of $0.2 million under the ESPP.</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Service-Based Stock Options</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During the three and six months ended June 30, 2018, the Company granted 119,450 and 1,482,760 service-based options to purchase common stock, respectively. The options have an exercise price equal to the fair market value per share of common stock on the grant date, generally vest over four years (other than non-employee options which vest over one year), and have a term of ten years. The Company issues new shares upon the exercise of stock options. The weighted average grant-date fair value of service-based options granted under the Option Plan for the three and six month periods ended June 30, 2018 was $9.26 and $6.85, respectively, and $1.86 and $1.94, for the same periods in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0" w:right="239"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b w:val="1"/>
          <w:bCs w:val="1"/>
          <w:i w:val="1"/>
          <w:iCs w:val="1"/>
          <w:color w:val="auto"/>
        </w:rPr>
        <w:t>Stock Compensation Expense</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Non-cash stock-based compensation expense (employee stock purchase plan and service-based stock options) included in cost of goods sold, research and development expenses and selling, general and administrative expenses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1,629</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887</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2,465</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1,298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auto"/>
            </w:tcBorders>
            <w:gridSpan w:val="3"/>
          </w:tcPr>
          <w:p>
            <w:pPr>
              <w:jc w:val="right"/>
              <w:ind w:right="8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2017</w:t>
            </w: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1880" w:type="dxa"/>
            <w:vAlign w:val="bottom"/>
            <w:tcBorders>
              <w:bottom w:val="single" w:sz="8" w:color="CCEEFF"/>
            </w:tcBorders>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82.3 – 88.3%</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80.1 – 88.2%</w:t>
            </w:r>
          </w:p>
        </w:tc>
      </w:tr>
      <w:tr>
        <w:trPr>
          <w:trHeight w:val="27"/>
        </w:trPr>
        <w:tc>
          <w:tcPr>
            <w:tcW w:w="7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 – 2.9%</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 – 2.3%</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5.2 – 6.3</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5.5 – 6.3</w:t>
            </w:r>
          </w:p>
        </w:tc>
      </w:tr>
    </w:tbl>
    <w:p>
      <w:pPr>
        <w:spacing w:after="0" w:line="200" w:lineRule="exact"/>
        <w:rPr>
          <w:sz w:val="20"/>
          <w:szCs w:val="20"/>
          <w:color w:val="auto"/>
        </w:rPr>
      </w:pPr>
    </w:p>
    <w:p>
      <w:pPr>
        <w:spacing w:after="0" w:line="28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3" w:name="page14"/>
    <w:bookmarkEnd w:id="13"/>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ind w:left="980" w:hanging="324"/>
        <w:spacing w:after="0" w:line="261"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4"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There was no movement between level 1 and level 2 or between level 2 and level 3. The following table summarizes the valuation of the Company’s financial instruments that are measured at fair value on a recurring basis:</w:t>
      </w:r>
    </w:p>
    <w:p>
      <w:pPr>
        <w:sectPr>
          <w:pgSz w:w="11900" w:h="16908" w:orient="portrait"/>
          <w:cols w:equalWidth="0" w:num="1">
            <w:col w:w="11420"/>
          </w:cols>
          <w:pgMar w:left="240" w:top="584" w:right="239" w:bottom="0" w:gutter="0" w:footer="0" w:header="0"/>
        </w:sectPr>
      </w:pPr>
    </w:p>
    <w:p>
      <w:pPr>
        <w:spacing w:after="0" w:line="392" w:lineRule="exact"/>
        <w:rPr>
          <w:sz w:val="20"/>
          <w:szCs w:val="20"/>
          <w:color w:val="auto"/>
        </w:rPr>
      </w:pPr>
    </w:p>
    <w:p>
      <w:pPr>
        <w:ind w:left="4220"/>
        <w:spacing w:after="0"/>
        <w:rPr>
          <w:sz w:val="20"/>
          <w:szCs w:val="20"/>
          <w:color w:val="auto"/>
        </w:rPr>
      </w:pPr>
      <w:r>
        <w:rPr>
          <w:rFonts w:ascii="Arial" w:cs="Arial" w:eastAsia="Arial" w:hAnsi="Arial"/>
          <w:sz w:val="14"/>
          <w:szCs w:val="14"/>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23495</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p>
      <w:pPr>
        <w:ind w:left="420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38100</wp:posOffset>
            </wp:positionV>
            <wp:extent cx="2092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23495</wp:posOffset>
            </wp:positionV>
            <wp:extent cx="2813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38100</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46" w:lineRule="exact"/>
        <w:rPr>
          <w:sz w:val="20"/>
          <w:szCs w:val="20"/>
          <w:color w:val="auto"/>
        </w:rPr>
      </w:pPr>
    </w:p>
    <w:p>
      <w:pPr>
        <w:sectPr>
          <w:pgSz w:w="11900" w:h="16908" w:orient="portrait"/>
          <w:cols w:equalWidth="0" w:num="2">
            <w:col w:w="7900" w:space="720"/>
            <w:col w:w="2800"/>
          </w:cols>
          <w:pgMar w:left="240" w:top="584" w:right="239" w:bottom="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Warrant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1"/>
                <w:szCs w:val="21"/>
                <w:color w:val="auto"/>
              </w:rPr>
            </w:pPr>
          </w:p>
        </w:tc>
        <w:tc>
          <w:tcPr>
            <w:tcW w:w="740" w:type="dxa"/>
            <w:vAlign w:val="bottom"/>
          </w:tcPr>
          <w:p>
            <w:pPr>
              <w:jc w:val="right"/>
              <w:ind w:right="539"/>
              <w:spacing w:after="0"/>
              <w:rPr>
                <w:sz w:val="20"/>
                <w:szCs w:val="20"/>
                <w:color w:val="auto"/>
              </w:rPr>
            </w:pPr>
            <w:r>
              <w:rPr>
                <w:rFonts w:ascii="Arial" w:cs="Arial" w:eastAsia="Arial" w:hAnsi="Arial"/>
                <w:sz w:val="18"/>
                <w:szCs w:val="18"/>
                <w:color w:val="auto"/>
                <w:w w:val="99"/>
              </w:rPr>
              <w:t>$</w:t>
            </w:r>
          </w:p>
        </w:tc>
        <w:tc>
          <w:tcPr>
            <w:tcW w:w="640" w:type="dxa"/>
            <w:vAlign w:val="bottom"/>
            <w:gridSpan w:val="3"/>
          </w:tcPr>
          <w:p>
            <w:pPr>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r>
    </w:tbl>
    <w:p>
      <w:pPr>
        <w:spacing w:after="0" w:line="39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change in the estimated fair value of the Company’s outstanding warrant liabilities as of June 30, 2018:</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Warrant Liabilities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8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1,014</w:t>
            </w: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Increase in fair value</w:t>
            </w: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2,944</w:t>
            </w:r>
          </w:p>
        </w:tc>
      </w:tr>
      <w:tr>
        <w:trPr>
          <w:trHeight w:val="27"/>
        </w:trPr>
        <w:tc>
          <w:tcPr>
            <w:tcW w:w="9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exercise</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r>
      <w:tr>
        <w:trPr>
          <w:trHeight w:val="237"/>
        </w:trPr>
        <w:tc>
          <w:tcPr>
            <w:tcW w:w="9800" w:type="dxa"/>
            <w:vAlign w:val="bottom"/>
          </w:tcPr>
          <w:p>
            <w:pPr>
              <w:ind w:left="40"/>
              <w:spacing w:after="0"/>
              <w:rPr>
                <w:sz w:val="20"/>
                <w:szCs w:val="20"/>
                <w:color w:val="auto"/>
              </w:rPr>
            </w:pPr>
            <w:r>
              <w:rPr>
                <w:rFonts w:ascii="Arial" w:cs="Arial" w:eastAsia="Arial" w:hAnsi="Arial"/>
                <w:sz w:val="18"/>
                <w:szCs w:val="18"/>
                <w:color w:val="auto"/>
              </w:rPr>
              <w:t>Balance at June 30, 2018</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1,549</w:t>
            </w:r>
          </w:p>
        </w:tc>
      </w:tr>
      <w:tr>
        <w:trPr>
          <w:trHeight w:val="27"/>
        </w:trPr>
        <w:tc>
          <w:tcPr>
            <w:tcW w:w="98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330"/>
        <w:spacing w:after="0" w:line="277" w:lineRule="auto"/>
        <w:rPr>
          <w:sz w:val="20"/>
          <w:szCs w:val="20"/>
          <w:color w:val="auto"/>
        </w:rPr>
      </w:pPr>
      <w:r>
        <w:rPr>
          <w:rFonts w:ascii="Arial" w:cs="Arial" w:eastAsia="Arial" w:hAnsi="Arial"/>
          <w:sz w:val="18"/>
          <w:szCs w:val="18"/>
          <w:color w:val="auto"/>
        </w:rPr>
        <w:t>The increase in fair value of warrants is due to the increase in stock price which has a direct impact to the Black-Scholes valuation model discussed in note 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and Term Loan Credit Agreements</w:t>
      </w:r>
    </w:p>
    <w:p>
      <w:pPr>
        <w:spacing w:after="0" w:line="144"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At each of June 30, 2018 and December 31, 2017, the Company had a total of $17.3 million net debt outstanding under our revolving and term loan credit agreements, which are variable rate loans. The fair value of these loans approximates book value based on the borrowing rates currently available for variable rate loans obtained from third party lending institutions. These fair values represent level 2 under the three-tier hierarchy described above.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At-the-Market Sales Agreement</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October 10, 2016, the Company entered into an at-the-market sales agreement with Cowen (ATM Agreement), pursuant to which the Company could sell shares of its common stock through Cowen, as sales agent, in registered transactions from the Company's shelf registration statement filed in June 2015, for aggregate proceeds of up to $25.0 million. Shares of common stock sold under the ATM were sold at market prices. The Company was required to pay up to 3% of the gross proceeds to Cowen as a commission. A total of 2,340,879 shares of common stock were sold under the ATM Agreement of which 1,983,023 were sold in 2017 for proceeds of $7.2 million (net of $0.3 million in commission and issuance costs). There were no shares sold under the ATM Agreement during the six months ended June 30, 2018. Effective May 29, 2018, the Company terminated the ATM Agreement and no further sales pursuant to the ATM Agreement will be made following such date of termination.</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Public Equity Offering</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June 2018, the Company sold a total of 5,750,000 shares of its common stock in an underwritten public offering at a price per share of $13.00 per share. The Company received proceeds of $70.1 million, net of $4.7 million of underwriters’ discount and issuance costs consisting primarily of legal and accounting fees. The Company recorded these proceeds as a common stock issuance.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11.Net Loss Per Common Share</w:t>
      </w:r>
    </w:p>
    <w:p>
      <w:pPr>
        <w:spacing w:after="0" w:line="229"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20"/>
                <w:szCs w:val="20"/>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(4,651)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(12,166)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 for basic and diluted EPS: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38,349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32,765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37,251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32,333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Net loss per share attributable to common shareholders (basic and</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Common equivalent shares are not included in the diluted per share calculation where the effect of their inclusion would be anti-dilutive. The aggregate number of common equivalent shares (related to options, warrants and preferred stock) that have been excluded from the computations of diluted net loss per</w:t>
      </w:r>
    </w:p>
    <w:p>
      <w:pPr>
        <w:sectPr>
          <w:pgSz w:w="11900" w:h="16908" w:orient="portrait"/>
          <w:cols w:equalWidth="0" w:num="1">
            <w:col w:w="11420"/>
          </w:cols>
          <w:pgMar w:left="240" w:top="584" w:right="239" w:bottom="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common share at June 30, 2018 and 2017 were 5.8 million and 5.5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 xml:space="preserve">The Company leases facilities in Ann Arbor, Michigan and Cambridge, Massachusetts. In March 2016, the Company amended its current lease in Cambridge to, among other provisions, extend the term until February 2022. Under the amendment, the landlord will contribute approximately $2.0 million toward the cost of tenant improvements. The </w:t>
      </w:r>
      <w:r>
        <w:rPr>
          <w:rFonts w:ascii="Arial" w:cs="Arial" w:eastAsia="Arial" w:hAnsi="Arial"/>
          <w:sz w:val="16"/>
          <w:szCs w:val="16"/>
          <w:color w:val="222222"/>
        </w:rPr>
        <w:t>contribution toward the cost of tenant improvements is recorded as deferred rent on the Company's condensed</w:t>
      </w:r>
      <w:r>
        <w:rPr>
          <w:rFonts w:ascii="Arial" w:cs="Arial" w:eastAsia="Arial" w:hAnsi="Arial"/>
          <w:sz w:val="16"/>
          <w:szCs w:val="16"/>
          <w:color w:val="auto"/>
        </w:rPr>
        <w:t xml:space="preserve"> </w:t>
      </w:r>
      <w:r>
        <w:rPr>
          <w:rFonts w:ascii="Arial" w:cs="Arial" w:eastAsia="Arial" w:hAnsi="Arial"/>
          <w:sz w:val="16"/>
          <w:szCs w:val="16"/>
          <w:color w:val="222222"/>
        </w:rPr>
        <w:t xml:space="preserve">consolidated balance sheet and is amortized to the Company's condensed consolidated statement of operations as reductions to rent expense over the lease term. As of June 30, 2018, the Company has recorded $1.9 million </w:t>
      </w:r>
      <w:r>
        <w:rPr>
          <w:rFonts w:ascii="Arial" w:cs="Arial" w:eastAsia="Arial" w:hAnsi="Arial"/>
          <w:sz w:val="16"/>
          <w:szCs w:val="16"/>
          <w:color w:val="000000"/>
        </w:rPr>
        <w:t>of leasehold improvements funded by the tenant improvement allowance</w:t>
      </w:r>
      <w:r>
        <w:rPr>
          <w:rFonts w:ascii="Arial" w:cs="Arial" w:eastAsia="Arial" w:hAnsi="Arial"/>
          <w:sz w:val="16"/>
          <w:szCs w:val="16"/>
          <w:color w:val="222222"/>
        </w:rPr>
        <w:t>.</w:t>
      </w:r>
    </w:p>
    <w:p>
      <w:pPr>
        <w:spacing w:after="0" w:line="15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to the property leases, the Company also leases an offsite warehouse, various vehicles and computer equipment. The Company's purchase commitments consist of minimum purchase amounts of materials used in the Company's cell manufacturing process to manufacture its marketed cell therapy products.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2018, future minimum payments related to leases and other contractual obligations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55"/>
              <w:spacing w:after="0"/>
              <w:rPr>
                <w:sz w:val="20"/>
                <w:szCs w:val="20"/>
                <w:color w:val="auto"/>
              </w:rPr>
            </w:pPr>
            <w:r>
              <w:rPr>
                <w:rFonts w:ascii="Arial" w:cs="Arial" w:eastAsia="Arial" w:hAnsi="Arial"/>
                <w:sz w:val="14"/>
                <w:szCs w:val="14"/>
                <w:b w:val="1"/>
                <w:bCs w:val="1"/>
                <w:color w:val="auto"/>
                <w:w w:val="94"/>
              </w:rPr>
              <w:t>More than 5</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18,200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4,932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4,922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4,813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and interest related payments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Purchase commitments</w:t>
            </w:r>
          </w:p>
        </w:tc>
        <w:tc>
          <w:tcPr>
            <w:tcW w:w="2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42,128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3,814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11,876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11,372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13,398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Rent expense for the three and six months ended June 30, 2018 was $1.3 million and $2.8 million, respectively, and $1.3 million and $2.7 million for the same periods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License Agreement</w:t>
      </w:r>
    </w:p>
    <w:p>
      <w:pPr>
        <w:spacing w:after="0" w:line="22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On May 10, 2017, the Company announced that it has entered into a License Agreement (License Agreement) with Innovative Cellular Therapeutics CO., LTD. (ICT), a leading cell therapy company and developer of CAR-T cell therapy for cancer treatment, for the development and distribution of the Company's product portfolio in Greater China, South Korea, Singapore, and other countries in Asia. ICT acquired an exclusive license to certain patent rights, know-how and intellectual property relating to Carticel, MACI, ixmyelocel-T, and Epicel. The remaining variable consideration, which is related to the development and commercialization milestones and royalty based payments, is monitored for completion and related revenue recognition as discussed in note 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7"/>
          <w:szCs w:val="17"/>
          <w:color w:val="auto"/>
        </w:rPr>
        <w:t>Vericel Corporation is a leader in advanced cell therapies for the sports medicine and severe burn care markets, and a developer of patient-specific expanded cell therapies for use in the treatment of patients with severe diseases and conditions. We currently market two FDA approved autologous cell therapy products in the United States. MACI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that was approved by the FDA on December 13, 2016. The first shipment and implantation of MACI occurred on January 31, 2017. At the end of the second quarter of 2017, we removed MACI’s predecessor, Carticel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from the market. Carticel is an autologous chondrocyte implant indicated for the repair of symptomatic cartilage defects of the femoral condyle (medial, lateral or trochlea), caused by acute or repetitive trauma, in patients who have had an inadequate response to a prior arthroscopic or other surgical repair procedure (e.g., debridement, microfracture, drilling/abrasion arthroplasty, or osteochondral allograft/autograft). We also market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(cultured epidermal autografts), a permanent skin replacement Humanitarian Use Device (HUD) for the treatment of patients with deep-dermal or full-thickness burns comprising greater than or equal to 30 percent of total body surface area (TBSA).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a cell-manufacturing facility in Cambridge, Massachusetts which is used for U.S. manufacturing and distribution of MACI and Epicel, and also was used for manufacturing of MACI for the SUMMIT study conducted for approval in Europe and the U.S. Throughout 2016 and early 2017, we also operated a centralized cell manufacturing facility in Ann Arbor, Michigan. The Ann Arbor facility previously supported the open label extension portion of the ixCELL-DCM clinical trial conducted in the United States and Canada.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approved and marketed products include two approved autologous cell therapy products: MACI, a third generation autologous implant for the repair of symptomatic, full-thickness cartilage defects of the knee in adult patients and Epicel, a permanent skin replacement for full thickness burns in adults and pediatrics with greater than or equal to 30% of TBSA, both of which are currently marketed in the U.S. We also own Carticel, a first-generation product for autologous chondrocyte implantation, or ACI, which is no longer marketed in the U.S. Until 2017, our active product candidate portfolio included ixmyelocel-T, a patient-specific multicellular therapy for the treatment of advanced heart failure due to dilated cardiomyopathy, or DCM. We have no current plans to continue the development of ixmyelocel-T unless funded by a partner.</w:t>
      </w:r>
    </w:p>
    <w:p>
      <w:pPr>
        <w:spacing w:after="0" w:line="37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Carticel and MACI</w:t>
      </w:r>
    </w:p>
    <w:p>
      <w:pPr>
        <w:sectPr>
          <w:pgSz w:w="11900" w:h="16838" w:orient="portrait"/>
          <w:cols w:equalWidth="0" w:num="1">
            <w:col w:w="11420"/>
          </w:cols>
          <w:pgMar w:left="240" w:top="125" w:right="239" w:bottom="447"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447" w:gutter="0" w:footer="0" w:header="0"/>
          <w:type w:val="continuous"/>
        </w:sectPr>
      </w:pPr>
    </w:p>
    <w:bookmarkStart w:id="15" w:name="page16"/>
    <w:bookmarkEnd w:id="15"/>
    <w:p>
      <w:pPr>
        <w:jc w:val="both"/>
        <w:ind w:firstLine="243"/>
        <w:spacing w:after="0" w:line="257" w:lineRule="auto"/>
        <w:rPr>
          <w:sz w:val="20"/>
          <w:szCs w:val="20"/>
          <w:color w:val="auto"/>
        </w:rPr>
      </w:pPr>
      <w:r>
        <w:rPr>
          <w:rFonts w:ascii="Arial" w:cs="Arial" w:eastAsia="Arial" w:hAnsi="Arial"/>
          <w:sz w:val="18"/>
          <w:szCs w:val="18"/>
          <w:color w:val="auto"/>
        </w:rPr>
        <w:t>Carticel, a first-generation ACI product for the treatment and repair of cartilage defects in the knee, was the first FDA-approved autologous cartilage repair product. Carticel was replaced at the end of the second quarter of 2017 by MACI, which was approved on December 13, 2016 by the FDA. MACI is a third generation autologous implant for the repair of symptomatic, single or multiple full-thickness cartilage defects of the knee with or without bone involvement in adults. The first shipment and implantation of MACI occurred on January 31, 2017, and we stopped manufacturing and marketing Carticel at the end of the second quarter in 2017.</w:t>
      </w:r>
    </w:p>
    <w:p>
      <w:pPr>
        <w:spacing w:after="0" w:line="20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8"/>
          <w:szCs w:val="18"/>
          <w:color w:val="auto"/>
        </w:rPr>
        <w:t>In the U.S., the physician target audience which repairs cartilage defects is very concentrated and is comprised of a group of physicians who self-identify as or have the formal specialty of sports medicine physicians. We believe this target audience is approximately 3,000 physicians. During 2017 we announced the expansion of our field force from 28 to 40 representatives, the vast majority of whom we have employed and were in the field by the beginning of the second quarter of 2018. Most private payers have a medical policy that allows treatment with MACI. All of the top 30 largest commercial payers for Carticel have a formal medical policy for MACI or ACI in general. For those private payers which have not yet approved a medical policy for MACI, for medically appropriate cases, we can often obtain approval on a case by case basis. For the three and six months ended June 30, 2018, net revenues for MACI were $14.1 million and $26.2 million, respectively.</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Epicel is a permanent skin replacement for full thickness burns greater than or equal to 30% of TBSA. Epicel is regulated by the Center for Biologics Evaluation and Research, or CBER of the Federal Drug Administration, or FDA under medical device authorities, and is the only FDA-approved autologous epidermal product available for large total surface area burns. Epicel was designated as a HUD in 1998 and a Humanitarian Device Exception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 For the three and six months ended June 30, 2018, net revenues for Epicel were $4.9 million and $10.9 million, respectively.</w:t>
      </w:r>
    </w:p>
    <w:p>
      <w:pPr>
        <w:spacing w:after="0" w:line="18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as long as the number of devices distributed in any calendar year does not exceed the Annual Distribution Number (ADN). The ADN is defined as the number of devices reasonably needed to treat a population of 8,000 individuals per year in the U.S.</w:t>
      </w:r>
    </w:p>
    <w:p>
      <w:pPr>
        <w:spacing w:after="0" w:line="18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February 18, 2016, the FDA approved our HDE supplement to revise the labeled indications of use to specifically include pediatric patients and to add pediatric labeling.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Due to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is 360,400 which is approximately 50 times larger than the volume of grafts sold in 2017. We currently have a 5-person field force.</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preapproval stage portfolio includes ixmyelocel-T, a unique patient-specific multicellular therapy derived from an adult patient’s own bone marrow which utilizes our proprietary, highly automated and scalable manufacturing system. The patient-specific multicellular therapy was developed for the treatment of advanced heart failure due to DCM.</w:t>
      </w:r>
    </w:p>
    <w:p>
      <w:pPr>
        <w:spacing w:after="0" w:line="181"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Ixmyelocel-T has been granted a U.S. Orphan Drug designation by the FDA for the treatment of DCM. We completed enrolling and treating patients in our completed Phase 2b ixCELL-DCM study in February, 2015. Patients were followed for 12 months for the primary efficacy endpoint of major cardiac adverse events, or MACE. On March 10, 2016, we announced the trial had met its primary endpoint of reduction in clinical cardiac events and that the incidence of adverse events, including serious adverse events, in patients treated with ixmyelocel-T was comparable to patients in the placebo group. Patients were then followed for an additional 12 months for safety. Because the trial met the primary endpoint, patients who received placebo or were randomized to ixmyelocel-T in the double-blind portion of the trial but did not receive ixmyelocel-T have been offered the option to receive ixmyelocel-T. We successfully treated the last patients in February, 2017, and the last follow-up visit occurred approximately one year later. In addition, we have conducted clinical studies for the treatment of critical limb ischemia, and an ixmyelocel-T investigator-initiated clinical study was conducted for the treatment of craniofacial reconstruction.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6" w:name="page17"/>
    <w:bookmarkEnd w:id="16"/>
    <w:p>
      <w:pPr>
        <w:jc w:val="both"/>
        <w:ind w:firstLine="230"/>
        <w:spacing w:after="0" w:line="264" w:lineRule="auto"/>
        <w:rPr>
          <w:sz w:val="20"/>
          <w:szCs w:val="20"/>
          <w:color w:val="auto"/>
        </w:rPr>
      </w:pPr>
      <w:r>
        <w:rPr>
          <w:rFonts w:ascii="Arial" w:cs="Arial" w:eastAsia="Arial" w:hAnsi="Arial"/>
          <w:sz w:val="18"/>
          <w:szCs w:val="18"/>
          <w:color w:val="auto"/>
        </w:rPr>
        <w:t>On September 29, 2017, the FDA indicated we would be required to conduct at least one additional Phase 3 clinical study to support a BLA for ixmyelocel-T. Given the expense required to conduct further development and our focus on growing our existing commercial products, at this time we have no current plans to initiate or fund a Phase 3 trial on our own but instead are seeking a partner to fund further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net loss for the three and six months ended June 30, 2018 totaled $4.7 million and $12.3 million, respectively and $2.4 million and $12.2 million for the same periods in 2017.</w:t>
      </w:r>
    </w:p>
    <w:p>
      <w:pPr>
        <w:spacing w:after="0" w:line="176"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19,011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16,953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37,038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26,314</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Cost of product sales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15,393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14,779</w:t>
            </w:r>
          </w:p>
        </w:tc>
      </w:tr>
      <w:tr>
        <w:trPr>
          <w:trHeight w:val="23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11,284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21,645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11,535</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23,679</w:t>
            </w:r>
          </w:p>
        </w:tc>
      </w:tr>
      <w:tr>
        <w:trPr>
          <w:trHeight w:val="23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(12,144)</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(12,166)</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revenues increased for the three months ended June 30, 2018 compared to the same period the previous year due primarily to significant volume increases for both MACI and Epicel. During the three months ended June 30, 2017, we reversed a revenue reserve of $1.4 million related to a dispute between a third party payer and our distributor of MACI and Carticel for which we originally recorded a $2.8 million reserve during the three months ended March 31, 2017.</w:t>
      </w:r>
    </w:p>
    <w:p>
      <w:pPr>
        <w:spacing w:after="0" w:line="187"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8"/>
          <w:szCs w:val="18"/>
          <w:color w:val="auto"/>
        </w:rPr>
        <w:t>Net revenues increased for the six months ended June 30, 2018 compared to the same period the previous year due primarily to significant volume increases for both MACI and Epicel. During the six months ended June 30, 2017, we recorded a revenue reserve of $1.4 million related to a dispute between a third party payer and our distributor of MACI and Carticel.</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 and MACI</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14,125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17,912</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4,886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10,858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8,402</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19,011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16,953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37,038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26,314</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91"/>
        <w:spacing w:after="0" w:line="255"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Over the last four years the percentage of total product revenue has on average been 21%, 25%, 21% and 33% from the first to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quarters and is driven by the seasonality of both MACI and Epicel sales. MACI revenue is stronger in the second quarter and fourth quarter due to a number of factors including insurance copay limits and the time of year patients prefer to start rehabilitation.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patient volume. The variability between the same quarters in consecutive years has been as high as 11% of the annual volume for Epicel.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2017</w:t>
            </w: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11,284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9,283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21,645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11,535</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Gross profit %</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Gross profit ratio increased for the three and six months ended June 30, 2018 compared to the same period in 2017 due primarily to an increase in MACI and Epicel sales combined with a significant portion of our manufacturing costs being fixed.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3,739</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2,971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7,468</w:t>
            </w:r>
          </w:p>
        </w:tc>
        <w:tc>
          <w:tcPr>
            <w:tcW w:w="10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6,438</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approximate allocation of cost for our research and development projects: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Dilated Cardiomyopathy</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3,141</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MACI</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2,357</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1,063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1,924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1,049</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research and development costs</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3,739</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2,971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7,468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6,438</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04"/>
        <w:spacing w:after="0" w:line="302" w:lineRule="auto"/>
        <w:rPr>
          <w:sz w:val="20"/>
          <w:szCs w:val="20"/>
          <w:color w:val="auto"/>
        </w:rPr>
      </w:pPr>
      <w:r>
        <w:rPr>
          <w:rFonts w:ascii="Arial" w:cs="Arial" w:eastAsia="Arial" w:hAnsi="Arial"/>
          <w:sz w:val="16"/>
          <w:szCs w:val="16"/>
          <w:color w:val="auto"/>
        </w:rPr>
        <w:t>Research and development costs for the three months ended June 30, 2018 were $3.7 million versus $3.0 million for the same period a year ago. The increase was due primarily to the continued increase in MACI research and development costs related to preparations for a pediatric clinical study, a post-approval FDA commitment, in the U.S. which offset the ixCELL-DCM trial expenses that were incurred in 2017. There was also an additional $0.3 million in stock compensation expense for the three months ended June 30, 2018 compared to the same period a year ago due to an increase in our stock price.</w:t>
      </w:r>
    </w:p>
    <w:p>
      <w:pPr>
        <w:spacing w:after="0" w:line="15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Research and development costs for the six months ended June 30, 2018 were $7.5 million versus $6.4 million for the same period a year ago. The increase was due primarily to the continued increase in MACI research and development costs related to preparations for a pediatric clinical study in the U.S. which offset the ixCELL-DCM trial expenses that were incurred in 2017. There was also an additional $0.7 million in stock compensation expense for the six months ended June 30, 2018 compared to the same period a year ago due to an increase in our stock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43"/>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costs</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3"/>
              </w:rPr>
              <w:t>11,791</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8,833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22,745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17,241</w:t>
            </w: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Selling, general and administrative costs for the three months ended June 30, 2018 were $11.8 million compared to $8.8 million for the same period a year ago. The increase in selling, general and administrative costs for the three months ended June 30, 2018 is due primarily to a $1.1 million increase in MACI sales force employee expenses as a result of the sales force expansion in 2018 as compared to 2017 and $0.5 million additional spend on reimbursement and case management services. There was also an additional $1.1 million in stock compensation expense for the three months ended June 30, 2018 compared to the same period a year ago.</w:t>
      </w:r>
    </w:p>
    <w:p>
      <w:pPr>
        <w:spacing w:after="0" w:line="1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Selling, general and administrative costs for the six months ended June 30, 2018 were $22.7 million versus $17.2 million for the same period a year ago. The increase in selling, general and administrative costs for the six months ended June 30, 2018 is due primarily to a $2.1 million increase in MACI sales force employee expenses as a result of the sales force expansion as compared to 2017 and $1.1 million additional spend on reimbursement and case management services. There was also an additional $1.4 million in stock compensation expense for the six months ended June 30, 2018 compared to the same period a year ago.</w:t>
      </w:r>
    </w:p>
    <w:p>
      <w:pPr>
        <w:sectPr>
          <w:pgSz w:w="11900" w:h="16838" w:orient="portrait"/>
          <w:cols w:equalWidth="0" w:num="1">
            <w:col w:w="11420"/>
          </w:cols>
          <w:pgMar w:left="240" w:top="800"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800"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Other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(increase) in fair value of warrants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loss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interest expense</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other expense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change in other income and expense for the three and six months ended June 30, 2018 compared to 2017 is due primarily to the change in warrant value as a result of the increase in our stock price and the reduction in the time to maturity. Fluctuations in the fair value of the warrants in future periods could result in significant non-cash adjustments to the condensed consolidated financial statements; however, any income or expense recorded will not impact our cash, operating expenses or cash flow.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selling, general and administrative expenses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1,629</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887</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2,465</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1,298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changes in stock-based compensation expense are due primarily to fluctuations in the fair value of the options granted in 2018 compared to 2017 as a result in the increase in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Since the acquisition in 2014 of the CTRM Business of Sanofi, our primary focus has been to invest in our existing commercial business with the goal of growing revenue. In June 2018, we sold a total of 5,750,000 shares of our common stock in an underwritten public offering at a price of $13.00 per share. We received proceeds of $70.1 million, net of $4.7 million of underwriters’ discount and issuance costs consisting primarily of legal and accounting fees. We recorded these proceeds as a common stock issuance. We currently intend to use the net proceeds from this offering primarily for general corporate purposes, as well as to expand our business by in-licensing or acquiring, as the case may be, product candidates, technologies, other assets, commercial products or businesses which would be complementary to our existing commercial franchises or our advanced cell therapy platform; however, we have no current commitments or obligations to do so.</w:t>
      </w:r>
    </w:p>
    <w:p>
      <w:pPr>
        <w:spacing w:after="0" w:line="189" w:lineRule="exact"/>
        <w:rPr>
          <w:sz w:val="20"/>
          <w:szCs w:val="20"/>
          <w:color w:val="auto"/>
        </w:rPr>
      </w:pPr>
    </w:p>
    <w:p>
      <w:pPr>
        <w:jc w:val="both"/>
        <w:ind w:right="20" w:firstLine="413"/>
        <w:spacing w:after="0" w:line="264" w:lineRule="auto"/>
        <w:rPr>
          <w:sz w:val="20"/>
          <w:szCs w:val="20"/>
          <w:color w:val="auto"/>
        </w:rPr>
      </w:pPr>
      <w:r>
        <w:rPr>
          <w:rFonts w:ascii="Arial" w:cs="Arial" w:eastAsia="Arial" w:hAnsi="Arial"/>
          <w:sz w:val="18"/>
          <w:szCs w:val="18"/>
          <w:color w:val="auto"/>
        </w:rPr>
        <w:t>We have raised significant funds in order to complete our product development programs, and complete clinical trials needed to market and commercialize our products. To date, we have financed our operations primarily through public and private sales of our equity securities, and funds from the SVB-Mid-Cap facility.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2016 we entered into an ATM Agreement with Cowen as sales agent to sell, from time to time, our common stock, no par value per share (ATM Shares), having an aggregate sale price of up to $25.0 million, through an “at the market offering” program. Any ATM Shares sold were issued pursuant to our shelf registration statement on Form S-3 (File No. 333-205336). Effective May 29, 2018, we terminated the ATM Agreement and no further sales pursuant to the ATM Agreement will be made. There were no shares sold under the ATM Agreement during the six months ended June 30, 2018.</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cash totaled $95.0 million as of June 30, 2018. During the six months ended June 30, 2018, the cash used for operations was $5.0 million. The cash used for operations was fueled largely by our operating loss of $12.3 million offset by noncash charges including $3.8 million of stock compensation expense, $2.9 million due to the change in fair value of warrants and $0.8 million of depreciation expense.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19" w:name="page20"/>
    <w:bookmarkEnd w:id="19"/>
    <w:p>
      <w:pPr>
        <w:jc w:val="both"/>
        <w:ind w:firstLine="230"/>
        <w:spacing w:after="0" w:line="277" w:lineRule="auto"/>
        <w:rPr>
          <w:sz w:val="20"/>
          <w:szCs w:val="20"/>
          <w:color w:val="auto"/>
        </w:rPr>
      </w:pPr>
      <w:r>
        <w:rPr>
          <w:rFonts w:ascii="Arial" w:cs="Arial" w:eastAsia="Arial" w:hAnsi="Arial"/>
          <w:sz w:val="18"/>
          <w:szCs w:val="18"/>
          <w:color w:val="auto"/>
        </w:rPr>
        <w:t>The change in cash used for investing activities is the result of property plant and equipment purchases of $1.0 million for manufacturing upgrades through June 30, 2018.</w:t>
      </w:r>
    </w:p>
    <w:p>
      <w:pPr>
        <w:spacing w:after="0" w:line="170" w:lineRule="exact"/>
        <w:rPr>
          <w:sz w:val="20"/>
          <w:szCs w:val="20"/>
          <w:color w:val="auto"/>
        </w:rPr>
      </w:pPr>
    </w:p>
    <w:p>
      <w:pPr>
        <w:jc w:val="both"/>
        <w:ind w:firstLine="230"/>
        <w:spacing w:after="0" w:line="342" w:lineRule="auto"/>
        <w:rPr>
          <w:sz w:val="20"/>
          <w:szCs w:val="20"/>
          <w:color w:val="auto"/>
        </w:rPr>
      </w:pPr>
      <w:r>
        <w:rPr>
          <w:rFonts w:ascii="Arial" w:cs="Arial" w:eastAsia="Arial" w:hAnsi="Arial"/>
          <w:sz w:val="16"/>
          <w:szCs w:val="16"/>
          <w:color w:val="auto"/>
        </w:rPr>
        <w:t>The change in cash provided from financing activities is the result of net proceeds from our recent follow-on public offering of common stock of $70.1 million, proceeds from the exercise of stock options of $2.1 million and the exercise of warrants of $2.0 million during the six months ended June 30, 2018.</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We have a term loan and revolving line of credit agreement with SVB and MidCap Financial Services, or MidCap, which provide access to up to $25.0 million. The debt financing consists of a $15.0 million term loan which was drawn at the closing and up to $10.0 million of a revolving line of credit. The term loan is interest only (indexed to Wall Street Journal (WSJ) Prime plus 4.25%) until December 1, 2018 followed by 36 equal monthly payments of principal plus interest maturing December 6, 2021. Per the initial terms of the agreement, the revolving credit is limited to a borrowing base calculated using eligible accounts receivable maturing December 6, 2021 with an interest rate indexed to WSJ Prime plus 1.25%. In connection with the SVB-MidCap facility, we must remain in compliance with minimum monthly net revenue covenants (determined in accordance with U.S. GAAP), measured on a trailing twelve month basis. </w:t>
      </w:r>
      <w:r>
        <w:rPr>
          <w:rFonts w:ascii="Arial" w:cs="Arial" w:eastAsia="Arial" w:hAnsi="Arial"/>
          <w:sz w:val="17"/>
          <w:szCs w:val="17"/>
          <w:color w:val="222222"/>
        </w:rPr>
        <w:t>SVB and MidCap also have the ability to call debt based on material adverse change clauses which are subjectively determinable and result in a</w:t>
      </w:r>
      <w:r>
        <w:rPr>
          <w:rFonts w:ascii="Arial" w:cs="Arial" w:eastAsia="Arial" w:hAnsi="Arial"/>
          <w:sz w:val="17"/>
          <w:szCs w:val="17"/>
          <w:color w:val="auto"/>
        </w:rPr>
        <w:t xml:space="preserve"> subjective acceleration clause. We do not believe any material adverse changes have occurred. While we believe the acceleration of the due date may be reasonably possible, it is not probable and therefore, the debt is classified in current and non-current liabilities. SVB and MidCap have a shared first priority perfected security interest in all of our assets other than intellectual property. As of June 30, 2018, there was an outstanding balance of $15.0 million under the term loan and $2.5 million under the revolving line of credit.</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While we believe that, based on our current cash on hand, we are in a position to sustain operations through at least August 2019, if actual results differ from our projections or we pursue other strategic opportunities, we may need to access additional capital. In addition, if our revenues do not meet the existing threshold set forth in the debt covenants, and we are unable to renegotiate those thresholds, SVB could call the debt immediately. Such events could result in the need for additional funds. However, we may not be able to obtain financing on acceptable terms or at all. The terms of any financing may adversely affect the holdings or the rights of our shareholders. Actual cash requirements may differ from projections and will depend on many factors, including the level of future research and development, the scope and results of ongoing and potential clinical trials, the costs involved in filing, prosecuting and enforcing patents, the need for additional manufacturing capacity, competing technological and market developments, costs of possible acquisition or development of complementary business activities, and the cost to market and market acceptance of our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color w:val="auto"/>
        </w:rPr>
        <w:t>At June 30, 2018, we were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(U.S. GAAP).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Form 10-K for the fiscal year ended December 31, 2017 are considered by management to be the most important to an understanding of the consolidated financial statements because of their significance to the portrayal of our financial condition and results of operations. With the exception of the new revenue standard which has been discussed in note 4 to these financial statements, there have been no material changes to that information disclosed in our Annual Report during the six months ended June 30,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“comfortable,” “current,” “intention,” “position,” “assume,” “potential,” “outlook,” “remain,” “continue,” “maintain,” “sustain,” “seek,”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our Annual Report, among others, could have a material adverse effect upon our business, results of operations and financial conditions.</w:t>
      </w:r>
    </w:p>
    <w:p>
      <w:pPr>
        <w:spacing w:after="0" w:line="18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w:t>
      </w:r>
    </w:p>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182" w:lineRule="exact"/>
        <w:rPr>
          <w:sz w:val="20"/>
          <w:szCs w:val="20"/>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development and marketing plans;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filing plans;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features and successes of our cellular therapies;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trial plans, including publication thereof;</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of June 30, 2018, we would not expect our operating results or cash flows to be affected to any significant degree by the effect of a sudden change in market interest rates or credit conditions on our securities portfolio. For additional information regarding our market risk, refer to Item 7A. Quantitative and Qualitative Disclosures About Market Risk in our Annual Report on Form 10-K for the year ended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71"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Management of the Company, with the participation of its Certifying Officers, evaluated the effectiveness of the Company’s disclosure controls and procedures as defined in Rules l3a-15(e) and l5d-15(e) under the Exchange Act. Based on the evaluation as of June 30, 2018, our Certifying Officers concluded that the Company’s disclosure controls and procedures were effective.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have been no changes in internal control over financial reporting during the quarter ended June 30, 2018 that have materially affected, or are reasonably likely to materially affect, the Company’s internal control over financial reporting.</w:t>
      </w:r>
    </w:p>
    <w:p>
      <w:pPr>
        <w:sectPr>
          <w:pgSz w:w="11900" w:h="16838" w:orient="portrait"/>
          <w:cols w:equalWidth="0" w:num="1">
            <w:col w:w="11420"/>
          </w:cols>
          <w:pgMar w:left="240" w:top="584" w:right="239"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584" w:right="239" w:bottom="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we receive threats or may be subject to litigation matters incidental to our business. However, we are not currently a party to any material pending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There have been no material changes from the risk factors previously disclosed in the Company's Quarterly Report on Form 10-Q for the quarter ended March 31, 2018 and the risk factors found in Part I, Item 1A, "Risk Factors," of the Company's Annual Report on Form 10-K for the year ended December 31, 2017. The risks described in the Annual Report on Form 10-K and Quarterly Report on Form 10-Q for the quarter ended March 31, 2018 are not the only risks the Company faces. Additional risks and uncertainties not currently known or currently deemed to be immaterial also may materially and adversely affect the Company’s business, financial condition,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have any repurchases or unregistered issuances of its equity securities during the quarter ended June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in the Exhibit Index are filed as a part of this Quarterly Report on Form 10-Q.</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400" w:type="dxa"/>
            <w:vAlign w:val="bottom"/>
            <w:gridSpan w:val="8"/>
          </w:tcPr>
          <w:p>
            <w:pPr>
              <w:jc w:val="center"/>
              <w:ind w:right="4000"/>
              <w:spacing w:after="0"/>
              <w:rPr>
                <w:sz w:val="20"/>
                <w:szCs w:val="20"/>
                <w:color w:val="auto"/>
              </w:rPr>
            </w:pPr>
            <w:r>
              <w:rPr>
                <w:rFonts w:ascii="Arial" w:cs="Arial" w:eastAsia="Arial" w:hAnsi="Arial"/>
                <w:sz w:val="18"/>
                <w:szCs w:val="18"/>
                <w:b w:val="1"/>
                <w:bCs w:val="1"/>
                <w:color w:val="auto"/>
              </w:rPr>
              <w:t>EXHIBIT INDEX</w:t>
            </w:r>
          </w:p>
        </w:tc>
      </w:tr>
      <w:tr>
        <w:trPr>
          <w:trHeight w:val="548"/>
        </w:trPr>
        <w:tc>
          <w:tcPr>
            <w:tcW w:w="2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00" w:type="dxa"/>
            <w:vAlign w:val="bottom"/>
            <w:gridSpan w:val="6"/>
          </w:tcPr>
          <w:p>
            <w:pPr>
              <w:ind w:left="280"/>
              <w:spacing w:after="0"/>
              <w:rPr>
                <w:sz w:val="20"/>
                <w:szCs w:val="20"/>
                <w:color w:val="auto"/>
              </w:rPr>
            </w:pPr>
            <w:r>
              <w:rPr>
                <w:rFonts w:ascii="Arial" w:cs="Arial" w:eastAsia="Arial" w:hAnsi="Arial"/>
                <w:sz w:val="14"/>
                <w:szCs w:val="14"/>
                <w:b w:val="1"/>
                <w:bCs w:val="1"/>
                <w:color w:val="auto"/>
              </w:rPr>
              <w:t>Description</w:t>
            </w:r>
          </w:p>
        </w:tc>
      </w:tr>
      <w:tr>
        <w:trPr>
          <w:trHeight w:val="486"/>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240" w:type="dxa"/>
            <w:vAlign w:val="bottom"/>
            <w:tcBorders>
              <w:top w:val="single" w:sz="8" w:color="auto"/>
              <w:bottom w:val="single" w:sz="8" w:color="0000FF"/>
            </w:tcBorders>
            <w:gridSpan w:val="8"/>
          </w:tcPr>
          <w:p>
            <w:pPr>
              <w:spacing w:after="0"/>
              <w:rPr>
                <w:rFonts w:ascii="Arial" w:cs="Arial" w:eastAsia="Arial" w:hAnsi="Arial"/>
                <w:sz w:val="18"/>
                <w:szCs w:val="18"/>
                <w:color w:val="0000FF"/>
                <w:w w:val="92"/>
              </w:rPr>
            </w:pPr>
            <w:hyperlink w:anchor="page25">
              <w:r>
                <w:rPr>
                  <w:rFonts w:ascii="Arial" w:cs="Arial" w:eastAsia="Arial" w:hAnsi="Arial"/>
                  <w:sz w:val="18"/>
                  <w:szCs w:val="18"/>
                  <w:color w:val="0000FF"/>
                  <w:w w:val="92"/>
                </w:rPr>
                <w:t>Certification of Chief Executive Officer pursuant to Section 302 of the Sarbanes-Oxley Act of 2002.</w:t>
              </w:r>
            </w:hyperlink>
          </w:p>
        </w:tc>
        <w:tc>
          <w:tcPr>
            <w:tcW w:w="2080" w:type="dxa"/>
            <w:vAlign w:val="bottom"/>
            <w:tcBorders>
              <w:top w:val="single" w:sz="8" w:color="auto"/>
            </w:tcBorders>
          </w:tcPr>
          <w:p>
            <w:pPr>
              <w:spacing w:after="0"/>
              <w:rPr>
                <w:sz w:val="24"/>
                <w:szCs w:val="24"/>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9"/>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Certification of Chief Financial Officer pursuant to Section 302 of the Sarbanes-Oxley Act of 2002.</w:t>
              </w:r>
            </w:hyperlink>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Certification of Chief Executive Officer pursuant to Section 906 of the Sarbanes-Oxley Act of 2002.</w:t>
              </w:r>
            </w:hyperlink>
          </w:p>
        </w:tc>
        <w:tc>
          <w:tcPr>
            <w:tcW w:w="2080" w:type="dxa"/>
            <w:vAlign w:val="bottom"/>
          </w:tcPr>
          <w:p>
            <w:pPr>
              <w:spacing w:after="0"/>
              <w:rPr>
                <w:sz w:val="24"/>
                <w:szCs w:val="24"/>
                <w:color w:val="auto"/>
              </w:rPr>
            </w:pPr>
          </w:p>
        </w:tc>
      </w:tr>
      <w:tr>
        <w:trPr>
          <w:trHeight w:val="574"/>
        </w:trPr>
        <w:tc>
          <w:tcPr>
            <w:tcW w:w="1620" w:type="dxa"/>
            <w:vAlign w:val="bottom"/>
          </w:tcPr>
          <w:p>
            <w:pPr>
              <w:jc w:val="cente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Certification of Chief Financial Officer pursuant to Section 906 of the Sarbanes-Oxley Act of 2002</w:t>
              </w:r>
            </w:hyperlink>
            <w:r>
              <w:rPr>
                <w:rFonts w:ascii="Arial" w:cs="Arial" w:eastAsia="Arial" w:hAnsi="Arial"/>
                <w:sz w:val="18"/>
                <w:szCs w:val="18"/>
                <w:color w:val="000000"/>
              </w:rPr>
              <w:t>.</w:t>
            </w: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101.INS**</w:t>
            </w:r>
          </w:p>
        </w:tc>
        <w:tc>
          <w:tcPr>
            <w:tcW w:w="20" w:type="dxa"/>
            <w:vAlign w:val="bottom"/>
          </w:tcPr>
          <w:p>
            <w:pPr>
              <w:spacing w:after="0"/>
              <w:rPr>
                <w:sz w:val="24"/>
                <w:szCs w:val="24"/>
                <w:color w:val="auto"/>
              </w:rPr>
            </w:pPr>
          </w:p>
        </w:tc>
        <w:tc>
          <w:tcPr>
            <w:tcW w:w="71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XBRL Instance Document</w:t>
            </w:r>
          </w:p>
        </w:tc>
        <w:tc>
          <w:tcPr>
            <w:tcW w:w="2140" w:type="dxa"/>
            <w:vAlign w:val="bottom"/>
            <w:gridSpan w:val="2"/>
          </w:tcPr>
          <w:p>
            <w:pPr>
              <w:spacing w:after="0"/>
              <w:rPr>
                <w:sz w:val="24"/>
                <w:szCs w:val="24"/>
                <w:color w:val="auto"/>
              </w:rPr>
            </w:pPr>
          </w:p>
        </w:tc>
      </w:tr>
      <w:tr>
        <w:trPr>
          <w:trHeight w:val="20"/>
        </w:trPr>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101.SCH**</w:t>
            </w:r>
          </w:p>
        </w:tc>
        <w:tc>
          <w:tcPr>
            <w:tcW w:w="2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18"/>
                <w:szCs w:val="18"/>
                <w:color w:val="0000FF"/>
              </w:rPr>
              <w:t>XBRL Taxonomy Extension Schema Document</w:t>
            </w:r>
          </w:p>
        </w:tc>
      </w:tr>
      <w:tr>
        <w:trPr>
          <w:trHeight w:val="20"/>
        </w:trPr>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44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XBRL Taxonomy Extension Calculation Linkbase Document</w:t>
            </w:r>
          </w:p>
        </w:tc>
        <w:tc>
          <w:tcPr>
            <w:tcW w:w="4880" w:type="dxa"/>
            <w:vAlign w:val="bottom"/>
            <w:gridSpan w:val="4"/>
          </w:tcPr>
          <w:p>
            <w:pPr>
              <w:spacing w:after="0"/>
              <w:rPr>
                <w:sz w:val="24"/>
                <w:szCs w:val="24"/>
                <w:color w:val="auto"/>
              </w:rPr>
            </w:pP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40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XBRL Taxonomy Extension Label Linkbase Document</w:t>
            </w:r>
          </w:p>
        </w:tc>
        <w:tc>
          <w:tcPr>
            <w:tcW w:w="5300" w:type="dxa"/>
            <w:vAlign w:val="bottom"/>
            <w:gridSpan w:val="6"/>
          </w:tcPr>
          <w:p>
            <w:pPr>
              <w:spacing w:after="0"/>
              <w:rPr>
                <w:sz w:val="24"/>
                <w:szCs w:val="24"/>
                <w:color w:val="auto"/>
              </w:rPr>
            </w:pP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101.PRE**</w:t>
            </w:r>
          </w:p>
        </w:tc>
        <w:tc>
          <w:tcPr>
            <w:tcW w:w="20" w:type="dxa"/>
            <w:vAlign w:val="bottom"/>
          </w:tcPr>
          <w:p>
            <w:pPr>
              <w:spacing w:after="0"/>
              <w:rPr>
                <w:sz w:val="24"/>
                <w:szCs w:val="24"/>
                <w:color w:val="auto"/>
              </w:rPr>
            </w:pPr>
          </w:p>
        </w:tc>
        <w:tc>
          <w:tcPr>
            <w:tcW w:w="4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XBRL Taxonomy Extension Presentation Linkbase Document</w:t>
            </w:r>
          </w:p>
        </w:tc>
        <w:tc>
          <w:tcPr>
            <w:tcW w:w="4820" w:type="dxa"/>
            <w:vAlign w:val="bottom"/>
            <w:gridSpan w:val="3"/>
          </w:tcPr>
          <w:p>
            <w:pPr>
              <w:spacing w:after="0"/>
              <w:rPr>
                <w:sz w:val="24"/>
                <w:szCs w:val="24"/>
                <w:color w:val="auto"/>
              </w:rPr>
            </w:pPr>
          </w:p>
        </w:tc>
      </w:tr>
      <w:tr>
        <w:trPr>
          <w:trHeight w:val="574"/>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101 DEF**</w:t>
            </w:r>
          </w:p>
        </w:tc>
        <w:tc>
          <w:tcPr>
            <w:tcW w:w="2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18"/>
                <w:szCs w:val="18"/>
                <w:color w:val="0000FF"/>
              </w:rPr>
              <w:t>XBRL Taxonomy Extension Definition Linkbase Document</w:t>
            </w:r>
          </w:p>
        </w:tc>
      </w:tr>
      <w:tr>
        <w:trPr>
          <w:trHeight w:val="480"/>
        </w:trPr>
        <w:tc>
          <w:tcPr>
            <w:tcW w:w="208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20" w:type="dxa"/>
            <w:vAlign w:val="bottom"/>
          </w:tcPr>
          <w:p>
            <w:pPr>
              <w:spacing w:after="0"/>
              <w:rPr>
                <w:sz w:val="24"/>
                <w:szCs w:val="24"/>
                <w:color w:val="auto"/>
              </w:rPr>
            </w:pPr>
          </w:p>
        </w:tc>
        <w:tc>
          <w:tcPr>
            <w:tcW w:w="1920" w:type="dxa"/>
            <w:vAlign w:val="bottom"/>
            <w:tcBorders>
              <w:top w:val="single" w:sz="8" w:color="0000FF"/>
            </w:tcBorders>
          </w:tcPr>
          <w:p>
            <w:pPr>
              <w:spacing w:after="0"/>
              <w:rPr>
                <w:sz w:val="24"/>
                <w:szCs w:val="24"/>
                <w:color w:val="auto"/>
              </w:rPr>
            </w:pPr>
          </w:p>
        </w:tc>
        <w:tc>
          <w:tcPr>
            <w:tcW w:w="15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675"/>
        </w:trPr>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40" w:type="dxa"/>
            <w:vAlign w:val="bottom"/>
            <w:gridSpan w:val="4"/>
          </w:tcPr>
          <w:p>
            <w:pPr>
              <w:jc w:val="right"/>
              <w:ind w:right="32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3" w:name="page24"/>
    <w:bookmarkEnd w:id="23"/>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6"/>
          <w:szCs w:val="16"/>
          <w:i w:val="1"/>
          <w:iCs w:val="1"/>
          <w:color w:val="auto"/>
        </w:rPr>
        <w:t>Chief Financial Officer and Vice President, Corporate Development</w:t>
      </w:r>
    </w:p>
    <w:p>
      <w:pPr>
        <w:spacing w:after="0" w:line="86"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240" w:top="580" w:right="6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180" w:firstLine="1169"/>
        <w:spacing w:after="0" w:line="264" w:lineRule="auto"/>
        <w:tabs>
          <w:tab w:leader="none" w:pos="140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69"/>
        <w:spacing w:after="0" w:line="264" w:lineRule="auto"/>
        <w:tabs>
          <w:tab w:leader="none" w:pos="141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00" w:firstLine="1169"/>
        <w:spacing w:after="0" w:line="308" w:lineRule="auto"/>
        <w:tabs>
          <w:tab w:leader="none" w:pos="1406"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60" w:firstLine="1169"/>
        <w:spacing w:after="0" w:line="264" w:lineRule="auto"/>
        <w:tabs>
          <w:tab w:leader="none" w:pos="141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520" w:firstLine="1169"/>
        <w:spacing w:after="0" w:line="308" w:lineRule="auto"/>
        <w:tabs>
          <w:tab w:leader="none" w:pos="1396"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00" w:firstLine="1169"/>
        <w:spacing w:after="0" w:line="277" w:lineRule="auto"/>
        <w:tabs>
          <w:tab w:leader="none" w:pos="1406"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August 6, 2018</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Michel, certify that:</w:t>
      </w:r>
    </w:p>
    <w:p>
      <w:pPr>
        <w:spacing w:after="0" w:line="225" w:lineRule="exact"/>
        <w:rPr>
          <w:sz w:val="20"/>
          <w:szCs w:val="20"/>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40" w:firstLine="1102"/>
        <w:spacing w:after="0" w:line="264" w:lineRule="auto"/>
        <w:tabs>
          <w:tab w:leader="none" w:pos="133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02"/>
        <w:spacing w:after="0" w:line="264" w:lineRule="auto"/>
        <w:tabs>
          <w:tab w:leader="none" w:pos="134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1102"/>
        <w:spacing w:after="0" w:line="308" w:lineRule="auto"/>
        <w:tabs>
          <w:tab w:leader="none" w:pos="1339"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40" w:firstLine="1102"/>
        <w:spacing w:after="0" w:line="264" w:lineRule="auto"/>
        <w:tabs>
          <w:tab w:leader="none" w:pos="134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1102"/>
        <w:spacing w:after="0" w:line="308" w:lineRule="auto"/>
        <w:tabs>
          <w:tab w:leader="none" w:pos="1329"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80" w:firstLine="1102"/>
        <w:spacing w:after="0" w:line="277" w:lineRule="auto"/>
        <w:tabs>
          <w:tab w:leader="none" w:pos="133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August 6, 2018</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June 30, 2018,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6, 2018</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June 30, 2018,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6, 2018</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bullet"/>
      <w:start w:val="1"/>
    </w:lvl>
  </w:abstractNum>
  <w:abstractNum w:abstractNumId="5">
    <w:nsid w:val="140E0F76"/>
    <w:multiLevelType w:val="hybridMultilevel"/>
    <w:lvl w:ilvl="0">
      <w:lvlJc w:val="left"/>
      <w:lvlText w:val="%1."/>
      <w:numFmt w:val="decimal"/>
      <w:start w:val="6"/>
    </w:lvl>
  </w:abstractNum>
  <w:abstractNum w:abstractNumId="6">
    <w:nsid w:val="3352255A"/>
    <w:multiLevelType w:val="hybridMultilevel"/>
    <w:lvl w:ilvl="0">
      <w:lvlJc w:val="left"/>
      <w:lvlText w:val="%1."/>
      <w:numFmt w:val="decimal"/>
      <w:start w:val="7"/>
    </w:lvl>
  </w:abstractNum>
  <w:abstractNum w:abstractNumId="7">
    <w:nsid w:val="109CF92E"/>
    <w:multiLevelType w:val="hybridMultilevel"/>
    <w:lvl w:ilvl="0">
      <w:lvlJc w:val="left"/>
      <w:lvlText w:val="%1."/>
      <w:numFmt w:val="decimal"/>
      <w:start w:val="8"/>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lvl w:ilvl="1">
      <w:lvlJc w:val="left"/>
      <w:lvlText w:val="(%2)"/>
      <w:numFmt w:val="lowerLetter"/>
      <w:start w:val="1"/>
    </w:lvl>
  </w:abstractNum>
  <w:abstractNum w:abstractNumId="13">
    <w:nsid w:val="4E6AFB66"/>
    <w:multiLevelType w:val="hybridMultilevel"/>
    <w:lvl w:ilvl="0">
      <w:lvlJc w:val="left"/>
      <w:lvlText w:val="%1."/>
      <w:numFmt w:val="decimal"/>
      <w:start w:val="5"/>
    </w:lvl>
    <w:lvl w:ilvl="1">
      <w:lvlJc w:val="left"/>
      <w:lvlText w:val="(%2)"/>
      <w:numFmt w:val="lowerLetter"/>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5"/>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2019-12-28T20:32:06Z</dcterms:created>
  <dcterms:modified xsi:type="dcterms:W3CDTF">2019-12-28T20:32:06Z</dcterms:modified>
</cp:coreProperties>
</file>