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MCLAUGHLIN KEVIN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VERICEL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BLUE SKY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Vericel Corp</w:t>
              </w:r>
            </w:hyperlink>
            <w:r>
              <w:rPr/>
              <w:t xml:space="preserve"> [ </w:t>
            </w:r>
            <w:r>
              <w:rPr>
                <w:rFonts w:ascii="Times;serif" w:hAnsi="Times;serif"/>
                <w:color w:val="0000FF"/>
                <w:sz w:val="24"/>
                <w:shd w:fill="FFFFFF" w:val="clear"/>
              </w:rPr>
              <w:t>VCEL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98"/>
        <w:gridCol w:w="756"/>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May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representing the right to purchase a total of 17,500 shares, were originally granted on May 2, 2018, and became exercisable in equal monthly installments over the course of one year, contingent upon continued service to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Flynn, as Attorney-in-Fact for Kevin McLaughlin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14938" TargetMode="External"/><Relationship Id="rId5" Type="http://schemas.openxmlformats.org/officeDocument/2006/relationships/hyperlink" Target="http://www.sec.gov/cgi-bin/browse-edgar?action=getcompany&amp;CIK=0000887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3547</Characters>
  <CharactersWithSpaces>4121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