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851535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783590</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00" w:lineRule="exact"/>
        <w:rPr>
          <w:sz w:val="24"/>
          <w:szCs w:val="24"/>
          <w:color w:val="auto"/>
        </w:rPr>
      </w:pPr>
    </w:p>
    <w:p>
      <w:pPr>
        <w:ind w:left="360" w:hanging="315"/>
        <w:spacing w:after="0"/>
        <w:tabs>
          <w:tab w:leader="none" w:pos="3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jc w:val="center"/>
        <w:ind w:right="-19"/>
        <w:spacing w:after="0" w:line="190"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4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422"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29"/>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365" w:lineRule="exact"/>
        <w:rPr>
          <w:sz w:val="24"/>
          <w:szCs w:val="24"/>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82" w:lineRule="exact"/>
        <w:rPr>
          <w:sz w:val="24"/>
          <w:szCs w:val="24"/>
          <w:color w:val="auto"/>
        </w:rPr>
      </w:pPr>
    </w:p>
    <w:p>
      <w:pPr>
        <w:ind w:right="360"/>
        <w:spacing w:after="0" w:line="24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09" w:lineRule="exact"/>
        <w:rPr>
          <w:sz w:val="24"/>
          <w:szCs w:val="24"/>
          <w:color w:val="auto"/>
        </w:rPr>
      </w:pPr>
    </w:p>
    <w:p>
      <w:pPr>
        <w:ind w:right="20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820" w:type="dxa"/>
        <w:tblCellMar>
          <w:top w:w="0" w:type="dxa"/>
          <w:left w:w="0" w:type="dxa"/>
          <w:bottom w:w="0" w:type="dxa"/>
          <w:right w:w="0" w:type="dxa"/>
        </w:tblCellMar>
      </w:tblPr>
      <w:tr>
        <w:trPr>
          <w:trHeight w:val="213"/>
        </w:trPr>
        <w:tc>
          <w:tcPr>
            <w:tcW w:w="222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22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5" w:lineRule="exact"/>
        <w:rPr>
          <w:sz w:val="24"/>
          <w:szCs w:val="24"/>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49"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2022, 47,177,974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1342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400" w:type="dxa"/>
            <w:vAlign w:val="bottom"/>
            <w:gridSpan w:val="2"/>
          </w:tcPr>
          <w:p>
            <w:pPr>
              <w:jc w:val="center"/>
              <w:ind w:left="232"/>
              <w:spacing w:after="0" w:line="192"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Loss</w:t>
            </w:r>
          </w:p>
        </w:tc>
        <w:tc>
          <w:tcPr>
            <w:tcW w:w="4940" w:type="dxa"/>
            <w:vAlign w:val="bottom"/>
            <w:gridSpan w:val="2"/>
          </w:tcPr>
          <w:p>
            <w:pPr>
              <w:spacing w:after="0"/>
              <w:rPr>
                <w:sz w:val="17"/>
                <w:szCs w:val="17"/>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w:t>
            </w:r>
          </w:p>
        </w:tc>
        <w:tc>
          <w:tcPr>
            <w:tcW w:w="620" w:type="dxa"/>
            <w:vAlign w:val="bottom"/>
            <w:gridSpan w:val="2"/>
          </w:tcPr>
          <w:p>
            <w:pPr>
              <w:spacing w:after="0"/>
              <w:rPr>
                <w:sz w:val="17"/>
                <w:szCs w:val="17"/>
                <w:color w:val="auto"/>
              </w:rPr>
            </w:pPr>
          </w:p>
        </w:tc>
        <w:tc>
          <w:tcPr>
            <w:tcW w:w="4940" w:type="dxa"/>
            <w:vAlign w:val="bottom"/>
            <w:gridSpan w:val="2"/>
          </w:tcPr>
          <w:p>
            <w:pPr>
              <w:spacing w:after="0"/>
              <w:rPr>
                <w:sz w:val="17"/>
                <w:szCs w:val="17"/>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5280" w:type="dxa"/>
            <w:vAlign w:val="bottom"/>
            <w:gridSpan w:val="3"/>
          </w:tcPr>
          <w:p>
            <w:pPr>
              <w:spacing w:after="0"/>
              <w:rPr>
                <w:sz w:val="17"/>
                <w:szCs w:val="17"/>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7"/>
          </w:tcPr>
          <w:p>
            <w:pPr>
              <w:spacing w:after="0"/>
              <w:rPr>
                <w:sz w:val="17"/>
                <w:szCs w:val="17"/>
                <w:color w:val="auto"/>
              </w:rPr>
            </w:pPr>
          </w:p>
        </w:tc>
        <w:tc>
          <w:tcPr>
            <w:tcW w:w="4940" w:type="dxa"/>
            <w:vAlign w:val="bottom"/>
            <w:gridSpan w:val="2"/>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0000FF"/>
              </w:rPr>
              <w:t>Legal Proceedings</w:t>
            </w:r>
          </w:p>
        </w:tc>
        <w:tc>
          <w:tcPr>
            <w:tcW w:w="400" w:type="dxa"/>
            <w:vAlign w:val="bottom"/>
            <w:gridSpan w:val="2"/>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7"/>
                <w:szCs w:val="17"/>
                <w:color w:val="auto"/>
              </w:rPr>
            </w:pPr>
          </w:p>
        </w:tc>
        <w:tc>
          <w:tcPr>
            <w:tcW w:w="7940" w:type="dxa"/>
            <w:vAlign w:val="bottom"/>
            <w:gridSpan w:val="10"/>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2"/>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tcPr>
          <w:p>
            <w:pPr>
              <w:spacing w:after="0"/>
              <w:rPr>
                <w:sz w:val="17"/>
                <w:szCs w:val="17"/>
                <w:color w:val="auto"/>
              </w:rPr>
            </w:pPr>
          </w:p>
        </w:tc>
        <w:tc>
          <w:tcPr>
            <w:tcW w:w="6940" w:type="dxa"/>
            <w:vAlign w:val="bottom"/>
            <w:gridSpan w:val="8"/>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9"/>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4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7"/>
                <w:szCs w:val="17"/>
                <w:color w:val="auto"/>
              </w:rPr>
            </w:pPr>
          </w:p>
        </w:tc>
        <w:tc>
          <w:tcPr>
            <w:tcW w:w="7940" w:type="dxa"/>
            <w:vAlign w:val="bottom"/>
            <w:gridSpan w:val="10"/>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68,330</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$40 and $40,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37,437</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158,462</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45,720</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4"/>
        </w:trPr>
        <w:tc>
          <w:tcPr>
            <w:tcW w:w="8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73,243</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2"/>
        </w:trPr>
        <w:tc>
          <w:tcPr>
            <w:tcW w:w="828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47,141 and 46,880,</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553,902</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(383,286)</w:t>
            </w:r>
          </w:p>
        </w:tc>
      </w:tr>
      <w:tr>
        <w:trPr>
          <w:trHeight w:val="22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170,462</w:t>
            </w:r>
          </w:p>
        </w:tc>
      </w:tr>
      <w:tr>
        <w:trPr>
          <w:trHeight w:val="24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96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49,895</w:t>
            </w:r>
          </w:p>
        </w:tc>
        <w:tc>
          <w:tcPr>
            <w:tcW w:w="0" w:type="dxa"/>
            <w:vAlign w:val="bottom"/>
          </w:tcPr>
          <w:p>
            <w:pPr>
              <w:spacing w:after="0"/>
              <w:rPr>
                <w:sz w:val="1"/>
                <w:szCs w:val="1"/>
                <w:color w:val="auto"/>
              </w:rPr>
            </w:pPr>
          </w:p>
        </w:tc>
      </w:tr>
      <w:tr>
        <w:trPr>
          <w:trHeight w:val="22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56,929</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(16,355)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jc w:val="right"/>
              <w:ind w:right="917"/>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895"/>
              <w:spacing w:after="0" w:line="20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ind w:right="757"/>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795"/>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96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4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42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27"/>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r>
      <w:tr>
        <w:trPr>
          <w:trHeight w:val="20"/>
        </w:trPr>
        <w:tc>
          <w:tcPr>
            <w:tcW w:w="4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8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500" w:type="dxa"/>
            <w:vAlign w:val="bottom"/>
            <w:gridSpan w:val="3"/>
            <w:vMerge w:val="restart"/>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9"/>
                <w:szCs w:val="9"/>
                <w:color w:val="auto"/>
              </w:rPr>
            </w:pPr>
          </w:p>
        </w:tc>
        <w:tc>
          <w:tcPr>
            <w:tcW w:w="12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1"/>
              <w:spacing w:after="0" w:line="125"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170,462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34"/>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34"/>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61"/>
              <w:spacing w:after="0" w:line="123"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35"/>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9"/>
              </w:rPr>
              <w:t>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134,260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left="8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center"/>
              <w:ind w:left="801"/>
              <w:spacing w:after="0"/>
              <w:rPr>
                <w:sz w:val="20"/>
                <w:szCs w:val="20"/>
                <w:color w:val="auto"/>
              </w:rPr>
            </w:pPr>
            <w:r>
              <w:rPr>
                <w:rFonts w:ascii="Times New Roman" w:cs="Times New Roman" w:eastAsia="Times New Roman" w:hAnsi="Times New Roman"/>
                <w:sz w:val="16"/>
                <w:szCs w:val="16"/>
                <w:color w:val="auto"/>
                <w:w w:val="97"/>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left="8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w:t>
            </w: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cost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27"/>
        </w:trPr>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7"/>
        </w:trPr>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0"/>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32,655</w:t>
            </w: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20"/>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2"/>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8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530"/>
        </w:trPr>
        <w:tc>
          <w:tcPr>
            <w:tcW w:w="826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24"/>
                <w:szCs w:val="24"/>
                <w:color w:val="auto"/>
              </w:rPr>
            </w:pPr>
          </w:p>
        </w:tc>
      </w:tr>
      <w:tr>
        <w:trPr>
          <w:trHeight w:val="25"/>
        </w:trPr>
        <w:tc>
          <w:tcPr>
            <w:tcW w:w="8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condensed consolidated balance sheets: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56,054</w:t>
            </w:r>
          </w:p>
        </w:tc>
        <w:tc>
          <w:tcPr>
            <w:tcW w:w="12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51,761</w:t>
            </w:r>
          </w:p>
        </w:tc>
      </w:tr>
      <w:tr>
        <w:trPr>
          <w:trHeight w:val="227"/>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8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62,238</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51,972</w:t>
            </w:r>
          </w:p>
        </w:tc>
      </w:tr>
      <w:tr>
        <w:trPr>
          <w:trHeight w:val="20"/>
        </w:trPr>
        <w:tc>
          <w:tcPr>
            <w:tcW w:w="8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1"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and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w:t>
      </w:r>
    </w:p>
    <w:p>
      <w:pPr>
        <w:spacing w:after="0" w:line="139"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The ongoing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Because Vericel is deemed an essential business, the Company has been exempted from government orders requiring the closure of workplaces and the cessation of business operations. The vast majority of these restrictions have since been rescinded throughout most of the U.S.</w:t>
      </w:r>
    </w:p>
    <w:p>
      <w:pPr>
        <w:spacing w:after="0" w:line="19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Notwithstanding being an essential business, the Company’s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During the summer of 2021, however, the pandemic’s direct and ancillary effects again began to cause some disruption to the Company’s MACI business. Following the cessation of COVID-19-related travel restrictions in many parts of the U.S. and the availability of vaccinations in May and June 2021, some MACI patients postponed or delayed treatment. Further, surges of new COVID-19 cases during the second half of 2021 caused by the spread of the “Delta” and “Omicron” variants again caused disruptions to health care networks including restrictions on the performance of elective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and during the first and second quarters of 2022. Although hospitals are now better prepared for subsequent surges in COVID-19 patients, the risk remains that regional or local restrictions could again be placed on the performance of elective surgical procedures if the number of COVID-19 infections in the U.S. were to rise, or if new or existing COVID-19 variants render current vaccine treatments ineffective.</w:t>
      </w:r>
    </w:p>
    <w:p>
      <w:pPr>
        <w:spacing w:after="0" w:line="22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Because Epicel is used almost exclusively in an emergent setting by burn centers and surgeons throughout the country, Epicel revenue and procedure volumes have been less affected by the pandemic. Nevertheless, the number of large burns and burn admissions can be affected by restrictions on human activity resulting from more severe government lockdown orders.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At the outset of the pandemic, the Company put in place a comprehensive workplace protection plan, which instituted protective measures in response to COVID-19. Vericel’s workplace protection plan has closely followed guidance issued by the Centers for Disease Control and Prevention (“CDC”) and has complied with applicable federal and state law. To date, Vericel has been successful in sustaining its operations and providing MACI and Epicel to patients in need. The Company continues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review its policies and procedures regularly, including its workplace protection plan, as the pandemic evolves and the Company may take additional actions to the extent required.</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continues to manufacture MACI and Epicel and is maintaining a significant safety stock of all key raw materials. Vericel does not expect that current supply chain interruptions will impact its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the Company has not experienced material shipping delays, significant disruption of air travel could result in the inability to deliver MACI or Epicel final products to customer sites within appropriate timeframes, which could further adversely impact the Company’s business. At this time, the Company is not aware of COVID-19 related impacts on its distributors, operations or third-party service providers’ ability to manage patient cases. The Company believes it is possible that it could experience variable business impacts, should a new resurgence of COVID-19 infections occur in the future.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22222"/>
        </w:rPr>
        <w:t>The Conflict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current conflict between Russia and Ukraine and the related sanctions and other penalties imposed by countries across the globe against Russia are creating substantial uncertainty in the global economy and resulting in heightened inflation and supply chain disruptions. While the Company does not have operations in Russia or Ukraine and does not have exposure to distributors, or third-party service providers in Russia or Ukraine, it is unable to predict the impact that these actions will have on the global economy or on its financial condition, results of operations, and cash flows as of the date of these unaudited condensed consolidated financial statements.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the Company had an accumulated deficit of </w:t>
      </w:r>
      <w:r>
        <w:rPr>
          <w:rFonts w:ascii="Times New Roman" w:cs="Times New Roman" w:eastAsia="Times New Roman" w:hAnsi="Times New Roman"/>
          <w:sz w:val="18"/>
          <w:szCs w:val="18"/>
          <w:color w:val="222222"/>
        </w:rPr>
        <w:t>$399.3 million</w:t>
      </w:r>
      <w:r>
        <w:rPr>
          <w:rFonts w:ascii="Times New Roman" w:cs="Times New Roman" w:eastAsia="Times New Roman" w:hAnsi="Times New Roman"/>
          <w:sz w:val="18"/>
          <w:szCs w:val="18"/>
          <w:color w:val="000000"/>
        </w:rPr>
        <w:t xml:space="preserve"> and had a </w:t>
      </w:r>
      <w:r>
        <w:rPr>
          <w:rFonts w:ascii="Times New Roman" w:cs="Times New Roman" w:eastAsia="Times New Roman" w:hAnsi="Times New Roman"/>
          <w:sz w:val="18"/>
          <w:szCs w:val="18"/>
          <w:color w:val="222222"/>
        </w:rPr>
        <w:t>net loss of $16.1 million during the</w:t>
      </w:r>
      <w:r>
        <w:rPr>
          <w:rFonts w:ascii="Times New Roman" w:cs="Times New Roman" w:eastAsia="Times New Roman" w:hAnsi="Times New Roman"/>
          <w:sz w:val="18"/>
          <w:szCs w:val="18"/>
          <w:color w:val="000000"/>
        </w:rPr>
        <w:t xml:space="preserve"> six months ended </w:t>
      </w:r>
      <w:r>
        <w:rPr>
          <w:rFonts w:ascii="Times New Roman" w:cs="Times New Roman" w:eastAsia="Times New Roman" w:hAnsi="Times New Roman"/>
          <w:sz w:val="18"/>
          <w:szCs w:val="18"/>
          <w:color w:val="222222"/>
        </w:rPr>
        <w:t>June 30, 2022. The Company had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cash and cash equivalents of $56.1 million and investments of $68.4 million as of June 30, 2022. The Company expects that cash from the sales of its products and existing cash, cash equivalents and investments will be sufficient to support the Company’s current operations through at least 12 months from the issuance of these condensed consolidated financial statements. The effects of the COVID-19 pandemic continue to evolve, however. To the extent the U.S. experiences a worsening in COVID-19 infections or the emergence of additional virus variants that result in more serious disease or limit the effectiveness of existing vaccines, subsequent healthcare measures – to include the postponement or cessation of elective and other surgical procedures – may cause the Company to experience a reduction in business and resulting revenue. This, consequently, may result in irrecoverable losses of customers and significantly impact the Company’s long-term liquidity, potentially requiring the Company to engage in layoffs, furloughs and/or reductions in salaries. The Company also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accompanying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of Vericel are unaudited and have been prepared in accordance with the rules and regulations of the U.S. Securities and Exchange Commission (“SEC”). The preparation of </w:t>
      </w:r>
      <w:r>
        <w:rPr>
          <w:rFonts w:ascii="Times New Roman" w:cs="Times New Roman" w:eastAsia="Times New Roman" w:hAnsi="Times New Roman"/>
          <w:sz w:val="18"/>
          <w:szCs w:val="18"/>
          <w:color w:val="222222"/>
        </w:rPr>
        <w:t>condensed consolidated financial statements</w:t>
      </w:r>
      <w:r>
        <w:rPr>
          <w:rFonts w:ascii="Times New Roman" w:cs="Times New Roman" w:eastAsia="Times New Roman" w:hAnsi="Times New Roman"/>
          <w:sz w:val="18"/>
          <w:szCs w:val="18"/>
          <w:color w:val="auto"/>
        </w:rPr>
        <w:t xml:space="preserve"> in conformity with U.S. generally accepted accounting principles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the Company’s business, results of operations and financial condition, including sales, expenses, reserves and allowances, manufacturing, clinical trials, research and development costs and employee-related amounts, will depend on future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developments that are highly uncertain, including as a result of new information that may emerge concerning the COVID-19 pandemic and the actions taken to continue to contain or treat COVID-19, as well as the economic impact on its customers. The Company has made estimates of the impact of the COVID-19 pandemic within these financial statements and there may be changes to those estimates in future periods. Actual results may differ from these estimates. As of June 30, 2022, the Company has not recorded impairments to investments, inventory, other current assets or long-lived assets as a result of the COVID-19 pandemic.</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should be read in conjunction with the audited consolidated financial statements and the notes thereto included in our Annual Report on Form 10-K for the year ended December 31, 2021, as filed with the SEC on February 24, 2022 (“Annual Report”).</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 new accounting standards were adopted during the quarter ended June 30,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other sources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 party to provide services in connection with a patient support program to manage patient cases and to ensure complete and correct billing information is provided to the insurers and hospitals. In addition, the Company also sells MACI directly to DMS Pharmaceutical Group, Inc.(“DMS”) for patients treated at military treatment facilities. The sales directly to DMS are made at a contracted rate.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The Company assesses risk and determines a loss percentage by pooling account receivables based on similar risk characteristics. The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is calculated through the use of forecasts that are based on current and historical economic and financial information. This loss percentage was applied to the accounts receivables as of June 30, 2022. The total allowance for uncollectible consideration as of June 30, 2022 and December 31, 2021 was $6.7 million and $7.0 million, respectively. Changes to the estimate of the amount of consideration that will not be collected could have a material impact on the revenue recognized. A 50 basis points change to the estimated uncollectible percentage could result in an approximately $0.3 million decrease or increase in the revenue recognized for the six months ended June 30, 2022.</w:t>
      </w:r>
    </w:p>
    <w:p>
      <w:pPr>
        <w:spacing w:after="0" w:line="214" w:lineRule="exact"/>
        <w:rPr>
          <w:sz w:val="20"/>
          <w:szCs w:val="20"/>
          <w:color w:val="auto"/>
        </w:rPr>
      </w:pPr>
    </w:p>
    <w:p>
      <w:pPr>
        <w:ind w:right="20" w:firstLine="240"/>
        <w:spacing w:after="0" w:line="254"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 During the three months ended June 30, 2022, the Company recorded changes in estimates for MACI implants that occurred in a prior year of approximately $1.4 million, related to claims billed through a third-party insurer as a result of finalization of the billing claims processes.</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under which MediWound will manufacture and supply NexoBrid on a unit price basis, which may be increased pursuant to the terms of the agreements. The U.S. Biomedical Advanced Research and Development Authority (“BARDA”) has committed to procure NexoBrid from MediWound and, as of June 30, 2022, the Company did not hold a direct contract or distribution agreement with BARDA, or take title to the product. The Company recognizes revenue based on a percentage of gross profits for sales of NexoBrid to BARDA upon delivery, at which time BARDA is in control of the product.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4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rates sold through a specialty pharmacy </w:t>
            </w:r>
            <w:r>
              <w:rPr>
                <w:rFonts w:ascii="Times New Roman" w:cs="Times New Roman" w:eastAsia="Times New Roman" w:hAnsi="Times New Roman"/>
                <w:sz w:val="23"/>
                <w:szCs w:val="23"/>
                <w:color w:val="auto"/>
                <w:vertAlign w:val="superscript"/>
              </w:rPr>
              <w: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0" w:type="dxa"/>
            <w:vAlign w:val="bottom"/>
          </w:tcPr>
          <w:p>
            <w:pPr>
              <w:spacing w:after="0"/>
              <w:rPr>
                <w:sz w:val="1"/>
                <w:szCs w:val="1"/>
                <w:color w:val="auto"/>
              </w:rPr>
            </w:pPr>
          </w:p>
        </w:tc>
      </w:tr>
      <w:tr>
        <w:trPr>
          <w:trHeight w:val="173"/>
        </w:trPr>
        <w:tc>
          <w:tcPr>
            <w:tcW w:w="614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 pharmacy</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173"/>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w:t>
            </w:r>
          </w:p>
        </w:tc>
        <w:tc>
          <w:tcPr>
            <w:tcW w:w="2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4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0" w:type="dxa"/>
            <w:vAlign w:val="bottom"/>
          </w:tcPr>
          <w:p>
            <w:pPr>
              <w:spacing w:after="0"/>
              <w:rPr>
                <w:sz w:val="1"/>
                <w:szCs w:val="1"/>
                <w:color w:val="auto"/>
              </w:rPr>
            </w:pPr>
          </w:p>
        </w:tc>
      </w:tr>
      <w:tr>
        <w:trPr>
          <w:trHeight w:val="227"/>
        </w:trPr>
        <w:tc>
          <w:tcPr>
            <w:tcW w:w="614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7"/>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7"/>
        </w:trPr>
        <w:tc>
          <w:tcPr>
            <w:tcW w:w="614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61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50,322</w:t>
            </w:r>
          </w:p>
        </w:tc>
        <w:tc>
          <w:tcPr>
            <w:tcW w:w="0" w:type="dxa"/>
            <w:vAlign w:val="bottom"/>
          </w:tcPr>
          <w:p>
            <w:pPr>
              <w:spacing w:after="0"/>
              <w:rPr>
                <w:sz w:val="1"/>
                <w:szCs w:val="1"/>
                <w:color w:val="auto"/>
              </w:rPr>
            </w:pPr>
          </w:p>
        </w:tc>
      </w:tr>
      <w:tr>
        <w:trPr>
          <w:trHeight w:val="227"/>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0" w:type="dxa"/>
            <w:vAlign w:val="bottom"/>
          </w:tcPr>
          <w:p>
            <w:pPr>
              <w:spacing w:after="0"/>
              <w:rPr>
                <w:sz w:val="1"/>
                <w:szCs w:val="1"/>
                <w:color w:val="auto"/>
              </w:rPr>
            </w:pPr>
          </w:p>
        </w:tc>
      </w:tr>
      <w:tr>
        <w:trPr>
          <w:trHeight w:val="107"/>
        </w:trPr>
        <w:tc>
          <w:tcPr>
            <w:tcW w:w="6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614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45"/>
        </w:trPr>
        <w:tc>
          <w:tcPr>
            <w:tcW w:w="6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500" w:right="20" w:hanging="235"/>
        <w:spacing w:after="0"/>
        <w:tabs>
          <w:tab w:leader="none" w:pos="45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09" w:lineRule="exact"/>
        <w:rPr>
          <w:rFonts w:ascii="Times New Roman" w:cs="Times New Roman" w:eastAsia="Times New Roman" w:hAnsi="Times New Roman"/>
          <w:sz w:val="14"/>
          <w:szCs w:val="14"/>
          <w:color w:val="auto"/>
        </w:rPr>
      </w:pPr>
    </w:p>
    <w:p>
      <w:pPr>
        <w:ind w:left="500" w:right="20" w:hanging="235"/>
        <w:spacing w:after="0" w:line="254" w:lineRule="auto"/>
        <w:tabs>
          <w:tab w:leader="none" w:pos="46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99" w:lineRule="exact"/>
        <w:rPr>
          <w:rFonts w:ascii="Times New Roman" w:cs="Times New Roman" w:eastAsia="Times New Roman" w:hAnsi="Times New Roman"/>
          <w:sz w:val="14"/>
          <w:szCs w:val="14"/>
          <w:color w:val="auto"/>
        </w:rPr>
      </w:pPr>
    </w:p>
    <w:p>
      <w:pPr>
        <w:ind w:left="500" w:right="20" w:hanging="235"/>
        <w:spacing w:after="0" w:line="25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99" w:lineRule="exact"/>
        <w:rPr>
          <w:rFonts w:ascii="Times New Roman" w:cs="Times New Roman" w:eastAsia="Times New Roman" w:hAnsi="Times New Roman"/>
          <w:sz w:val="14"/>
          <w:szCs w:val="14"/>
          <w:color w:val="auto"/>
        </w:rPr>
      </w:pPr>
    </w:p>
    <w:p>
      <w:pPr>
        <w:ind w:left="500" w:right="20" w:hanging="235"/>
        <w:spacing w:after="0" w:line="254" w:lineRule="auto"/>
        <w:tabs>
          <w:tab w:leader="none" w:pos="46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12" w:lineRule="exact"/>
        <w:rPr>
          <w:rFonts w:ascii="Times New Roman" w:cs="Times New Roman" w:eastAsia="Times New Roman" w:hAnsi="Times New Roman"/>
          <w:sz w:val="14"/>
          <w:szCs w:val="14"/>
          <w:color w:val="auto"/>
        </w:rPr>
      </w:pPr>
    </w:p>
    <w:p>
      <w:pPr>
        <w:jc w:val="both"/>
        <w:ind w:left="260" w:right="180" w:firstLine="5"/>
        <w:spacing w:after="0" w:line="256" w:lineRule="auto"/>
        <w:tabs>
          <w:tab w:leader="none" w:pos="45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primarily to changes to the initial expected reimbursement or collection expectation upon completion of the billing claims process. The change in estimates is a result of additional information, changes in collection expectations or actual cash collections received in the current period.</w:t>
      </w:r>
    </w:p>
    <w:p>
      <w:pPr>
        <w:spacing w:after="0" w:line="111" w:lineRule="exact"/>
        <w:rPr>
          <w:rFonts w:ascii="Times New Roman" w:cs="Times New Roman" w:eastAsia="Times New Roman" w:hAnsi="Times New Roman"/>
          <w:sz w:val="14"/>
          <w:szCs w:val="14"/>
          <w:color w:val="auto"/>
        </w:rPr>
      </w:pPr>
    </w:p>
    <w:p>
      <w:pPr>
        <w:ind w:left="440" w:hanging="175"/>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based on a percentage of gross profits for sales of NexoBrid to BARDA, pursuant to the license agreement between the Company and MediWound (see note 10).</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1" w:lineRule="exact"/>
        <w:rPr>
          <w:sz w:val="20"/>
          <w:szCs w:val="20"/>
          <w:color w:val="auto"/>
        </w:rPr>
      </w:pPr>
    </w:p>
    <w:p>
      <w:pPr>
        <w:jc w:val="both"/>
        <w:ind w:right="80" w:firstLine="240"/>
        <w:spacing w:after="0" w:line="262" w:lineRule="auto"/>
        <w:rPr>
          <w:sz w:val="20"/>
          <w:szCs w:val="20"/>
          <w:color w:val="auto"/>
        </w:rPr>
      </w:pPr>
      <w:r>
        <w:rPr>
          <w:rFonts w:ascii="Times New Roman" w:cs="Times New Roman" w:eastAsia="Times New Roman" w:hAnsi="Times New Roman"/>
          <w:sz w:val="18"/>
          <w:szCs w:val="18"/>
          <w:color w:val="auto"/>
        </w:rPr>
        <w:t>The Company’s total revenue concentration from an Epicel customer for the three and six months ended June 30, 2022 was 6% and 7%, respectively, and 11% and 12%, respectively, for the same periods in 2021. For the Company’s total accounts receivable balances, there were no customers as of June 30, 2022 or December 31, 2021, with a concentration greater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as of June 30, 2022 and December 31, 2021: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0"/>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as of June 30, 2022 and December 31, 2021: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0" w:type="dxa"/>
            <w:vAlign w:val="bottom"/>
          </w:tcPr>
          <w:p>
            <w:pPr>
              <w:spacing w:after="0"/>
              <w:rPr>
                <w:sz w:val="1"/>
                <w:szCs w:val="1"/>
                <w:color w:val="auto"/>
              </w:rPr>
            </w:pPr>
          </w:p>
        </w:tc>
      </w:tr>
      <w:tr>
        <w:trPr>
          <w:trHeight w:val="245"/>
        </w:trPr>
        <w:tc>
          <w:tcPr>
            <w:tcW w:w="7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2022 was $1.1 million and $1.9 million, respectively, and $0.7 million and $1.5 million, respectively, for the same periods in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as of June 30, 2022 and December 31, 2021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5"/>
        </w:trPr>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term of the Burlington Lease is currently expected to begin in 2023, 12 months following the landlord’s commencement of construction of the core and shell of the building in which the Premises are located (the “Commencement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$25.1 million in total, towards the design and construction of certain tenant improvements made to the Premises, subject to the terms set forth in the Burlington Lease.</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not involved in the initial construction of the core and shell of the building and will record the lease liability and right-of-use asset on its condensed consolidated balance sheet, when the construction is substantially completed and it obtains control of the Premises, which is currently expected to be on or around the Commencement Date.</w:t>
      </w:r>
    </w:p>
    <w:p>
      <w:pPr>
        <w:spacing w:after="0" w:line="20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Such letter of credit shall be reduced to approximately $4.2 million and $1.8 million at the conclusion of the third and sixth lease years, respectively, provided certain conditions set forth in the Burlington Lease are satisfied.</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2022 and 2021, lease expense of less than $0.1 million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three and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22222"/>
        </w:rPr>
        <w:t xml:space="preserve">, the Company recognized $1.7 million and $3.5 million, respectively, of operating lease expense and $1.8 million and $3.7 million, respectively, for the same periods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For the three and six months ended </w:t>
      </w:r>
      <w:r>
        <w:rPr>
          <w:rFonts w:ascii="Times New Roman" w:cs="Times New Roman" w:eastAsia="Times New Roman" w:hAnsi="Times New Roman"/>
          <w:sz w:val="18"/>
          <w:szCs w:val="18"/>
          <w:color w:val="000000"/>
        </w:rPr>
        <w:t>June 30, 2022 and</w:t>
      </w:r>
      <w:r>
        <w:rPr>
          <w:rFonts w:ascii="Times New Roman" w:cs="Times New Roman" w:eastAsia="Times New Roman" w:hAnsi="Times New Roman"/>
          <w:sz w:val="18"/>
          <w:szCs w:val="18"/>
          <w:color w:val="222222"/>
        </w:rPr>
        <w:t xml:space="preserve"> 2021, the Company recognized less than </w:t>
      </w:r>
      <w:r>
        <w:rPr>
          <w:rFonts w:ascii="Times New Roman" w:cs="Times New Roman" w:eastAsia="Times New Roman" w:hAnsi="Times New Roman"/>
          <w:sz w:val="18"/>
          <w:szCs w:val="18"/>
          <w:color w:val="000000"/>
        </w:rPr>
        <w:t xml:space="preserve">$0.1 million </w:t>
      </w:r>
      <w:r>
        <w:rPr>
          <w:rFonts w:ascii="Times New Roman" w:cs="Times New Roman" w:eastAsia="Times New Roman" w:hAnsi="Times New Roman"/>
          <w:sz w:val="18"/>
          <w:szCs w:val="18"/>
          <w:color w:val="222222"/>
        </w:rPr>
        <w:t>of financing lease expense.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45,720</w:t>
            </w: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45,793</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4"/>
        </w:trPr>
        <w:tc>
          <w:tcPr>
            <w:tcW w:w="17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50,182</w:t>
            </w: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1" w:lineRule="exact"/>
        <w:rPr>
          <w:sz w:val="20"/>
          <w:szCs w:val="20"/>
          <w:color w:val="auto"/>
        </w:rPr>
      </w:pPr>
    </w:p>
    <w:p>
      <w:pPr>
        <w:jc w:val="both"/>
        <w:ind w:right="80"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0" w:type="dxa"/>
            <w:vAlign w:val="bottom"/>
          </w:tcPr>
          <w:p>
            <w:pPr>
              <w:spacing w:after="0"/>
              <w:rPr>
                <w:sz w:val="1"/>
                <w:szCs w:val="1"/>
                <w:color w:val="auto"/>
              </w:rPr>
            </w:pPr>
          </w:p>
        </w:tc>
      </w:tr>
      <w:tr>
        <w:trPr>
          <w:trHeight w:val="220"/>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1" w:lineRule="exact"/>
        <w:rPr>
          <w:sz w:val="20"/>
          <w:szCs w:val="20"/>
          <w:color w:val="auto"/>
        </w:rPr>
      </w:pPr>
    </w:p>
    <w:p>
      <w:pPr>
        <w:jc w:val="both"/>
        <w:ind w:right="80" w:firstLine="240"/>
        <w:spacing w:after="0" w:line="257"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granted service-based options to purchase common stock of 170,060 and 1,163,649, respectively, and 136,117 and 1,474,072, respectively, for the same periods in 2021. The weighted-average grant-date fair value of service-based options granted during the three and six months ended June 30, 2022 was $19.25 and $20.74 per option, respectively, and $39.31 and $32.69, respectively, for the same periods in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jc w:val="both"/>
        <w:ind w:right="80" w:firstLine="240"/>
        <w:spacing w:after="0" w:line="26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granted 39,746 and 382,768 restricted stock units, respectively, and 26,941 and 241,054, respectively, for the same periods in 2021. The weighted-average grant-date fair value of restricted stock units granted during the three and six months ended June 30, 2022 was $31.94 and $34.65 per unit, respectively, and $61.37 and $51.99, respectively, for the same periods in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249" w:lineRule="exact"/>
        <w:rPr>
          <w:sz w:val="20"/>
          <w:szCs w:val="20"/>
          <w:color w:val="auto"/>
        </w:rPr>
      </w:pPr>
    </w:p>
    <w:p>
      <w:pPr>
        <w:jc w:val="both"/>
        <w:ind w:right="80"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 as of June 30, 2022 and December 31, 2021:</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68,356</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June 30, 2022 and December 31, 2021, all marketable securities held by the Company had remaining contractual maturities of three years or less.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impairments of the Company’s assets measured and carried at fair value during the three and six months ended June 30, 2022 and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47"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and corporate notes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2021 to June 30, 2022.</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31750</wp:posOffset>
            </wp:positionV>
            <wp:extent cx="2516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31750</wp:posOffset>
            </wp:positionV>
            <wp:extent cx="2533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760" w:space="720"/>
            <w:col w:w="2760"/>
          </w:cols>
          <w:pgMar w:left="320" w:top="117" w:right="3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80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6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80" w:hanging="133"/>
        <w:spacing w:after="0"/>
        <w:tabs>
          <w:tab w:leader="none" w:pos="3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$8.0 million of commercial paper had an original maturity of 90 days or less and was recorded as a cash equivalent as of December 31, 2021.</w:t>
      </w:r>
    </w:p>
    <w:p>
      <w:pPr>
        <w:spacing w:after="0" w:line="257"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Common Share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27"/>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8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32"/>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NexoBrid License and Supply Agreements</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June 29, 2021, the Company announced that MediWound had received a complete response letter (“CRL”) from the U.S. Food &amp; Drug Administration (“FDA”) with respect to a biologics license application (“BLA”), which MediWound had previously submitted to the FDA seeking marketing approval for the product in the U.S. As part of the CRL, the FDA communicated to MediWound that it had completed its review of the BLA, as amended, and had determined that it could not approve the BLA in its then form. The Company has continued to work with MediWound, BARDA and the FDA to address the issues identified in the CRL. On July 1, 2022, the Company and MediWound submitted a BLA resubmission to the FDA to address the issues identified by the FDA in the CRL. Subsequently, the FDA informed the Company that it has accepted the resubmission for review and has established a Prescription Drug User Fee Act (“PDUFA”) date for completing that review of January 1, 2023.</w:t>
      </w:r>
    </w:p>
    <w:p>
      <w:pPr>
        <w:spacing w:after="0" w:line="2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the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Company is also obligated to pay MediWound $7.5 million, which is contingent upon U.S. regulatory approval of the BLA for NexoBrid and up to $125.0 million contingent upon meeting certain sales milestones. The first sales milestone of $7.5 million would be triggered when annual net sales of NexoBrid or improvements to it in North America exceed $75.0 million. As of June 30, 2022, the milestone payments are not yet probable and therefore, not recorded as a liability. The Company also will pay MediWound tiered royalties on net sales ranging from mid-high single-digit to mid-teen percentages, subject to customary reductions.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BARDA has committed to procure NexoBrid directly from MediWound under an emergency use authorization, and under such commitment the Company will receive a percentage of gross profit for sales directly to BARDA. If BARDA procures NexoBrid directly from Vericel, the Company will pay a percentage of gross profits to MediWound on initial committed amounts and a royalty on any additional BARDA purchases of NexoBrid beyond the initial committed amount. As of June 30, 2022, the Company does not hold a direct contract or distribution agreement with BARDA.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June 30, 2022,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29, 2022, the Company, as borrower, entered into a $150 million five-year senior secured revolving credit agreement by and among the Company, the other loan parties thereto, the lenders party thereto, and JPMorgan Chase Bank, N.A., as the administrative agent (the “Revolving Credit Agreement”). The Revolving Credit Agreement includes a $15 million sub-facility for the issuance of letters of credit. Amounts available under the Revolving Credit Agreement are for the working capital needs and other general corporate purposes of the Company.</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and for sports medicine and severe burn care markets. We currently market two U.S. Food and Drug Administration (“FDA”) approved autologous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the debridement of severe thermal burns. In 2020, MediWound submitted to the FDA a biologics license application (“BLA”) seeking the approval of NexoBrid for eschar removal (debridement) in adults with deep partial-thickness and/or full-thickness thermal burns. The FDA accepted the BLA for filing and assigned a Prescription Drug User Fee Act (“PDUFA”) target date of June 29, 2021. Thereafter, on June 29, 2021, MediWound received a complete response letter (“CRL”) from the FDA regarding the BLA through which the FDA communicated to MediWound that it had completed its review of the BLA, as amended, and had determined that it could not approve the BLA in its then form. We have continued to work with MediWound, BARDA and the FDA to address the issues identified in the CRL. On July 1, 2022, Vericel and MediWound submitted the BLA resubmission to the FDA seeking the potential approval of NexoBrid. Subsequently, the FDA informed us that it has accepted the resubmission for review and has established a PDUFA date for completing that review of January 1, 2023.</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ongoing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Because Vericel is deemed an essential business, it has been exempted from government orders requiring the closure of workplaces and the cessation of business operations. The vast majority of these restrictions have since been rescinded throughout most of the U.S.</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Notwithstanding being an essential business, our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our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the pandemic’s direct and ancillary effects again began to cause some disruption to our MACI business. Following the cessation of COVID-19-related travel restrictions in many parts of the U.S. and the availability of vaccinations in May and June 2021, some MACI patients postponed or delayed treatment. Further, surges of new COVID-19 cases during the second half of 2021 caused by the spread of the “Delta” and “Omicron” variants again caused disruptions to health care networks including restrictions on the performance of elective surgical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and during the first and second quarters of 2022. Although hospitals are now better prepared for subsequent surges in COVID-19 patients, the risk remains that regional or local restrictions could again be placed on the performance of elective surgical procedures if the number of COVID-19 infections in the U.S. were to continue to rise, or if new or existing COVID-19 variants render current vaccine treatments ineffective.</w:t>
      </w:r>
    </w:p>
    <w:p>
      <w:pPr>
        <w:spacing w:after="0" w:line="22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Because Epicel is used almost exclusively in an emergent setting by burn centers and surgeons throughout the country, Epicel revenue and procedure volumes have been less affected by the pandemic. Nevertheless, the number of large burns and burn admissions can be affected by restrictions on human activity resulting from more severe government lockdown orders.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COVID-</w:t>
      </w:r>
    </w:p>
    <w:p>
      <w:pPr>
        <w:spacing w:after="0" w:line="25" w:lineRule="exact"/>
        <w:rPr>
          <w:sz w:val="20"/>
          <w:szCs w:val="20"/>
          <w:color w:val="auto"/>
        </w:rPr>
      </w:pPr>
    </w:p>
    <w:p>
      <w:pPr>
        <w:ind w:left="5540" w:right="4780" w:hanging="5533"/>
        <w:spacing w:after="0" w:line="889" w:lineRule="auto"/>
        <w:tabs>
          <w:tab w:leader="none" w:pos="2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workplace protection plan has closely followed guidance issued by the Centers for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-299720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Disease Control and Prevention (“CDC”) and has complied with applicable federal and state law. To date, Vericel has been successful in sustaining its operations and providing MACI and Epicel to patients in need. We continue to review our policies and procedures regularly, including our workplace protection plan, as the pandemic evolves and we may take additional actions to the extent required.</w:t>
      </w:r>
    </w:p>
    <w:p>
      <w:pPr>
        <w:spacing w:after="0" w:line="20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48 hours and is hand-carried to customer hospitals by courier. Transportation is primarily by commercial or charter airline. Although we have not experienced material shipping delays, significant disruption of air travel could result in the inability to deliver MACI or Epicel final products to customer sites within appropriate timeframes, which could further adversely impact our business. At this time, we are not aware of COVID-19-related impacts on our distributors, operations or third-party service providers’ ability to manage patient cases.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it is possible that we could continue to experience variable impacts on our business, should a new resurgence of COVID-19 infections occur in the future. Measures taken to limit the impact of COVID-19 at the international, national and local levels, including the availability and effectiveness of COVID-19 vaccines, shelter-in-place orders, social distancing measures, travel bans and restrictions, and business and government shutdowns, may again create significant negative economic impacts on a global basis. Given that uncertainty, we cannot accurately estimate the extent to which the ongoing COVID-19 pandemic may continue to impact utilization and revenue of our products in 2022 and beyond.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current conflict between Russia and Ukraine and the related sanctions and other penalties imposed by countries across the globe against Russia are creating substantial uncertainty in the global economy and resulting in heightened inflation and supply chain disruptions. While we do not have operations in Russia or Ukraine and do not have exposure to distributors, or third-party service providers in Russia or Ukraine, we are unable to predict the impact that these actions will have on the global economy or on our financial condition, results of operations, and cash flows as of the date of these unaudited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Both products are currently marketed in the U.S. In addition, we have entered into exclusive license and supply agreements with MediWound to commercialize NexoBrid in North America, if approved by the FDA.</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 of U.S. physicians is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76 MACI sales representatives to enable the sales force to reach our target audience.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greater than or equal to 30 percent of TBSA. Epicel is regulated by the Center for Biologics Evaluation and Research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30 times larger than the volume of grafts sold in 2021. We currently have a thirteen-person burn field force comprised of seven account managers and six burn clinical specialists, led by two regional directors and one national sales director.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ind w:firstLine="240"/>
        <w:spacing w:after="0" w:line="251" w:lineRule="auto"/>
        <w:rPr>
          <w:sz w:val="20"/>
          <w:szCs w:val="20"/>
          <w:color w:val="auto"/>
        </w:rPr>
      </w:pPr>
      <w:r>
        <w:rPr>
          <w:rFonts w:ascii="Times New Roman" w:cs="Times New Roman" w:eastAsia="Times New Roman" w:hAnsi="Times New Roman"/>
          <w:sz w:val="18"/>
          <w:szCs w:val="18"/>
          <w:color w:val="auto"/>
        </w:rPr>
        <w:t>Our development portfolio includes NexoBrid, a registration-stage, topically-administered biological product that enzymatically removes nonviable burn tissue, or eschar, in patients with deep partial and full-thickness thermal burns. We have entered into exclusive license and supply agreement with MediWound to commercialize NexoBrid and any improvements to the product in North America, if approved. On June 29, 2021, the Company announced that MediWound had received a CRL from the FDA with respect to the BLA, which MediWound had previously submitted to the FDA seeking marketing approval for the product in the U.S. As part of the CRL, the FDA communicated to MediWound that it had completed its review of the BLA, as amended, and had determined that it could not approve the BLA in its then form. We have continued to work with MediWound, BARDA and the FDA to address the issues identified in the CRL. On July 1, 2022, Vericel and MediWound submitted a BLA resubmission to the FDA to address the issues identified by the FDA in the CRL. Subsequently, the FDA informed us that is has accepted the resubmission for review and has established a Prescription Drug User Fee Act (“PDUFA”) date for completing that review of January 1, 2023.</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Pursuant to the terms of our existing license agreement, if the BLA is approved, MediWound will transfer the BLA to us and we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0" w:type="dxa"/>
            <w:vAlign w:val="bottom"/>
          </w:tcPr>
          <w:p>
            <w:pPr>
              <w:spacing w:after="0"/>
              <w:rPr>
                <w:sz w:val="1"/>
                <w:szCs w:val="1"/>
                <w:color w:val="auto"/>
              </w:rPr>
            </w:pPr>
          </w:p>
        </w:tc>
      </w:tr>
      <w:tr>
        <w:trPr>
          <w:trHeight w:val="227"/>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June 30, 2022 and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for the three and six months ended June 30, 2022 and 2021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6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7"/>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0"/>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Total revenue decrease for the three and six months ended June 30, 2022 compared to the same periods in 2021, was driven by a decrease in Epicel revenue and lower revenues associated with the delivery of NexoBrid to BARDA for emergency response preparedness.</w:t>
      </w:r>
    </w:p>
    <w:p>
      <w:pPr>
        <w:spacing w:after="0" w:line="18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 effects of the ongoing COVID-19 pandemic have disrupted the normal seasonality of our MACI business at times over the past twenty-eight months. These effects have included, among others, periodic restrictions on the performance of 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clinical account specialists to call on surgeon customers. Over the last five years, ACI (MACI and Carticel prior to replacement) sales volumes from the first through the fourth quarter on average represented 19% (16%-21% range), 22% (16%-25% range), 23% (21%-26% range) and 36% (33%-38% range) respectively, of total annual volumes. MACI orders are normally stronger in the fourth quarter due to several factors including the satisfaction by patients of insurance deductible limits and the time of year patients prefer to start rehabilitation. Because of the effects of the COVID-19 pandemic, the MACI business seasonality in 2021 and 2020 did not follow our historical patterns, and seasonality in 2022 could continue to be impacted by COVID-19 related factors. Due to the low incidence and variable occurrence of severe burns, Epicel revenue has inherent variability from quarter-to-quarter and does not exhibit significant seasonality.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5" w:lineRule="exact"/>
        <w:rPr>
          <w:sz w:val="20"/>
          <w:szCs w:val="20"/>
          <w:color w:val="auto"/>
        </w:rPr>
      </w:pPr>
    </w:p>
    <w:p>
      <w:pPr>
        <w:ind w:right="200" w:firstLine="240"/>
        <w:spacing w:after="0" w:line="291" w:lineRule="auto"/>
        <w:rPr>
          <w:sz w:val="20"/>
          <w:szCs w:val="20"/>
          <w:color w:val="auto"/>
        </w:rPr>
      </w:pPr>
      <w:r>
        <w:rPr>
          <w:rFonts w:ascii="Times New Roman" w:cs="Times New Roman" w:eastAsia="Times New Roman" w:hAnsi="Times New Roman"/>
          <w:sz w:val="17"/>
          <w:szCs w:val="17"/>
          <w:color w:val="auto"/>
        </w:rPr>
        <w:t>Gross profit decreased for the three and six months ended June 30, 2022 compared to the same periods in 2021, driven by the reduction in revenue over those periods in addition to higher external storage costs and manufacturing facility costs, lower Epicel labor utilization and raw material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ind w:right="76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license fees,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34.8</w:t>
            </w:r>
          </w:p>
        </w:tc>
        <w:tc>
          <w:tcPr>
            <w:tcW w:w="0" w:type="dxa"/>
            <w:vAlign w:val="bottom"/>
          </w:tcPr>
          <w:p>
            <w:pPr>
              <w:spacing w:after="0"/>
              <w:rPr>
                <w:sz w:val="1"/>
                <w:szCs w:val="1"/>
                <w:color w:val="auto"/>
              </w:rPr>
            </w:pPr>
          </w:p>
        </w:tc>
      </w:tr>
      <w:tr>
        <w:trPr>
          <w:trHeight w:val="22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9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5"/>
              </w:rPr>
              <w:t>13.5</w:t>
            </w:r>
          </w:p>
        </w:tc>
        <w:tc>
          <w:tcPr>
            <w:tcW w:w="0" w:type="dxa"/>
            <w:vAlign w:val="bottom"/>
          </w:tcPr>
          <w:p>
            <w:pPr>
              <w:spacing w:after="0"/>
              <w:rPr>
                <w:sz w:val="1"/>
                <w:szCs w:val="1"/>
                <w:color w:val="auto"/>
              </w:rPr>
            </w:pPr>
          </w:p>
        </w:tc>
      </w:tr>
      <w:tr>
        <w:trPr>
          <w:trHeight w:val="22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6"/>
              </w:rPr>
              <w:t>(17.4)</w:t>
            </w:r>
          </w:p>
        </w:tc>
        <w:tc>
          <w:tcPr>
            <w:tcW w:w="0" w:type="dxa"/>
            <w:vAlign w:val="bottom"/>
          </w:tcPr>
          <w:p>
            <w:pPr>
              <w:spacing w:after="0"/>
              <w:rPr>
                <w:sz w:val="1"/>
                <w:szCs w:val="1"/>
                <w:color w:val="auto"/>
              </w:rPr>
            </w:pPr>
          </w:p>
        </w:tc>
      </w:tr>
      <w:tr>
        <w:trPr>
          <w:trHeight w:val="153"/>
        </w:trPr>
        <w:tc>
          <w:tcPr>
            <w:tcW w:w="308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7"/>
                <w:szCs w:val="17"/>
                <w:color w:val="auto"/>
              </w:rPr>
              <w:t>Total research and development</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3"/>
                <w:szCs w:val="13"/>
                <w:color w:val="auto"/>
              </w:rPr>
            </w:pPr>
          </w:p>
        </w:tc>
        <w:tc>
          <w:tcPr>
            <w:tcW w:w="20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3"/>
                <w:szCs w:val="13"/>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3"/>
                <w:szCs w:val="13"/>
                <w:color w:val="auto"/>
              </w:rPr>
            </w:pPr>
          </w:p>
        </w:tc>
        <w:tc>
          <w:tcPr>
            <w:tcW w:w="900" w:type="dxa"/>
            <w:vAlign w:val="bottom"/>
            <w:vMerge w:val="restart"/>
          </w:tcPr>
          <w:p>
            <w:pPr>
              <w:jc w:val="center"/>
              <w:ind w:left="355"/>
              <w:spacing w:after="0"/>
              <w:rPr>
                <w:sz w:val="20"/>
                <w:szCs w:val="20"/>
                <w:color w:val="auto"/>
              </w:rPr>
            </w:pPr>
            <w:r>
              <w:rPr>
                <w:rFonts w:ascii="Times New Roman" w:cs="Times New Roman" w:eastAsia="Times New Roman" w:hAnsi="Times New Roman"/>
                <w:sz w:val="18"/>
                <w:szCs w:val="18"/>
                <w:color w:val="auto"/>
                <w:w w:val="95"/>
              </w:rPr>
              <w:t>19.5</w:t>
            </w:r>
          </w:p>
        </w:tc>
        <w:tc>
          <w:tcPr>
            <w:tcW w:w="0" w:type="dxa"/>
            <w:vAlign w:val="bottom"/>
          </w:tcPr>
          <w:p>
            <w:pPr>
              <w:spacing w:after="0"/>
              <w:rPr>
                <w:sz w:val="1"/>
                <w:szCs w:val="1"/>
                <w:color w:val="auto"/>
              </w:rPr>
            </w:pPr>
          </w:p>
        </w:tc>
      </w:tr>
      <w:tr>
        <w:trPr>
          <w:trHeight w:val="213"/>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were $4.8 million, compared to $4.4 million for the same period in 2021. Research and development costs continue to be centered around process development, regulatory and medical affairs for MACI and Epicel. The increase is primarily due to additional spend on instrument design for Arthroscopic MACI delivery, offset by reimbursement of expenses related to the BLA resubmission.</w:t>
      </w:r>
    </w:p>
    <w:p>
      <w:pPr>
        <w:spacing w:after="0" w:line="208"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were $9.7 million, compared to $8.1 million for the same period in 2021. Research and development costs continue to be centered around process development, regulatory and medical affairs for MACI and Epicel. The increase is primarily due to an increase of $0.8 million in stock-based compensation expense and additional spend on instrument design for Arthroscopic MACI delivery, offset by reimbursement of expenses related to the BLA resubmission.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right="100" w:firstLine="240"/>
        <w:spacing w:after="0" w:line="293"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2022 were $27.1 million compared to $26.2 million for the same period in 2021. The increase in selling, general and administrative expenses was primarily due to an increase in travel and in-person events including more physician engagement and educational programs in addition to higher depreciation related to the new office space in Cambridge, Massachusetts.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2022 were $53.0 million compared to $48.9 million for the same period in</w:t>
      </w:r>
    </w:p>
    <w:p>
      <w:pPr>
        <w:spacing w:after="0" w:line="4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2021. The increase in selling, general and administrative expenses was primarily due to an increase of $1.7 million in stock-based compensation expenses, an increase in travel and in-person events including more physician engagement and educational programs in addition to higher depreciation related to the new office space in Cambridge, Massachusetts.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49" w:lineRule="exact"/>
        <w:rPr>
          <w:sz w:val="20"/>
          <w:szCs w:val="20"/>
          <w:color w:val="auto"/>
        </w:rPr>
      </w:pPr>
    </w:p>
    <w:p>
      <w:pPr>
        <w:jc w:val="both"/>
        <w:ind w:right="120" w:firstLine="240"/>
        <w:spacing w:after="0" w:line="277" w:lineRule="auto"/>
        <w:rPr>
          <w:sz w:val="20"/>
          <w:szCs w:val="20"/>
          <w:color w:val="auto"/>
        </w:rPr>
      </w:pPr>
      <w:r>
        <w:rPr>
          <w:rFonts w:ascii="Times New Roman" w:cs="Times New Roman" w:eastAsia="Times New Roman" w:hAnsi="Times New Roman"/>
          <w:sz w:val="18"/>
          <w:szCs w:val="18"/>
          <w:color w:val="auto"/>
        </w:rPr>
        <w:t>The change in other income (expense) for the three and six months ended June 30, 2022, compared to the same periods in 2021 was due primarily to fluctuations in the rates of return on our investments in various marketable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No income tax expense was recorded for the three and six months ended June 30, 2022, compared to $0.1 million and $0.2 million recorded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0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173"/>
        </w:trPr>
        <w:tc>
          <w:tcPr>
            <w:tcW w:w="24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153"/>
        </w:trPr>
        <w:tc>
          <w:tcPr>
            <w:tcW w:w="240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7"/>
                <w:szCs w:val="17"/>
                <w:color w:val="auto"/>
              </w:rPr>
              <w:t>Total non-cash stock-based</w:t>
            </w: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tcPr>
          <w:p>
            <w:pPr>
              <w:spacing w:after="0"/>
              <w:rPr>
                <w:sz w:val="13"/>
                <w:szCs w:val="13"/>
                <w:color w:val="auto"/>
              </w:rPr>
            </w:pPr>
          </w:p>
        </w:tc>
        <w:tc>
          <w:tcPr>
            <w:tcW w:w="22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3"/>
                <w:szCs w:val="13"/>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8"/>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increase in stock-based compensation expense for the six months ended June 30, 2022 compared to the same period in 2021, was due primarily to fluctuations in stock prices which impact the fair value of the options and restricted stock units awarded and the expense recognized in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2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Our cash, cash equivalents and restricted cash totaled $62.2 million, short-term investments totaled $44.6 million and long-term investments totaled $23.7 million as of June 30, 2022. The $6.6 million of cash provided by operations during the six months ended June 30, 2022 was primarily the result of non-cash charges of $20.3 million related to stock-based compensation expense, $2.2 million of operating lease amortization and $1.9 million in depreciation and amortization expense, offset by a net loss of $16.1 million and a net decrease of $2.1 million related to movements in our working capital accounts. The overall decrease in cash from our working capital accounts was primarily driven by a decrease in accrued expenses due to timing of payments, a decrease in operating lease liabilities, an increase in inventory due to increased production needs, offset by a decrease in accounts receivable due to cash collections.</w:t>
      </w:r>
    </w:p>
    <w:p>
      <w:pPr>
        <w:spacing w:after="0" w:line="19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cash, cash equivalents and restricted cash totaled $52.0 million, short-term investments totaled $39.2 million and long-term investments totaled $24.8 million as of June 30, 2021. The $14.9 million of cash provided by operations during the six months ended June 30, 2021 was primarily the result of non-cash charges of $17.9 million related to stock compensation expense, $2.3 million of operating lease amortization, and $1.5 million in depreciation and amortization expense, offset by a net loss of $7.1 million, and a net decrease of $0.3 million related to movements in our working capital accounts. The overall decrease in cash from our working capital accounts was primarily driven by a decrease in accounts receivable due to a decrease in sales volume compared to the previous sequential quarter, an increase in inventory due to increased production needs, and an increase in operating lease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by Investing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2022 was the result of $34.9 million in investment purchases and $5.1 million of property and equipment purchases primarily for manufacturing upgrades and leasehold improvements, offset by $26.3 million of investment sales and maturities.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2021 was the result of $31.0 million in investments purchases and equipment purchases of $4.5 million, primarily for manufacturing upgrades and leasehold improvements, offset by $32.7 million of investment sales and maturities.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the result of net proceeds from the exercise of stock options and the employee stock purchase plan of $2.2 million partially offset by payments of employee withholding taxes related to the vesting of restricted stock units of $1.4 million.</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2021 was primarily the result of net proceeds from the exercise of stock options of $7.6 million, partially offset by the payment of employee withholding taxes related to the vesting of restricted stock units of $1.6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including NexoBrid. To date, we have financed our operations primarily through cash received through Epicel and MACI sales, debt and public and private sales of our equity securities. We generated $6.6 million in operating cash flows during the six months ended June 30, 2022, and we may finance our operations through the sales of equity securities or debt financings.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borrowing capacity will be sufficient to support our current operations through at least 12 months from the issuance of these condensed consolidated financial statements. However, the continuing effects of the ongoing COVID-19 pandemic continue to evolve and may adversely impact our business and operations. Our actual cash requirements may differ from projections and will depend on many factors, including any future impacts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were not party to any off-balance sheet arrangements.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June 30, 2022, we have sold no shares pursuant to the Sales Agreement.</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222222"/>
        </w:rPr>
        <w:t>On July 29, 2022, we entered into a $150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will use the facility for working capital needs and other general corporate purposes, as desired. As of the filing of this Quarterly Report on Form 10-Q, there are no outstanding borrowings under the Revolving Credit Agreement, and we are in compliance with all covenant requirements of the Revolving Credit Agreement. See Note 12, “Subsequent Events” in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2021. There have been no material changes, outside of the ordinary course of business, to our contractual obligations and commitments since December 31, 2021, except as discussed in Note 5, “Leases” in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six months ended June 30, 2022. For further information, refer to our summary of significant accounting policies and estimates in our Annual Report on Form 10-K filed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21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 These forward-looking statements include statements regarding:</w:t>
      </w:r>
    </w:p>
    <w:p>
      <w:pPr>
        <w:spacing w:after="0" w:line="216" w:lineRule="exact"/>
        <w:rPr>
          <w:sz w:val="20"/>
          <w:szCs w:val="20"/>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w:t>
      </w:r>
    </w:p>
    <w:p>
      <w:pPr>
        <w:spacing w:after="0" w:line="18"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the timing of the FDA’s review of the NexoBrid BLA resubmission;</w:t>
      </w:r>
    </w:p>
    <w:p>
      <w:pPr>
        <w:spacing w:after="0" w:line="1" w:lineRule="exact"/>
        <w:rPr>
          <w:rFonts w:ascii="Arial" w:cs="Arial" w:eastAsia="Arial" w:hAnsi="Arial"/>
          <w:sz w:val="21"/>
          <w:szCs w:val="21"/>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approval by the FDA of the NexoBrid BLA;</w:t>
      </w:r>
    </w:p>
    <w:p>
      <w:pPr>
        <w:spacing w:after="0" w:line="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therapies;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including publication thereof;</w:t>
      </w:r>
    </w:p>
    <w:p>
      <w:pPr>
        <w:spacing w:after="0" w:line="6" w:lineRule="exact"/>
        <w:rPr>
          <w:rFonts w:ascii="Times New Roman" w:cs="Times New Roman" w:eastAsia="Times New Roman" w:hAnsi="Times New Roman"/>
          <w:sz w:val="18"/>
          <w:szCs w:val="18"/>
          <w:color w:val="auto"/>
        </w:rPr>
      </w:pPr>
    </w:p>
    <w:p>
      <w:pPr>
        <w:ind w:left="1280" w:hanging="313"/>
        <w:spacing w:after="0" w:line="247" w:lineRule="auto"/>
        <w:tabs>
          <w:tab w:leader="none" w:pos="12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on our business, including economic slowdowns or recessions, impact to our operations or to the healthcare industry generally, which could reduce demand for our products;</w:t>
      </w:r>
    </w:p>
    <w:p>
      <w:pPr>
        <w:ind w:left="1280" w:right="20" w:hanging="313"/>
        <w:spacing w:after="0" w:line="247" w:lineRule="auto"/>
        <w:tabs>
          <w:tab w:leader="none" w:pos="12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inflationary pressures and our responses thereto as well as other unfavorable global and regional economic conditions, geopolitical events, and military conflicts, such as repercussions from the recent conflict in Ukraine;</w:t>
      </w: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For quantitative and qualitative disclosures about market risk, see Part II, Item 7A. “Quantitative and Qualitative Disclosures About Market Risk,” of our Annual Report on Form 10-K for the year ended December 31, 2021. Our exposures to market risk have not changed materially since December 31,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2022, the Company’s Certifying Officers concluded that the Company’s disclosure controls and procedures were effective.</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June 30, 2022,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the 10-K for the fiscal year ended December 31, 2021 filed with the SEC on February 24, 2022.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the 10-K for the fiscal year ended December 31, 2021, except as follows.</w:t>
      </w:r>
    </w:p>
    <w:p>
      <w:pPr>
        <w:spacing w:after="0" w:line="208"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an ongoing military conflict between Russia and Ukraine, and record inflation. Our business, financial condition and results of operations could be materially adversely affected by any negative impact on the global economy and capital markets resulting from the conflict in Ukraine, geopolitical tensions, or record inflation.</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In February 2022, a full-scale military invasion of Ukraine by Russian troops began. Although the length and impact of the ongoing military conflict is highly unpredictable, the conflict in Ukraine has led to market disruptions, including significant volatility in commodity prices, credit and capital markets, as well as supply chain interruptions, which has contributed to record inflation globally. We are continuing to monitor inflation, the situation in Ukraine and global capital markets and assessing its potential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 between Russian and Ukraine, geopolitical tensions, or record inflation, it is impossible to predict the extent to which our operations will be impacted in the short and long term, or the ways in which such matters may impact our business. The extent and duration of the conflict in Ukraine, geopolitical tensions, record inflation and resulting market disruptions are impossible to predict but could be substantial. Any such disruptions may also magnify the impact of other risks described in the 10-K.</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NexoBrid’s approval in the U.S. for the treatment of severe burns may be further delayed, or it may not be approved by the FDA for use in the U.S. at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w:t>
      </w:r>
    </w:p>
    <w:p>
      <w:pPr>
        <w:spacing w:after="0" w:line="22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On June 29, 2021, we announced that MediWound had received a CRL from the FDA with respect to a BLA that MediWound had previously submitted to the FDA seeking marketing approval for NexoBrid in the U.S. As part of the CRL, the FDA communicated to MediWound that it had completed its review of the BLA, as amended, and had determined that it could not approve the BLA in its then form. The FDA identified issues related to the chemistry, manufacturing and controls, or CMC section of the BLA and had requested that MediWound 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GCP inspections related to the Phase 3 pivotal DETECT study and requested that MediWound address questions regarding the impact of the observations on the study’s efficacy findings. The FDA also requested that MediWound provide a safety update as part of a BLA resubmission.</w:t>
      </w:r>
    </w:p>
    <w:p>
      <w:pPr>
        <w:spacing w:after="0" w:line="213" w:lineRule="exact"/>
        <w:rPr>
          <w:sz w:val="20"/>
          <w:szCs w:val="20"/>
          <w:color w:val="auto"/>
        </w:rPr>
      </w:pPr>
    </w:p>
    <w:p>
      <w:pPr>
        <w:ind w:right="20" w:firstLine="240"/>
        <w:spacing w:after="0" w:line="251" w:lineRule="auto"/>
        <w:rPr>
          <w:sz w:val="20"/>
          <w:szCs w:val="20"/>
          <w:color w:val="auto"/>
        </w:rPr>
      </w:pPr>
      <w:r>
        <w:rPr>
          <w:rFonts w:ascii="Times New Roman" w:cs="Times New Roman" w:eastAsia="Times New Roman" w:hAnsi="Times New Roman"/>
          <w:sz w:val="18"/>
          <w:szCs w:val="18"/>
          <w:color w:val="auto"/>
        </w:rPr>
        <w:t>We have continued to work with MediWound, BARDA and the FDA to address the issues identified in the CRL, and on July 1, 2022, Vericel and MediWound submitted a BLA resubmission to the FDA to address the issues identified by the FDA in the CRL. Subsequently, the FDA informed us that it has accepted the resubmission for review and has established a PDUFA date for completing that review of January 1, 2023. We cannot predict the likelihood that the FDA will ultimately approve the NexoBrid BLA. We also cannot predict whether current geopolitical tensions between the U.S. and China will affect or delay the FDA’s ability to conduct inspections of the NexoBrid manufacturing facility located in Taiwan.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U.S. may have a material adverse impact on our business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1" w:lineRule="exact"/>
        <w:rPr>
          <w:sz w:val="20"/>
          <w:szCs w:val="20"/>
          <w:color w:val="auto"/>
        </w:rPr>
      </w:pPr>
    </w:p>
    <w:p>
      <w:pPr>
        <w:ind w:left="24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210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1030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w:t>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10.2</w:t>
      </w: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10.5*</w:t>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10.7*</w:t>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10.8*</w:t>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10.9*</w:t>
      </w: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10.10*</w:t>
      </w: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10.11*</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99"/>
        <w:spacing w:after="0" w:line="261"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Restated Articles of Incorporation of the Company, filed as Exhibit 4.1 to the Company’s Current Report on Form</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8-K filed on December 17, 2009, incorporated herein by reference.</w:t>
        </w:r>
      </w:hyperlink>
    </w:p>
    <w:p>
      <w:pPr>
        <w:spacing w:after="0" w:line="150" w:lineRule="exact"/>
        <w:rPr>
          <w:sz w:val="20"/>
          <w:szCs w:val="20"/>
          <w:color w:val="auto"/>
        </w:rPr>
      </w:pPr>
    </w:p>
    <w:p>
      <w:pPr>
        <w:ind w:right="439"/>
        <w:spacing w:after="0" w:line="246"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Certificate of Amendment to Restated Articles of Incorporation of the Company, dated February 9, 2010, filed as</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Exhibit 3.2 to the Company’s Post-Effective Amendment No. 1 to Form S-1 filed on March 31, 2010, incorporated</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herein by reference.</w:t>
        </w:r>
      </w:hyperlink>
    </w:p>
    <w:p>
      <w:pPr>
        <w:spacing w:after="0" w:line="164" w:lineRule="exact"/>
        <w:rPr>
          <w:rFonts w:ascii="Times New Roman" w:cs="Times New Roman" w:eastAsia="Times New Roman" w:hAnsi="Times New Roman"/>
          <w:sz w:val="18"/>
          <w:szCs w:val="18"/>
          <w:u w:val="single" w:color="auto"/>
          <w:color w:val="0000FF"/>
        </w:rPr>
      </w:pPr>
    </w:p>
    <w:p>
      <w:pPr>
        <w:ind w:right="399"/>
        <w:spacing w:after="0" w:line="246"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Certificate of Amendment to Restated Articles of Incorporation of the Company, dated March 22, 2011, attached as</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Exhibit 3.1 to the Company’s Current Report on Form 8-K filed on March 25, 2011, incorporated herein by</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reference.</w:t>
        </w:r>
      </w:hyperlink>
    </w:p>
    <w:p>
      <w:pPr>
        <w:spacing w:after="0" w:line="164" w:lineRule="exact"/>
        <w:rPr>
          <w:rFonts w:ascii="Times New Roman" w:cs="Times New Roman" w:eastAsia="Times New Roman" w:hAnsi="Times New Roman"/>
          <w:sz w:val="18"/>
          <w:szCs w:val="18"/>
          <w:u w:val="single" w:color="auto"/>
          <w:color w:val="0000FF"/>
        </w:rPr>
      </w:pPr>
    </w:p>
    <w:p>
      <w:pPr>
        <w:ind w:right="559"/>
        <w:spacing w:after="0" w:line="246"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Certificate of Amendment to the Restated Articles of Incorporation of the Company, dated November 21, 2014,</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attached as Exhibit 3.1 to the Company’s Current Report on Form 8-K filed on November 24, 2014, incorporated</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herein by reference.</w:t>
        </w:r>
      </w:hyperlink>
    </w:p>
    <w:p>
      <w:pPr>
        <w:spacing w:after="0" w:line="164" w:lineRule="exact"/>
        <w:rPr>
          <w:rFonts w:ascii="Times New Roman" w:cs="Times New Roman" w:eastAsia="Times New Roman" w:hAnsi="Times New Roman"/>
          <w:sz w:val="18"/>
          <w:szCs w:val="18"/>
          <w:u w:val="single" w:color="auto"/>
          <w:color w:val="0000FF"/>
        </w:rPr>
      </w:pPr>
    </w:p>
    <w:p>
      <w:pPr>
        <w:ind w:right="399"/>
        <w:spacing w:after="0" w:line="261"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Bylaws, as amended, attached as Exhibit 3.1 to the Company’s Current Report on Form 8-K filed on November 12,</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2010, incorporated herein by reference.</w:t>
        </w:r>
      </w:hyperlink>
    </w:p>
    <w:p>
      <w:pPr>
        <w:spacing w:after="0" w:line="150" w:lineRule="exact"/>
        <w:rPr>
          <w:sz w:val="20"/>
          <w:szCs w:val="20"/>
          <w:color w:val="auto"/>
        </w:rPr>
      </w:pPr>
    </w:p>
    <w:p>
      <w:pPr>
        <w:ind w:right="959"/>
        <w:spacing w:after="0" w:line="235"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Lease Agreement, dated January 28, 2022, by and between the Company and NBD Property Owner 2, L.P.,</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(incorporated herein by reference to Exhibit 10.1 on form 10-Q filed May 4, 2022).</w:t>
        </w:r>
      </w:hyperlink>
    </w:p>
    <w:p>
      <w:pPr>
        <w:spacing w:after="0" w:line="155" w:lineRule="exact"/>
        <w:rPr>
          <w:sz w:val="20"/>
          <w:szCs w:val="20"/>
          <w:color w:val="auto"/>
        </w:rPr>
      </w:pPr>
    </w:p>
    <w:p>
      <w:pPr>
        <w:ind w:right="539"/>
        <w:spacing w:after="0" w:line="235"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Form of Current Employee Incentive Stock Option Agreement under the 2019 Omnibus Incentive Plan, amended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February 15, 2022, (incorporated herein by reference to exhibit 10.1 on form 10-Q filed May 4, 2022)</w:t>
        </w:r>
      </w:hyperlink>
    </w:p>
    <w:p>
      <w:pPr>
        <w:spacing w:after="0" w:line="155" w:lineRule="exact"/>
        <w:rPr>
          <w:sz w:val="20"/>
          <w:szCs w:val="20"/>
          <w:color w:val="auto"/>
        </w:rPr>
      </w:pPr>
    </w:p>
    <w:p>
      <w:pPr>
        <w:ind w:right="679"/>
        <w:spacing w:after="0" w:line="258" w:lineRule="auto"/>
        <w:rPr>
          <w:rFonts w:ascii="Times New Roman" w:cs="Times New Roman" w:eastAsia="Times New Roman" w:hAnsi="Times New Roman"/>
          <w:sz w:val="17"/>
          <w:szCs w:val="17"/>
          <w:u w:val="single" w:color="auto"/>
          <w:color w:val="0000FF"/>
        </w:rPr>
      </w:pPr>
      <w:hyperlink r:id="rId55">
        <w:r>
          <w:rPr>
            <w:rFonts w:ascii="Times New Roman" w:cs="Times New Roman" w:eastAsia="Times New Roman" w:hAnsi="Times New Roman"/>
            <w:sz w:val="17"/>
            <w:szCs w:val="17"/>
            <w:u w:val="single" w:color="auto"/>
            <w:color w:val="0000FF"/>
          </w:rPr>
          <w:t>Form of New Hire Incentive Stock Option Award Agreement under the 2019 Omnibus Incentive Plan amended</w:t>
        </w:r>
      </w:hyperlink>
      <w:r>
        <w:rPr>
          <w:rFonts w:ascii="Times New Roman" w:cs="Times New Roman" w:eastAsia="Times New Roman" w:hAnsi="Times New Roman"/>
          <w:sz w:val="17"/>
          <w:szCs w:val="17"/>
          <w:u w:val="single" w:color="auto"/>
          <w:color w:val="0000FF"/>
        </w:rPr>
        <w:t xml:space="preserve"> </w:t>
      </w:r>
      <w:hyperlink r:id="rId55">
        <w:r>
          <w:rPr>
            <w:rFonts w:ascii="Times New Roman" w:cs="Times New Roman" w:eastAsia="Times New Roman" w:hAnsi="Times New Roman"/>
            <w:sz w:val="17"/>
            <w:szCs w:val="17"/>
            <w:u w:val="single" w:color="auto"/>
            <w:color w:val="0000FF"/>
          </w:rPr>
          <w:t>February 15, 2022, (incorporated herein by reference to exhibit 10.1 on form 10-Q filed May 4, 2022).</w:t>
        </w:r>
      </w:hyperlink>
    </w:p>
    <w:p>
      <w:pPr>
        <w:spacing w:after="0" w:line="140" w:lineRule="exact"/>
        <w:rPr>
          <w:sz w:val="20"/>
          <w:szCs w:val="20"/>
          <w:color w:val="auto"/>
        </w:rPr>
      </w:pPr>
    </w:p>
    <w:p>
      <w:pPr>
        <w:ind w:right="619"/>
        <w:spacing w:after="0" w:line="223"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Form of Non-Qualified Stock Option Award Agreement for Non-Employee Directors under the 2019 Omnibus</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Incentive Plan amended February 15, 2022, (incorporated herein by reference to exhibit 10.1 on form 10-Q filed</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May 4, 2022).</w:t>
        </w:r>
      </w:hyperlink>
    </w:p>
    <w:p>
      <w:pPr>
        <w:spacing w:after="0" w:line="157" w:lineRule="exact"/>
        <w:rPr>
          <w:rFonts w:ascii="Times New Roman" w:cs="Times New Roman" w:eastAsia="Times New Roman" w:hAnsi="Times New Roman"/>
          <w:sz w:val="18"/>
          <w:szCs w:val="18"/>
          <w:u w:val="single" w:color="auto"/>
          <w:color w:val="0000FF"/>
        </w:rPr>
      </w:pPr>
    </w:p>
    <w:p>
      <w:pPr>
        <w:ind w:right="419"/>
        <w:spacing w:after="0" w:line="235" w:lineRule="auto"/>
        <w:rPr>
          <w:sz w:val="20"/>
          <w:szCs w:val="20"/>
          <w:color w:val="auto"/>
        </w:rPr>
      </w:pPr>
      <w:r>
        <w:rPr>
          <w:rFonts w:ascii="Times New Roman" w:cs="Times New Roman" w:eastAsia="Times New Roman" w:hAnsi="Times New Roman"/>
          <w:sz w:val="18"/>
          <w:szCs w:val="18"/>
          <w:u w:val="single" w:color="auto"/>
          <w:color w:val="0000FF"/>
        </w:rPr>
        <w:t>Eighth Amendment to the Distribution Agreement between Orsini Pharmaceutical Services, Inc. and the Company, dated May 15, 2022.</w:t>
      </w:r>
    </w:p>
    <w:p>
      <w:pPr>
        <w:spacing w:after="0" w:line="155" w:lineRule="exact"/>
        <w:rPr>
          <w:rFonts w:ascii="Times New Roman" w:cs="Times New Roman" w:eastAsia="Times New Roman" w:hAnsi="Times New Roman"/>
          <w:sz w:val="18"/>
          <w:szCs w:val="18"/>
          <w:u w:val="single" w:color="auto"/>
          <w:color w:val="0000FF"/>
        </w:rPr>
      </w:pPr>
    </w:p>
    <w:p>
      <w:pPr>
        <w:ind w:right="699"/>
        <w:spacing w:after="0" w:line="235" w:lineRule="auto"/>
        <w:rPr>
          <w:sz w:val="20"/>
          <w:szCs w:val="20"/>
          <w:color w:val="auto"/>
        </w:rPr>
      </w:pPr>
      <w:r>
        <w:rPr>
          <w:rFonts w:ascii="Times New Roman" w:cs="Times New Roman" w:eastAsia="Times New Roman" w:hAnsi="Times New Roman"/>
          <w:sz w:val="18"/>
          <w:szCs w:val="18"/>
          <w:u w:val="single" w:color="auto"/>
          <w:color w:val="0000FF"/>
        </w:rPr>
        <w:t>Third Amendment to the Dispensing Agreement between AllCare Plus Pharmacy, Inc. and the Company, dated May 16, 2022.</w:t>
      </w:r>
    </w:p>
    <w:p>
      <w:pPr>
        <w:spacing w:after="0" w:line="155" w:lineRule="exact"/>
        <w:rPr>
          <w:rFonts w:ascii="Times New Roman" w:cs="Times New Roman" w:eastAsia="Times New Roman" w:hAnsi="Times New Roman"/>
          <w:sz w:val="18"/>
          <w:szCs w:val="18"/>
          <w:u w:val="single" w:color="auto"/>
          <w:color w:val="0000FF"/>
        </w:rPr>
      </w:pPr>
    </w:p>
    <w:p>
      <w:pPr>
        <w:ind w:right="479"/>
        <w:spacing w:after="0" w:line="235" w:lineRule="auto"/>
        <w:rPr>
          <w:sz w:val="20"/>
          <w:szCs w:val="20"/>
          <w:color w:val="auto"/>
        </w:rPr>
      </w:pPr>
      <w:r>
        <w:rPr>
          <w:rFonts w:ascii="Times New Roman" w:cs="Times New Roman" w:eastAsia="Times New Roman" w:hAnsi="Times New Roman"/>
          <w:sz w:val="18"/>
          <w:szCs w:val="18"/>
          <w:u w:val="single" w:color="auto"/>
          <w:color w:val="0000FF"/>
        </w:rPr>
        <w:t>Form of New Hire Incentive Stock Option Agreement under the 2022 Omnibus Incentive Plan (effective April 26, 2022).</w:t>
      </w:r>
    </w:p>
    <w:p>
      <w:pPr>
        <w:spacing w:after="0" w:line="155" w:lineRule="exact"/>
        <w:rPr>
          <w:rFonts w:ascii="Times New Roman" w:cs="Times New Roman" w:eastAsia="Times New Roman" w:hAnsi="Times New Roman"/>
          <w:sz w:val="18"/>
          <w:szCs w:val="18"/>
          <w:u w:val="single" w:color="auto"/>
          <w:color w:val="0000FF"/>
        </w:rPr>
      </w:pPr>
    </w:p>
    <w:p>
      <w:pPr>
        <w:ind w:right="559"/>
        <w:spacing w:after="0" w:line="235" w:lineRule="auto"/>
        <w:rPr>
          <w:sz w:val="20"/>
          <w:szCs w:val="20"/>
          <w:color w:val="auto"/>
        </w:rPr>
      </w:pPr>
      <w:r>
        <w:rPr>
          <w:rFonts w:ascii="Times New Roman" w:cs="Times New Roman" w:eastAsia="Times New Roman" w:hAnsi="Times New Roman"/>
          <w:sz w:val="18"/>
          <w:szCs w:val="18"/>
          <w:u w:val="single" w:color="auto"/>
          <w:color w:val="0000FF"/>
        </w:rPr>
        <w:t>Form of Current Employee Incentive Stock Option Agreement under the 2022 Omnibus Incentive Plan (effective April 26, 2022).</w:t>
      </w:r>
    </w:p>
    <w:p>
      <w:pPr>
        <w:spacing w:after="0" w:line="155" w:lineRule="exact"/>
        <w:rPr>
          <w:rFonts w:ascii="Times New Roman" w:cs="Times New Roman" w:eastAsia="Times New Roman" w:hAnsi="Times New Roman"/>
          <w:sz w:val="18"/>
          <w:szCs w:val="18"/>
          <w:u w:val="single" w:color="auto"/>
          <w:color w:val="0000FF"/>
        </w:rPr>
      </w:pPr>
    </w:p>
    <w:p>
      <w:pPr>
        <w:ind w:right="419"/>
        <w:spacing w:after="0" w:line="235"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for Employees under the 2022 Omnibus Incentive Plan (effective April 26, 2022).</w:t>
      </w:r>
    </w:p>
    <w:p>
      <w:pPr>
        <w:spacing w:after="0" w:line="155" w:lineRule="exact"/>
        <w:rPr>
          <w:rFonts w:ascii="Times New Roman" w:cs="Times New Roman" w:eastAsia="Times New Roman" w:hAnsi="Times New Roman"/>
          <w:sz w:val="18"/>
          <w:szCs w:val="18"/>
          <w:u w:val="single" w:color="auto"/>
          <w:color w:val="0000FF"/>
        </w:rPr>
      </w:pPr>
    </w:p>
    <w:p>
      <w:pPr>
        <w:ind w:right="539"/>
        <w:spacing w:after="0" w:line="235"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for Non-employee Directors under the 2022 Omnibus Incentive Plan (effective April 26, 2022).</w:t>
      </w:r>
    </w:p>
    <w:p>
      <w:pPr>
        <w:spacing w:after="0" w:line="155" w:lineRule="exact"/>
        <w:rPr>
          <w:rFonts w:ascii="Times New Roman" w:cs="Times New Roman" w:eastAsia="Times New Roman" w:hAnsi="Times New Roman"/>
          <w:sz w:val="18"/>
          <w:szCs w:val="18"/>
          <w:u w:val="single" w:color="auto"/>
          <w:color w:val="0000FF"/>
        </w:rPr>
      </w:pPr>
    </w:p>
    <w:p>
      <w:pPr>
        <w:ind w:right="719"/>
        <w:spacing w:after="0" w:line="235"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for Non-Employee Directors under the 2022 Omnibus Incentive Plan (effective April 26, 2022).</w:t>
      </w:r>
    </w:p>
    <w:p>
      <w:pPr>
        <w:spacing w:after="0" w:line="15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20" w:space="720"/>
            <w:col w:w="8599"/>
          </w:cols>
          <w:pgMar w:left="320" w:top="117"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80"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16"/>
                <w:szCs w:val="16"/>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31.2*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40" w:type="dxa"/>
            <w:vAlign w:val="bottom"/>
            <w:gridSpan w:val="4"/>
          </w:tcPr>
          <w:p>
            <w:pPr>
              <w:spacing w:after="0" w:line="180"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and Chief Financial Officer pursuant to Section 906 of the Sarbanes-Oxley</w:t>
            </w:r>
          </w:p>
        </w:tc>
        <w:tc>
          <w:tcPr>
            <w:tcW w:w="0" w:type="dxa"/>
            <w:vAlign w:val="bottom"/>
          </w:tcPr>
          <w:p>
            <w:pPr>
              <w:spacing w:after="0"/>
              <w:rPr>
                <w:sz w:val="1"/>
                <w:szCs w:val="1"/>
                <w:color w:val="auto"/>
              </w:rPr>
            </w:pPr>
          </w:p>
        </w:tc>
      </w:tr>
      <w:tr>
        <w:trPr>
          <w:trHeight w:val="114"/>
        </w:trPr>
        <w:tc>
          <w:tcPr>
            <w:tcW w:w="11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20" w:type="dxa"/>
            <w:vAlign w:val="bottom"/>
            <w:tcBorders>
              <w:top w:val="single" w:sz="8" w:color="0000FF"/>
            </w:tcBorders>
            <w:gridSpan w:val="3"/>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2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101.INS*</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74"/>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4"/>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4"/>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4"/>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101.PRE*</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4"/>
        </w:trPr>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101.DEF*</w:t>
            </w:r>
          </w:p>
        </w:tc>
        <w:tc>
          <w:tcPr>
            <w:tcW w:w="20" w:type="dxa"/>
            <w:vAlign w:val="bottom"/>
          </w:tcPr>
          <w:p>
            <w:pPr>
              <w:spacing w:after="0"/>
              <w:rPr>
                <w:sz w:val="24"/>
                <w:szCs w:val="2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540" w:hanging="1093"/>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(formatted as Inline XBRL and contained in Exhibit 101).</w:t>
      </w:r>
    </w:p>
    <w:p>
      <w:pPr>
        <w:spacing w:after="0" w:line="30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3" w:lineRule="exact"/>
        <w:rPr>
          <w:sz w:val="20"/>
          <w:szCs w:val="20"/>
          <w:color w:val="auto"/>
        </w:rPr>
      </w:pPr>
    </w:p>
    <w:p>
      <w:pPr>
        <w:ind w:left="240" w:hanging="233"/>
        <w:spacing w:after="0" w:line="239" w:lineRule="auto"/>
        <w:tabs>
          <w:tab w:leader="none" w:pos="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7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00"/>
          </w:cols>
          <w:pgMar w:left="320" w:top="117" w:right="11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EIGHTH AMENDMENT TO DISTRIBUTION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1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This Eighth Amendment to the Distribution Agreement ("Eighth Amendment") is between Vericel Corporation ("Vericel") and Orsini Pharmaceutical Services, LLC. (“Orsini"). This Eighth Amendment is effective May 15, 2022 ("Effective Date").</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Vericel and Orsini are parties to a Distribution Agreement dated May 15, 2017 (as amended, the "Agreement"), under which Vericel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appointed Orsini as a specialty pharmacy distributor for MACI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First Amendment to the Agreement effective August 10,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Second Amendment to the Agreement effective October 13,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Third Amendment to the Agreement effective November 14, 2017;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Fourth Amendment to the Agreement effective July 25, 2018;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Fifth Amendment to the Agreement effective August 10, 2018;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a Sixth Amendment to the Agreement effective April 18, 2019;</w:t>
      </w:r>
    </w:p>
    <w:p>
      <w:pPr>
        <w:spacing w:after="0" w:line="210" w:lineRule="exact"/>
        <w:rPr>
          <w:sz w:val="20"/>
          <w:szCs w:val="20"/>
          <w:color w:val="auto"/>
        </w:rPr>
      </w:pPr>
    </w:p>
    <w:p>
      <w:pPr>
        <w:ind w:left="100" w:right="3320" w:hanging="88"/>
        <w:spacing w:after="0" w:line="23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a Seventh Amendment to the Agreement effective October 1, 2021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desire to modify certain terms of the Agreement, including the revision and restatement of Exhibits A and B;</w:t>
      </w:r>
    </w:p>
    <w:p>
      <w:pPr>
        <w:spacing w:after="0" w:line="21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for good and valuable consideration, the receipt and sufficiency of which is hereby acknowledged, the Parties agree to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as follows:</w:t>
      </w:r>
    </w:p>
    <w:p>
      <w:pPr>
        <w:spacing w:after="0" w:line="196" w:lineRule="exact"/>
        <w:rPr>
          <w:sz w:val="20"/>
          <w:szCs w:val="20"/>
          <w:color w:val="auto"/>
        </w:rPr>
      </w:pPr>
    </w:p>
    <w:p>
      <w:pPr>
        <w:ind w:left="640" w:hanging="633"/>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7.1 Term</w:t>
      </w:r>
      <w:r>
        <w:rPr>
          <w:rFonts w:ascii="Times New Roman" w:cs="Times New Roman" w:eastAsia="Times New Roman" w:hAnsi="Times New Roman"/>
          <w:sz w:val="20"/>
          <w:szCs w:val="20"/>
          <w:color w:val="auto"/>
        </w:rPr>
        <w:t>. Section 7.1 shall be deleted and replaced with the following:</w:t>
      </w:r>
    </w:p>
    <w:p>
      <w:pPr>
        <w:spacing w:after="0" w:line="237" w:lineRule="exact"/>
        <w:rPr>
          <w:sz w:val="20"/>
          <w:szCs w:val="20"/>
          <w:color w:val="auto"/>
        </w:rPr>
      </w:pPr>
    </w:p>
    <w:p>
      <w:pPr>
        <w:ind w:left="720" w:right="820"/>
        <w:spacing w:after="0" w:line="252" w:lineRule="auto"/>
        <w:rPr>
          <w:sz w:val="20"/>
          <w:szCs w:val="20"/>
          <w:color w:val="auto"/>
        </w:rPr>
      </w:pPr>
      <w:r>
        <w:rPr>
          <w:rFonts w:ascii="Times New Roman" w:cs="Times New Roman" w:eastAsia="Times New Roman" w:hAnsi="Times New Roman"/>
          <w:sz w:val="20"/>
          <w:szCs w:val="20"/>
          <w:color w:val="auto"/>
        </w:rPr>
        <w:t xml:space="preserve">The Term of this Agreement shall continue until </w:t>
      </w:r>
      <w:r>
        <w:rPr>
          <w:rFonts w:ascii="Times New Roman" w:cs="Times New Roman" w:eastAsia="Times New Roman" w:hAnsi="Times New Roman"/>
          <w:sz w:val="20"/>
          <w:szCs w:val="20"/>
          <w:b w:val="1"/>
          <w:bCs w:val="1"/>
          <w:u w:val="single" w:color="auto"/>
          <w:color w:val="auto"/>
        </w:rPr>
        <w:t>May 15, 2024</w:t>
      </w:r>
      <w:r>
        <w:rPr>
          <w:rFonts w:ascii="Times New Roman" w:cs="Times New Roman" w:eastAsia="Times New Roman" w:hAnsi="Times New Roman"/>
          <w:sz w:val="20"/>
          <w:szCs w:val="20"/>
          <w:color w:val="auto"/>
        </w:rPr>
        <w:t xml:space="preserve"> (“Term”). The Parties may renew the Agreement for two (2) additional two year terms, upon mutual agreement.</w:t>
      </w:r>
    </w:p>
    <w:p>
      <w:pPr>
        <w:spacing w:after="0" w:line="202" w:lineRule="exact"/>
        <w:rPr>
          <w:sz w:val="20"/>
          <w:szCs w:val="20"/>
          <w:color w:val="auto"/>
        </w:rPr>
      </w:pPr>
    </w:p>
    <w:p>
      <w:pPr>
        <w:ind w:left="720" w:right="40"/>
        <w:spacing w:after="0" w:line="232" w:lineRule="auto"/>
        <w:rPr>
          <w:sz w:val="20"/>
          <w:szCs w:val="20"/>
          <w:color w:val="auto"/>
        </w:rPr>
      </w:pPr>
      <w:r>
        <w:rPr>
          <w:rFonts w:ascii="Times New Roman" w:cs="Times New Roman" w:eastAsia="Times New Roman" w:hAnsi="Times New Roman"/>
          <w:sz w:val="20"/>
          <w:szCs w:val="20"/>
          <w:color w:val="auto"/>
        </w:rPr>
        <w:t>During the Term, Orsini shall be one in a limited network of pharmacies, not to exceed three, supplying the Product for the cases covered by Section 1.1. Orsini shall not enter into any agreement with a Payor covering the Product unless Vericel has approved the reimbursement amount for the Product. Unless otherwise agreed to in writing by Vericel, the minimum reimbursement amount for the Product shall be the Product’s Wholesale Acquisition Cost plus 2.75%. Vericel shall review and approve any proposed material modifications to the conditions for reimbursement for the Product relating to Payors on Exhibit B and/or for the proposed addition of Payors to Exhibit B - Contracted Payors, which approval shall not be unreasonably withheld or delayed. Orsini shall provide to Vericel the allowable reimbursement amount for the Payors listed on Exhibit B. Should a Payor request extended payment terms in excess of sixty (60) days, Orsini will secure advance approval from Vericel. Exhibit B. will be modified from time to time in writing by the Parties as additional Payors are contracted with Orsini and approved by Vericel.</w:t>
      </w:r>
    </w:p>
    <w:p>
      <w:pPr>
        <w:sectPr>
          <w:pgSz w:w="11900" w:h="16838" w:orient="portrait"/>
          <w:cols w:equalWidth="0" w:num="1">
            <w:col w:w="11240"/>
          </w:cols>
          <w:pgMar w:left="320" w:top="1389" w:right="339" w:bottom="1440" w:gutter="0" w:footer="0" w:header="0"/>
        </w:sectPr>
      </w:pPr>
    </w:p>
    <w:bookmarkStart w:id="34" w:name="page35"/>
    <w:bookmarkEnd w:id="34"/>
    <w:p>
      <w:pPr>
        <w:ind w:right="40" w:firstLine="7"/>
        <w:spacing w:after="0" w:line="262"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7.2(a) shall be deleted and replaced with the following: “Either Party may terminate this Agreement for any reason upon 180 days’ written notice to the other Party.”</w:t>
      </w:r>
    </w:p>
    <w:p>
      <w:pPr>
        <w:spacing w:after="0" w:line="187" w:lineRule="exact"/>
        <w:rPr>
          <w:rFonts w:ascii="Times New Roman" w:cs="Times New Roman" w:eastAsia="Times New Roman" w:hAnsi="Times New Roman"/>
          <w:sz w:val="20"/>
          <w:szCs w:val="20"/>
          <w:color w:val="auto"/>
        </w:rPr>
      </w:pPr>
    </w:p>
    <w:p>
      <w:pPr>
        <w:ind w:right="100" w:firstLine="7"/>
        <w:spacing w:after="0" w:line="266"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Exhibits A and B</w:t>
      </w:r>
      <w:r>
        <w:rPr>
          <w:rFonts w:ascii="Times New Roman" w:cs="Times New Roman" w:eastAsia="Times New Roman" w:hAnsi="Times New Roman"/>
          <w:sz w:val="20"/>
          <w:szCs w:val="20"/>
          <w:color w:val="auto"/>
        </w:rPr>
        <w:t>. The Parties agree that Exhibits A and B to the Agreement shall be deleted and replaced with the attached revised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restated Exhibits A and B.</w:t>
      </w:r>
    </w:p>
    <w:p>
      <w:pPr>
        <w:spacing w:after="0" w:line="170" w:lineRule="exact"/>
        <w:rPr>
          <w:rFonts w:ascii="Times New Roman" w:cs="Times New Roman" w:eastAsia="Times New Roman" w:hAnsi="Times New Roman"/>
          <w:sz w:val="20"/>
          <w:szCs w:val="20"/>
          <w:color w:val="auto"/>
        </w:rPr>
      </w:pPr>
    </w:p>
    <w:p>
      <w:pPr>
        <w:jc w:val="both"/>
        <w:ind w:right="20" w:firstLine="7"/>
        <w:spacing w:after="0" w:line="251"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To the extent terms in the Eighth Amendment conflict with the Agreement and/or any of the amendments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terms of this Eighth Amendment shall prevail. Except as provided in this Eighth Amendment, the terms and conditions of the Agreement will continue in full force.</w:t>
      </w:r>
    </w:p>
    <w:p>
      <w:pPr>
        <w:spacing w:after="0" w:line="199" w:lineRule="exact"/>
        <w:rPr>
          <w:rFonts w:ascii="Times New Roman" w:cs="Times New Roman" w:eastAsia="Times New Roman" w:hAnsi="Times New Roman"/>
          <w:sz w:val="20"/>
          <w:szCs w:val="20"/>
          <w:color w:val="auto"/>
        </w:rPr>
      </w:pPr>
    </w:p>
    <w:p>
      <w:pPr>
        <w:ind w:firstLine="7"/>
        <w:spacing w:after="0" w:line="246"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Counterparts/Signatures</w:t>
      </w:r>
      <w:r>
        <w:rPr>
          <w:rFonts w:ascii="Times New Roman" w:cs="Times New Roman" w:eastAsia="Times New Roman" w:hAnsi="Times New Roman"/>
          <w:sz w:val="20"/>
          <w:szCs w:val="20"/>
          <w:color w:val="auto"/>
        </w:rPr>
        <w:t>. This Eighth Amendment may be executed in multiple counterparts, each of which constitutes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Eighth Amendment in the presence of the other parties to this Eighth Amendment.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executed this Eighth Amendment as of its Effective Date.</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Vericel Corporation</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Joe Mara CFO</w:t>
            </w:r>
          </w:p>
        </w:tc>
      </w:tr>
      <w:tr>
        <w:trPr>
          <w:trHeight w:val="25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Joe Mara</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CFO</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5/13/2022</w:t>
            </w:r>
          </w:p>
        </w:tc>
      </w:tr>
      <w:tr>
        <w:trPr>
          <w:trHeight w:val="838"/>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Orsini Pharmaceutical Services, LLC.</w:t>
            </w:r>
          </w:p>
        </w:tc>
      </w:tr>
      <w:tr>
        <w:trPr>
          <w:trHeight w:val="256"/>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Carla Sawa</w:t>
            </w:r>
          </w:p>
        </w:tc>
      </w:tr>
      <w:tr>
        <w:trPr>
          <w:trHeight w:val="25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Carla Sawa</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5/13/2022</w:t>
            </w:r>
          </w:p>
        </w:tc>
      </w:tr>
    </w:tbl>
    <w:p>
      <w:pPr>
        <w:sectPr>
          <w:pgSz w:w="11900" w:h="16838" w:orient="portrait"/>
          <w:cols w:equalWidth="0" w:num="1">
            <w:col w:w="11080"/>
          </w:cols>
          <w:pgMar w:left="320" w:top="1398" w:right="499" w:bottom="1440" w:gutter="0" w:footer="0" w:header="0"/>
        </w:sectPr>
      </w:pPr>
    </w:p>
    <w:bookmarkStart w:id="35" w:name="page36"/>
    <w:bookmarkEnd w:id="3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A -- PAYMENT TERMS AND PRICING</w:t>
      </w:r>
    </w:p>
    <w:p>
      <w:pPr>
        <w:spacing w:after="0" w:line="200" w:lineRule="exact"/>
        <w:rPr>
          <w:sz w:val="20"/>
          <w:szCs w:val="20"/>
          <w:color w:val="auto"/>
        </w:rPr>
      </w:pPr>
    </w:p>
    <w:p>
      <w:pPr>
        <w:spacing w:after="0" w:line="284" w:lineRule="exact"/>
        <w:rPr>
          <w:sz w:val="20"/>
          <w:szCs w:val="20"/>
          <w:color w:val="auto"/>
        </w:rPr>
      </w:pPr>
    </w:p>
    <w:p>
      <w:pPr>
        <w:ind w:left="640" w:hanging="633"/>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Product.</w:t>
      </w:r>
    </w:p>
    <w:p>
      <w:pPr>
        <w:spacing w:after="0" w:line="22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under this Agreement is defined as: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94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Product</w:t>
            </w:r>
          </w:p>
        </w:tc>
        <w:tc>
          <w:tcPr>
            <w:tcW w:w="276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NDC Number</w:t>
            </w:r>
          </w:p>
        </w:tc>
      </w:tr>
      <w:tr>
        <w:trPr>
          <w:trHeight w:val="234"/>
        </w:trPr>
        <w:tc>
          <w:tcPr>
            <w:tcW w:w="1940" w:type="dxa"/>
            <w:vAlign w:val="bottom"/>
            <w:tcBorders>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MACI-1</w:t>
            </w:r>
          </w:p>
        </w:tc>
        <w:tc>
          <w:tcPr>
            <w:tcW w:w="276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color w:val="auto"/>
              </w:rPr>
              <w:t>69866-1030-05</w:t>
            </w:r>
          </w:p>
        </w:tc>
      </w:tr>
      <w:tr>
        <w:trPr>
          <w:trHeight w:val="254"/>
        </w:trPr>
        <w:tc>
          <w:tcPr>
            <w:tcW w:w="1940" w:type="dxa"/>
            <w:vAlign w:val="bottom"/>
            <w:tcBorders>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MACI-2</w:t>
            </w:r>
          </w:p>
        </w:tc>
        <w:tc>
          <w:tcPr>
            <w:tcW w:w="276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color w:val="auto"/>
              </w:rPr>
              <w:t>69866-1030-08</w:t>
            </w:r>
          </w:p>
        </w:tc>
      </w:tr>
    </w:tbl>
    <w:p>
      <w:pPr>
        <w:spacing w:after="0" w:line="293" w:lineRule="exact"/>
        <w:rPr>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Orsini Counseling and Dispensing.</w:t>
      </w:r>
    </w:p>
    <w:p>
      <w:pPr>
        <w:spacing w:after="0" w:line="241" w:lineRule="exact"/>
        <w:rPr>
          <w:rFonts w:ascii="Times New Roman" w:cs="Times New Roman" w:eastAsia="Times New Roman" w:hAnsi="Times New Roman"/>
          <w:sz w:val="20"/>
          <w:szCs w:val="20"/>
          <w:b w:val="1"/>
          <w:bCs w:val="1"/>
          <w:color w:val="auto"/>
        </w:rPr>
      </w:pPr>
    </w:p>
    <w:p>
      <w:pPr>
        <w:jc w:val="both"/>
        <w:ind w:left="640" w:hanging="313"/>
        <w:spacing w:after="0" w:line="236" w:lineRule="auto"/>
        <w:tabs>
          <w:tab w:leader="none" w:pos="63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Orsini, when acting as the dispensing specialty pharmacy for Product, shall review Case Materials related to a patient’s clinical history, diagnosis and approval for MACI and contact the patient to conduct pharmacy counseling and a discussion regarding the patient’s financial responsibility. Vericel shall provide Orsini, through its vendors or its web-based data-sharing platform (“Vericel Central”), with daily data feeds regarding cases, including information related to patients.</w:t>
      </w:r>
    </w:p>
    <w:p>
      <w:pPr>
        <w:spacing w:after="0" w:line="216" w:lineRule="exact"/>
        <w:rPr>
          <w:rFonts w:ascii="Times New Roman" w:cs="Times New Roman" w:eastAsia="Times New Roman" w:hAnsi="Times New Roman"/>
          <w:sz w:val="20"/>
          <w:szCs w:val="20"/>
          <w:color w:val="auto"/>
        </w:rPr>
      </w:pPr>
    </w:p>
    <w:p>
      <w:pPr>
        <w:jc w:val="both"/>
        <w:ind w:left="640" w:hanging="313"/>
        <w:spacing w:after="0" w:line="236" w:lineRule="auto"/>
        <w:tabs>
          <w:tab w:leader="none" w:pos="63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Vericel shall, at its expense and using its account with carriers, arrange for Product to be shipped to Orsini so that Orsini may label and dispense the Product to the patient by the surgery date. Vericel shall also be responsible for the shipping cost for the Product from Orsini’s facility to the treating facility.</w:t>
      </w:r>
    </w:p>
    <w:p>
      <w:pPr>
        <w:spacing w:after="0" w:line="215" w:lineRule="exact"/>
        <w:rPr>
          <w:rFonts w:ascii="Times New Roman" w:cs="Times New Roman" w:eastAsia="Times New Roman" w:hAnsi="Times New Roman"/>
          <w:sz w:val="20"/>
          <w:szCs w:val="20"/>
          <w:color w:val="auto"/>
        </w:rPr>
      </w:pPr>
    </w:p>
    <w:p>
      <w:pPr>
        <w:jc w:val="both"/>
        <w:ind w:left="640" w:hanging="313"/>
        <w:spacing w:after="0" w:line="234" w:lineRule="auto"/>
        <w:tabs>
          <w:tab w:leader="none" w:pos="63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perform its specialty pharmacy services, Orsini shall take title to the Product upon receipt of the Product at its facility. Vericel, however, shall retain the risk of loss related to the Product throughout its shipment from Vericel’s manufacturing facility to Orsini and from Orsini’s facility to the treating facility, including any damages relating to delay in shipment by the delivery company. Notwithstanding the preceding sentence, Orsini shall be responsible for damages occurring to the Product while in its possession, unless the cause of the damage is Force Majeure as defined in Section 8(a) of the Agreement.</w:t>
      </w:r>
    </w:p>
    <w:p>
      <w:pPr>
        <w:spacing w:after="0" w:line="209" w:lineRule="exact"/>
        <w:rPr>
          <w:rFonts w:ascii="Times New Roman" w:cs="Times New Roman" w:eastAsia="Times New Roman" w:hAnsi="Times New Roman"/>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 Submittal, Contracting and Payment Coordination between Parties.</w:t>
      </w:r>
    </w:p>
    <w:p>
      <w:pPr>
        <w:spacing w:after="0" w:line="227" w:lineRule="exact"/>
        <w:rPr>
          <w:rFonts w:ascii="Times New Roman" w:cs="Times New Roman" w:eastAsia="Times New Roman" w:hAnsi="Times New Roman"/>
          <w:sz w:val="20"/>
          <w:szCs w:val="20"/>
          <w:b w:val="1"/>
          <w:bCs w:val="1"/>
          <w:color w:val="auto"/>
        </w:rPr>
      </w:pPr>
    </w:p>
    <w:p>
      <w:pPr>
        <w:ind w:left="640" w:right="40" w:hanging="313"/>
        <w:spacing w:after="0" w:line="233" w:lineRule="auto"/>
        <w:tabs>
          <w:tab w:leader="none" w:pos="63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Orsini’s Payor agreements, the Parties agree that they will work together to manage reimbursement issues regarding the Product. Orsini, working with Vericel’s contractor, shall submit claims for Products within five (5) business days of Product implantation. Orsini shall provide a claim submission to Vericel’s contractor prior to submission and provide Vericel’s contractor two (2) business days to review and comment on the claim, which comments Orsini shall address in good faith. Orsini shall appeal or resubmit for payment all denied and otherwise rejected claims for which a good faith basis exists to do so, within five (5) business days from Orsini’s receipt of such notice of denial or rejection. Orsini agrees that it shall provide a copy of the appeal or resubmission to Vericel’s contractor prior to submission and provide Vericel’s contractor two (2) business days to review and comment on the appeal or resubmission, which comments Orsini shall address in good faith. Orsini shall notify Vericel daily of denials or claims otherwise rejected and the reason for the denial or rejection.</w:t>
      </w:r>
    </w:p>
    <w:p>
      <w:pPr>
        <w:spacing w:after="0" w:line="205" w:lineRule="exact"/>
        <w:rPr>
          <w:rFonts w:ascii="Times New Roman" w:cs="Times New Roman" w:eastAsia="Times New Roman" w:hAnsi="Times New Roman"/>
          <w:sz w:val="20"/>
          <w:szCs w:val="20"/>
          <w:color w:val="auto"/>
        </w:rPr>
      </w:pPr>
    </w:p>
    <w:p>
      <w:pPr>
        <w:ind w:left="640" w:right="40" w:hanging="313"/>
        <w:spacing w:after="0" w:line="262" w:lineRule="auto"/>
        <w:tabs>
          <w:tab w:leader="none" w:pos="63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by Vericel, Orsini will consult with Vericel and its designated representatives with regard to MACI contracting and claim submission.</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38" w:lineRule="exact"/>
        <w:rPr>
          <w:sz w:val="20"/>
          <w:szCs w:val="20"/>
          <w:color w:val="auto"/>
        </w:rPr>
      </w:pPr>
    </w:p>
    <w:p>
      <w:pPr>
        <w:ind w:left="633" w:right="100"/>
        <w:spacing w:after="0" w:line="234" w:lineRule="auto"/>
        <w:rPr>
          <w:sz w:val="20"/>
          <w:szCs w:val="20"/>
          <w:color w:val="auto"/>
        </w:rPr>
      </w:pPr>
      <w:r>
        <w:rPr>
          <w:rFonts w:ascii="Times New Roman" w:cs="Times New Roman" w:eastAsia="Times New Roman" w:hAnsi="Times New Roman"/>
          <w:sz w:val="20"/>
          <w:szCs w:val="20"/>
          <w:color w:val="auto"/>
        </w:rPr>
        <w:t>To the extent allowed by law or contract, Orsini further agrees to provide Vericel representatives with access to the MACI portal of its claims management system. Orsini agrees to provide to Vericel representatives the payment history for the Product. If required for Vericel’s financial reporting purposes under generally accepted accounting principles, or in the event there is any dispute with the amounts paid by any Payor for any claim, upon request and no less than thirty (30) days prior written notice by Vericel to Orsini, Orsini will provide Vericel with relevant portions of all Payor agreements between Orsini and the Payor with which there is a dispute and relevant portions of records of Product-related transactions between Payor, and Orsini related to this Agreement. Vericel agrees to keep all such records and documents strictly confidential.</w:t>
      </w:r>
    </w:p>
    <w:p>
      <w:pPr>
        <w:spacing w:after="0" w:line="201" w:lineRule="exact"/>
        <w:rPr>
          <w:sz w:val="20"/>
          <w:szCs w:val="20"/>
          <w:color w:val="auto"/>
        </w:rPr>
      </w:pPr>
    </w:p>
    <w:p>
      <w:pPr>
        <w:ind w:left="633" w:hanging="633"/>
        <w:spacing w:after="0"/>
        <w:tabs>
          <w:tab w:leader="none" w:pos="633"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Terms.</w:t>
      </w:r>
    </w:p>
    <w:p>
      <w:pPr>
        <w:spacing w:after="0" w:line="227" w:lineRule="exact"/>
        <w:rPr>
          <w:rFonts w:ascii="Times New Roman" w:cs="Times New Roman" w:eastAsia="Times New Roman" w:hAnsi="Times New Roman"/>
          <w:sz w:val="20"/>
          <w:szCs w:val="20"/>
          <w:b w:val="1"/>
          <w:bCs w:val="1"/>
          <w:color w:val="auto"/>
        </w:rPr>
      </w:pPr>
    </w:p>
    <w:p>
      <w:pPr>
        <w:ind w:left="633" w:right="140" w:hanging="313"/>
        <w:spacing w:after="0"/>
        <w:tabs>
          <w:tab w:leader="none" w:pos="62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Vericel shall pay Orsini for each Product dispensed by Orsini, regardless of the Product NDC, a fixed fee of $1,250 (“Dispensing Fee”). Orsini shall invoice Vericel for the Dispensing Fee weekly for claims submitted during the week, and such payment is due to Orsini within sixty (60) days of Vericel’s receipt of the invoice. Vericel’s obligation to pay this fee shall survive the termination of the Agreement.</w:t>
      </w:r>
    </w:p>
    <w:p>
      <w:pPr>
        <w:spacing w:after="0" w:line="200" w:lineRule="exact"/>
        <w:rPr>
          <w:rFonts w:ascii="Times New Roman" w:cs="Times New Roman" w:eastAsia="Times New Roman" w:hAnsi="Times New Roman"/>
          <w:sz w:val="20"/>
          <w:szCs w:val="20"/>
          <w:color w:val="auto"/>
        </w:rPr>
      </w:pPr>
    </w:p>
    <w:p>
      <w:pPr>
        <w:ind w:left="633" w:right="100" w:hanging="313"/>
        <w:spacing w:after="0" w:line="236" w:lineRule="auto"/>
        <w:tabs>
          <w:tab w:leader="none" w:pos="62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business days of receipt of payment from a Payor related to the Product, Orsini shall remit to Vericel all reimbursements related to Products dispensed by Orsini except as provided above. The payments shall be deposited into a bank account maintained by and in the name and sole control of Vericel (the “Vericel Account”). In conjunction with each deposit, Orsini shall remit to Vericel a schedule detailing the cases for which a payment was deposited into the account including the case number and the amount deposited for each case.</w:t>
      </w:r>
    </w:p>
    <w:p>
      <w:pPr>
        <w:spacing w:after="0" w:line="203" w:lineRule="exact"/>
        <w:rPr>
          <w:rFonts w:ascii="Times New Roman" w:cs="Times New Roman" w:eastAsia="Times New Roman" w:hAnsi="Times New Roman"/>
          <w:sz w:val="20"/>
          <w:szCs w:val="20"/>
          <w:color w:val="auto"/>
        </w:rPr>
      </w:pPr>
    </w:p>
    <w:p>
      <w:pPr>
        <w:ind w:left="633" w:right="160" w:hanging="313"/>
        <w:spacing w:after="0" w:line="270" w:lineRule="auto"/>
        <w:tabs>
          <w:tab w:leader="none" w:pos="6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weekly basis, Orsini shall remit to Vericel a schedule which includes the gross reimbursements received from the Payor and patient related to Products dispensed by Orsini, including whether the payments were deposited into the Vericel Account and the date of payment into the Vericel Account. Such schedule of payments shall include the case number and other identifiers agreed to by the Parties. In addition, Orsini shall provide to Vericel and its agent a copy of the Explanation of Benefits for each reimbursed case.</w:t>
      </w:r>
    </w:p>
    <w:p>
      <w:pPr>
        <w:spacing w:after="0" w:line="189" w:lineRule="exact"/>
        <w:rPr>
          <w:rFonts w:ascii="Times New Roman" w:cs="Times New Roman" w:eastAsia="Times New Roman" w:hAnsi="Times New Roman"/>
          <w:sz w:val="18"/>
          <w:szCs w:val="18"/>
          <w:color w:val="auto"/>
        </w:rPr>
      </w:pPr>
    </w:p>
    <w:p>
      <w:pPr>
        <w:ind w:left="633" w:hanging="313"/>
        <w:spacing w:after="0" w:line="248" w:lineRule="auto"/>
        <w:tabs>
          <w:tab w:leader="none" w:pos="62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remitting of payment to Vericel as set forth above, Orsini shall update, on a daily basis, the payment status of submitted cases to Vericel and its contractors through Vericel Central or other mutually agreed upon method.</w:t>
      </w:r>
    </w:p>
    <w:p>
      <w:pPr>
        <w:spacing w:after="0" w:line="205" w:lineRule="exact"/>
        <w:rPr>
          <w:rFonts w:ascii="Times New Roman" w:cs="Times New Roman" w:eastAsia="Times New Roman" w:hAnsi="Times New Roman"/>
          <w:sz w:val="20"/>
          <w:szCs w:val="20"/>
          <w:color w:val="auto"/>
        </w:rPr>
      </w:pPr>
    </w:p>
    <w:p>
      <w:pPr>
        <w:jc w:val="both"/>
        <w:ind w:left="633" w:hanging="313"/>
        <w:spacing w:after="0" w:line="234" w:lineRule="auto"/>
        <w:tabs>
          <w:tab w:leader="none" w:pos="62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Agreement, as amended, Vericel acknowledges that it retains the risk of payment for all cases received by Orsini on June 16, 2018 or thereafter. Orsini represents and warrants that it has the contractual authority to bind Payors listed in Exhibit B to the payment amounts contained in its disclosures to Vericel and to cause Payors to be responsible for their payment obligations. In the case of a Payor that fails to comply with its payment obligations to Orsini, Orsini agrees to use its best efforts to enforce its Payor agreements, including but not limited to, assigning to Vericel or its contractor, at the request of Vericel, the rights to initiate legal action under the applicable agreement between Orsini and Payor</w:t>
      </w:r>
    </w:p>
    <w:p>
      <w:pPr>
        <w:spacing w:after="0" w:line="202" w:lineRule="exact"/>
        <w:rPr>
          <w:rFonts w:ascii="Times New Roman" w:cs="Times New Roman" w:eastAsia="Times New Roman" w:hAnsi="Times New Roman"/>
          <w:sz w:val="20"/>
          <w:szCs w:val="20"/>
          <w:color w:val="auto"/>
        </w:rPr>
      </w:pPr>
    </w:p>
    <w:p>
      <w:pPr>
        <w:jc w:val="both"/>
        <w:ind w:left="633" w:hanging="313"/>
        <w:spacing w:after="0" w:line="242" w:lineRule="auto"/>
        <w:tabs>
          <w:tab w:leader="none" w:pos="615"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herein, all payments (including interest payments, if any) for the Product received by Orsini during the Term and after the expiration or termination of the Agreement shall be the sole property of Vericel and shall be remitted to Vericel in accordance with the</w:t>
      </w:r>
    </w:p>
    <w:p>
      <w:pPr>
        <w:sectPr>
          <w:pgSz w:w="11900" w:h="16838" w:orient="portrait"/>
          <w:cols w:equalWidth="0" w:num="1">
            <w:col w:w="11233"/>
          </w:cols>
          <w:pgMar w:left="327" w:top="1440" w:right="339" w:bottom="1440" w:gutter="0" w:footer="0" w:header="0"/>
        </w:sectPr>
      </w:pPr>
    </w:p>
    <w:bookmarkStart w:id="37" w:name="page38"/>
    <w:bookmarkEnd w:id="37"/>
    <w:p>
      <w:pPr>
        <w:jc w:val="both"/>
        <w:ind w:left="313"/>
        <w:spacing w:after="0" w:line="242" w:lineRule="auto"/>
        <w:rPr>
          <w:sz w:val="20"/>
          <w:szCs w:val="20"/>
          <w:color w:val="auto"/>
        </w:rPr>
      </w:pPr>
      <w:r>
        <w:rPr>
          <w:rFonts w:ascii="Times New Roman" w:cs="Times New Roman" w:eastAsia="Times New Roman" w:hAnsi="Times New Roman"/>
          <w:sz w:val="20"/>
          <w:szCs w:val="20"/>
          <w:color w:val="auto"/>
        </w:rPr>
        <w:t>Agreement. In the event of a termination or expiration of the Agreement, Orsini shall continue to collect on claims covered by the Agreement, consistent with the terms of the Agreement, for a period of twelve months following the expiration or termination of the Agreement.</w:t>
      </w:r>
    </w:p>
    <w:p>
      <w:pPr>
        <w:spacing w:after="0" w:line="198" w:lineRule="exact"/>
        <w:rPr>
          <w:sz w:val="20"/>
          <w:szCs w:val="20"/>
          <w:color w:val="auto"/>
        </w:rPr>
      </w:pPr>
    </w:p>
    <w:p>
      <w:pPr>
        <w:ind w:left="313" w:hanging="313"/>
        <w:spacing w:after="0" w:line="262" w:lineRule="auto"/>
        <w:tabs>
          <w:tab w:leader="none" w:pos="30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Orsini represents and warrants that each of Orsini’s Payor agreements set forth on Exhibit B are in full force and effect and apply to the Product.</w:t>
      </w:r>
    </w:p>
    <w:p>
      <w:pPr>
        <w:spacing w:after="0" w:line="178" w:lineRule="exact"/>
        <w:rPr>
          <w:rFonts w:ascii="Times New Roman" w:cs="Times New Roman" w:eastAsia="Times New Roman" w:hAnsi="Times New Roman"/>
          <w:sz w:val="20"/>
          <w:szCs w:val="20"/>
          <w:color w:val="auto"/>
        </w:rPr>
      </w:pPr>
    </w:p>
    <w:p>
      <w:pPr>
        <w:jc w:val="both"/>
        <w:ind w:left="313" w:hanging="313"/>
        <w:spacing w:after="0" w:line="234" w:lineRule="auto"/>
        <w:tabs>
          <w:tab w:leader="none" w:pos="30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Payor recoups any payment on a case for which Orsini has made payment to Vericel, Orsini shall notify Vericel and shall be entitled to deduct from Vericel funds a sum equal to the amount of the recoupment to the extent the recoupment is not disputed by Vericel. If there are insufficient Vericel Funds, Orsini shall invoice Vericel for the amount of the recoupment and Vericel shall pay Orsini within thirty (30) days of receipt of the invoice. Vericel’s obligation under this Paragraph K shall survive the termination of the Agreement. The Parties shall discuss appealing and/or disputing the proposed recoupment with the Payor. If an appeal is successful, Orsini shall treat the payment in accordance with the terms of this Eighth Amendment.</w:t>
      </w:r>
    </w:p>
    <w:p>
      <w:pPr>
        <w:spacing w:after="0" w:line="215" w:lineRule="exact"/>
        <w:rPr>
          <w:rFonts w:ascii="Times New Roman" w:cs="Times New Roman" w:eastAsia="Times New Roman" w:hAnsi="Times New Roman"/>
          <w:sz w:val="20"/>
          <w:szCs w:val="20"/>
          <w:color w:val="auto"/>
        </w:rPr>
      </w:pPr>
    </w:p>
    <w:p>
      <w:pPr>
        <w:ind w:left="313" w:right="640" w:hanging="313"/>
        <w:spacing w:after="0" w:line="236" w:lineRule="auto"/>
        <w:tabs>
          <w:tab w:leader="none" w:pos="30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fees paid hereunder are not designed nor constitute inducements for Orsini to utilize or recommend the utilization of Vericel Products under federal and/or similar state laws. Orsini shall properly disclose and otherwise comply with applicable law.</w:t>
      </w:r>
    </w:p>
    <w:p>
      <w:pPr>
        <w:sectPr>
          <w:pgSz w:w="11900" w:h="16838" w:orient="portrait"/>
          <w:cols w:equalWidth="0" w:num="1">
            <w:col w:w="10913"/>
          </w:cols>
          <w:pgMar w:left="647" w:top="139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B –Contracted Payors</w:t>
      </w:r>
    </w:p>
    <w:p>
      <w:pPr>
        <w:spacing w:after="0" w:line="2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Consistent with Section 1.1 and Section 7.1 of the Agreement, the Payors listed on this Exhibit shall only apply to covered commercial lives, which shall not include Managed Medicaid.</w:t>
      </w:r>
    </w:p>
    <w:p>
      <w:pPr>
        <w:spacing w:after="0" w:line="178"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Aetna</w:t>
      </w:r>
    </w:p>
    <w:p>
      <w:pPr>
        <w:spacing w:after="0" w:line="24"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Arizona</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FEP</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Illinois (HCSC)</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Louisiana</w:t>
      </w:r>
    </w:p>
    <w:p>
      <w:pPr>
        <w:spacing w:after="0" w:line="4"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Massachusetts</w:t>
      </w:r>
    </w:p>
    <w:p>
      <w:pPr>
        <w:spacing w:after="0" w:line="2"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Montana (HCSC)</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New Mexico (HCSC)</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Oklahoma (HCSC)</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BCBS of Texas (HCSC)</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Cigna</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Florida Blue</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GEHA – UMR (UHC Network)</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Golden Rule (UHC Network)</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Partners</w:t>
      </w:r>
    </w:p>
    <w:p>
      <w:pPr>
        <w:spacing w:after="0" w:line="4"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HealthNet Veterans Choice</w:t>
      </w:r>
    </w:p>
    <w:p>
      <w:pPr>
        <w:spacing w:after="0" w:line="2"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Humana</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Tricare East</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Tricare West</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Healthcare</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Healthcare Community Plans</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Carefirst</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Qualchoice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32986339.2</w:t>
      </w:r>
    </w:p>
    <w:p>
      <w:pPr>
        <w:sectPr>
          <w:pgSz w:w="11900" w:h="16838" w:orient="portrait"/>
          <w:cols w:equalWidth="0" w:num="1">
            <w:col w:w="11240"/>
          </w:cols>
          <w:pgMar w:left="320" w:top="1402"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Third Amendment to Dispensing Agreement</w:t>
      </w:r>
    </w:p>
    <w:p>
      <w:pPr>
        <w:spacing w:after="0" w:line="234"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This Third Amendment to the July 26, 2018 Dispensing Agreement (“Agreement”) between Vericel Corporation (“Vericel” or “Client’) and AllCare Plus Pharmacy LLC (“AllCare”) shall be effective as of May 16, 2022 (“Effective Date”).</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Vericel and AllCare are Parties to the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amend the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good and valuable consideration, the Parties hereby agree to modify the Agreement as follows</w:t>
      </w:r>
    </w:p>
    <w:p>
      <w:pPr>
        <w:spacing w:after="0" w:line="334" w:lineRule="exact"/>
        <w:rPr>
          <w:sz w:val="20"/>
          <w:szCs w:val="20"/>
          <w:color w:val="auto"/>
        </w:rPr>
      </w:pPr>
    </w:p>
    <w:p>
      <w:pPr>
        <w:ind w:left="640" w:right="300" w:firstLine="7"/>
        <w:spacing w:after="0" w:line="237" w:lineRule="auto"/>
        <w:tabs>
          <w:tab w:leader="none" w:pos="12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replace Section 7., Term, in its entirety with the following: “7. Term. The term of this Agreement shall continue through May 31, 2024 (“Term”), unless otherwise terminated pursuant to the Dispensing Agreement.”</w:t>
      </w:r>
    </w:p>
    <w:p>
      <w:pPr>
        <w:spacing w:after="0" w:line="199" w:lineRule="exact"/>
        <w:rPr>
          <w:rFonts w:ascii="Times New Roman" w:cs="Times New Roman" w:eastAsia="Times New Roman" w:hAnsi="Times New Roman"/>
          <w:sz w:val="20"/>
          <w:szCs w:val="20"/>
          <w:color w:val="auto"/>
        </w:rPr>
      </w:pPr>
    </w:p>
    <w:p>
      <w:pPr>
        <w:ind w:left="640" w:firstLine="7"/>
        <w:spacing w:after="0" w:line="248" w:lineRule="auto"/>
        <w:tabs>
          <w:tab w:leader="none" w:pos="12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all other conditions of the Agreement shall remain in force and that such terms shall prevail on the event of a conflict with this Third Amendment</w:t>
      </w:r>
    </w:p>
    <w:p>
      <w:pPr>
        <w:spacing w:after="0" w:line="178" w:lineRule="exact"/>
        <w:rPr>
          <w:rFonts w:ascii="Times New Roman" w:cs="Times New Roman" w:eastAsia="Times New Roman" w:hAnsi="Times New Roman"/>
          <w:sz w:val="20"/>
          <w:szCs w:val="20"/>
          <w:color w:val="auto"/>
        </w:rPr>
      </w:pPr>
    </w:p>
    <w:p>
      <w:pPr>
        <w:ind w:left="640" w:right="420" w:firstLine="7"/>
        <w:spacing w:after="0" w:line="248" w:lineRule="auto"/>
        <w:tabs>
          <w:tab w:leader="none" w:pos="12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modify Exhibit A- Payment Terms and Pricing from the Dispensing Agreement. The fees outlined in Exhibit A attached to this Amendment reflect fees for the period May 16, 2022 through May 31, 2024.</w:t>
      </w:r>
    </w:p>
    <w:p>
      <w:pPr>
        <w:sectPr>
          <w:pgSz w:w="11900" w:h="16838" w:orient="portrait"/>
          <w:cols w:equalWidth="0" w:num="1">
            <w:col w:w="11200"/>
          </w:cols>
          <w:pgMar w:left="320" w:top="1389" w:right="379" w:bottom="1440" w:gutter="0" w:footer="0" w:header="0"/>
        </w:sectPr>
      </w:pPr>
    </w:p>
    <w:bookmarkStart w:id="40" w:name="page41"/>
    <w:bookmarkEnd w:id="40"/>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u w:val="single" w:color="auto"/>
          <w:color w:val="auto"/>
        </w:rPr>
        <w:t>Vericel MACI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Fees: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AllCare’s fees for the Services outlined in this Amendment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5287010" cy="1076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287010" cy="107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Invoicing Schedule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AllCare will invoice Client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Fixed Fees</w:t>
      </w:r>
      <w:r>
        <w:rPr>
          <w:rFonts w:ascii="Times New Roman" w:cs="Times New Roman" w:eastAsia="Times New Roman" w:hAnsi="Times New Roman"/>
          <w:sz w:val="20"/>
          <w:szCs w:val="20"/>
          <w:color w:val="auto"/>
        </w:rPr>
        <w:t>:</w:t>
      </w:r>
    </w:p>
    <w:p>
      <w:pPr>
        <w:spacing w:after="0" w:line="232" w:lineRule="auto"/>
        <w:rPr>
          <w:sz w:val="20"/>
          <w:szCs w:val="20"/>
          <w:color w:val="auto"/>
        </w:rPr>
      </w:pPr>
      <w:r>
        <w:rPr>
          <w:rFonts w:ascii="Times New Roman" w:cs="Times New Roman" w:eastAsia="Times New Roman" w:hAnsi="Times New Roman"/>
          <w:sz w:val="20"/>
          <w:szCs w:val="20"/>
          <w:color w:val="auto"/>
        </w:rPr>
        <w:t>Client will be invoiced quarterly in advance on the first month and day of each quarter (pro-rated as applicated) for all fixed fees during the Term.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Variable, Transactional, Pass-Through Costs and Out of Pocket Expenses</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Client will be invoiced monthly, in arrears, based on Services performed (actuals) during the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Terms: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Payable within thirty (30) days from date of invoice.</w:t>
      </w:r>
    </w:p>
    <w:p>
      <w:pPr>
        <w:spacing w:after="0" w:line="202"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20"/>
          <w:szCs w:val="20"/>
          <w:color w:val="auto"/>
        </w:rPr>
        <w:t>Client shall also reimburse AllCare for reasonable travel and other out of pocket expenses incurred in connection with the provision of services, without premium or mark up, provided, however, that such expenses are itemized and at the Client’s request.</w:t>
      </w:r>
    </w:p>
    <w:p>
      <w:pPr>
        <w:sectPr>
          <w:pgSz w:w="11900" w:h="16838" w:orient="portrait"/>
          <w:cols w:equalWidth="0" w:num="1">
            <w:col w:w="10920"/>
          </w:cols>
          <w:pgMar w:left="320" w:top="1440"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Amendment, by their duly authorized representatives, as of the Effective Date.</w:t>
      </w:r>
    </w:p>
    <w:p>
      <w:pPr>
        <w:sectPr>
          <w:pgSz w:w="11900" w:h="16838" w:orient="portrait"/>
          <w:cols w:equalWidth="0" w:num="1">
            <w:col w:w="10840"/>
          </w:cols>
          <w:pgMar w:left="320" w:top="139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VERICEL CORPORATION</w:t>
            </w:r>
          </w:p>
        </w:tc>
        <w:tc>
          <w:tcPr>
            <w:tcW w:w="5880" w:type="dxa"/>
            <w:vAlign w:val="bottom"/>
            <w:gridSpan w:val="3"/>
          </w:tcPr>
          <w:p>
            <w:pPr>
              <w:ind w:left="2720"/>
              <w:spacing w:after="0"/>
              <w:rPr>
                <w:sz w:val="20"/>
                <w:szCs w:val="20"/>
                <w:color w:val="auto"/>
              </w:rPr>
            </w:pPr>
            <w:r>
              <w:rPr>
                <w:rFonts w:ascii="Times New Roman" w:cs="Times New Roman" w:eastAsia="Times New Roman" w:hAnsi="Times New Roman"/>
                <w:sz w:val="20"/>
                <w:szCs w:val="20"/>
                <w:b w:val="1"/>
                <w:bCs w:val="1"/>
                <w:color w:val="auto"/>
                <w:w w:val="96"/>
              </w:rPr>
              <w:t>ALLCARE PLUS PHARMACY LLC</w:t>
            </w: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Joe Mara CFO</w:t>
            </w:r>
          </w:p>
        </w:tc>
        <w:tc>
          <w:tcPr>
            <w:tcW w:w="3500" w:type="dxa"/>
            <w:vAlign w:val="bottom"/>
          </w:tcPr>
          <w:p>
            <w:pPr>
              <w:ind w:left="2720"/>
              <w:spacing w:after="0"/>
              <w:rPr>
                <w:sz w:val="20"/>
                <w:szCs w:val="20"/>
                <w:color w:val="auto"/>
              </w:rPr>
            </w:pPr>
            <w:r>
              <w:rPr>
                <w:rFonts w:ascii="Times New Roman" w:cs="Times New Roman" w:eastAsia="Times New Roman" w:hAnsi="Times New Roman"/>
                <w:sz w:val="20"/>
                <w:szCs w:val="20"/>
                <w:color w:val="auto"/>
              </w:rPr>
              <w:t>By:</w:t>
            </w:r>
          </w:p>
        </w:tc>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Aren Leighton</w:t>
            </w:r>
          </w:p>
        </w:tc>
      </w:tr>
      <w:tr>
        <w:trPr>
          <w:trHeight w:val="25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1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Joe Mara</w:t>
            </w:r>
          </w:p>
        </w:tc>
        <w:tc>
          <w:tcPr>
            <w:tcW w:w="3500" w:type="dxa"/>
            <w:vAlign w:val="bottom"/>
          </w:tcPr>
          <w:p>
            <w:pPr>
              <w:ind w:left="2720"/>
              <w:spacing w:after="0"/>
              <w:rPr>
                <w:sz w:val="20"/>
                <w:szCs w:val="20"/>
                <w:color w:val="auto"/>
              </w:rPr>
            </w:pPr>
            <w:r>
              <w:rPr>
                <w:rFonts w:ascii="Times New Roman" w:cs="Times New Roman" w:eastAsia="Times New Roman" w:hAnsi="Times New Roman"/>
                <w:sz w:val="20"/>
                <w:szCs w:val="20"/>
                <w:color w:val="auto"/>
              </w:rPr>
              <w:t>Name:</w:t>
            </w:r>
          </w:p>
        </w:tc>
        <w:tc>
          <w:tcPr>
            <w:tcW w:w="1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Aren Leighton</w:t>
            </w:r>
          </w:p>
        </w:tc>
        <w:tc>
          <w:tcPr>
            <w:tcW w:w="580" w:type="dxa"/>
            <w:vAlign w:val="bottom"/>
          </w:tcPr>
          <w:p>
            <w:pPr>
              <w:spacing w:after="0"/>
              <w:rPr>
                <w:sz w:val="22"/>
                <w:szCs w:val="22"/>
                <w:color w:val="auto"/>
              </w:rPr>
            </w:pP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CFO</w:t>
            </w:r>
          </w:p>
        </w:tc>
        <w:tc>
          <w:tcPr>
            <w:tcW w:w="3500" w:type="dxa"/>
            <w:vAlign w:val="bottom"/>
          </w:tcPr>
          <w:p>
            <w:pPr>
              <w:ind w:left="2720"/>
              <w:spacing w:after="0"/>
              <w:rPr>
                <w:sz w:val="20"/>
                <w:szCs w:val="20"/>
                <w:color w:val="auto"/>
              </w:rPr>
            </w:pPr>
            <w:r>
              <w:rPr>
                <w:rFonts w:ascii="Times New Roman" w:cs="Times New Roman" w:eastAsia="Times New Roman" w:hAnsi="Times New Roman"/>
                <w:sz w:val="20"/>
                <w:szCs w:val="20"/>
                <w:color w:val="auto"/>
              </w:rPr>
              <w:t>Title:</w:t>
            </w: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GM &amp; Lead</w:t>
            </w:r>
          </w:p>
        </w:tc>
        <w:tc>
          <w:tcPr>
            <w:tcW w:w="580" w:type="dxa"/>
            <w:vAlign w:val="bottom"/>
          </w:tcPr>
          <w:p>
            <w:pPr>
              <w:spacing w:after="0"/>
              <w:rPr>
                <w:sz w:val="21"/>
                <w:szCs w:val="21"/>
                <w:color w:val="auto"/>
              </w:rPr>
            </w:pP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5/13/2022</w:t>
            </w:r>
          </w:p>
        </w:tc>
        <w:tc>
          <w:tcPr>
            <w:tcW w:w="3500" w:type="dxa"/>
            <w:vAlign w:val="bottom"/>
          </w:tcPr>
          <w:p>
            <w:pPr>
              <w:ind w:left="2720"/>
              <w:spacing w:after="0"/>
              <w:rPr>
                <w:sz w:val="20"/>
                <w:szCs w:val="20"/>
                <w:color w:val="auto"/>
              </w:rPr>
            </w:pPr>
            <w:r>
              <w:rPr>
                <w:rFonts w:ascii="Times New Roman" w:cs="Times New Roman" w:eastAsia="Times New Roman" w:hAnsi="Times New Roman"/>
                <w:sz w:val="20"/>
                <w:szCs w:val="20"/>
                <w:color w:val="auto"/>
              </w:rPr>
              <w:t>Date:</w:t>
            </w: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13, 0222</w:t>
            </w:r>
          </w:p>
        </w:tc>
        <w:tc>
          <w:tcPr>
            <w:tcW w:w="580" w:type="dxa"/>
            <w:vAlign w:val="bottom"/>
          </w:tcPr>
          <w:p>
            <w:pPr>
              <w:spacing w:after="0"/>
              <w:rPr>
                <w:sz w:val="21"/>
                <w:szCs w:val="21"/>
                <w:color w:val="auto"/>
              </w:rPr>
            </w:pPr>
          </w:p>
        </w:tc>
      </w:tr>
    </w:tbl>
    <w:p>
      <w:pPr>
        <w:sectPr>
          <w:pgSz w:w="11900" w:h="16838" w:orient="portrait"/>
          <w:cols w:equalWidth="0" w:num="1">
            <w:col w:w="10840"/>
          </w:cols>
          <w:pgMar w:left="320" w:top="1394" w:right="7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New Hire Incentive Stock Option Award Agreement Under the 2022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Vericel Corporation 2022 Omnibus Incentive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Incentive Stock Option Award Agreement</w:t>
      </w:r>
    </w:p>
    <w:p>
      <w:pPr>
        <w:spacing w:after="0" w:line="202" w:lineRule="exact"/>
        <w:rPr>
          <w:sz w:val="20"/>
          <w:szCs w:val="20"/>
          <w:color w:val="auto"/>
        </w:rPr>
      </w:pPr>
    </w:p>
    <w:p>
      <w:pPr>
        <w:ind w:right="460" w:firstLine="640"/>
        <w:spacing w:after="0" w:line="262" w:lineRule="auto"/>
        <w:rPr>
          <w:sz w:val="20"/>
          <w:szCs w:val="20"/>
          <w:color w:val="auto"/>
        </w:rPr>
      </w:pPr>
      <w:r>
        <w:rPr>
          <w:rFonts w:ascii="Times New Roman" w:cs="Times New Roman" w:eastAsia="Times New Roman" w:hAnsi="Times New Roman"/>
          <w:sz w:val="20"/>
          <w:szCs w:val="20"/>
          <w:color w:val="auto"/>
        </w:rPr>
        <w:t>AWARD AGREEMENT (the “Agreement”), effective as of [[GRANTDATE]] (the “Grant Date”), is entered into by and between Vericel Corporation, a Michigan corporation (the “Company”), and [[FIRSTNAME]] [[LASTNAME]] (the “Participant”).</w:t>
      </w:r>
    </w:p>
    <w:p>
      <w:pPr>
        <w:spacing w:after="0" w:line="178" w:lineRule="exact"/>
        <w:rPr>
          <w:sz w:val="20"/>
          <w:szCs w:val="20"/>
          <w:color w:val="auto"/>
        </w:rPr>
      </w:pPr>
    </w:p>
    <w:p>
      <w:pPr>
        <w:ind w:left="640" w:right="380" w:hanging="313"/>
        <w:spacing w:after="0" w:line="242"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98" w:lineRule="exact"/>
        <w:rPr>
          <w:rFonts w:ascii="Times New Roman" w:cs="Times New Roman" w:eastAsia="Times New Roman" w:hAnsi="Times New Roman"/>
          <w:sz w:val="20"/>
          <w:szCs w:val="20"/>
          <w:color w:val="auto"/>
        </w:rPr>
      </w:pPr>
    </w:p>
    <w:p>
      <w:pPr>
        <w:jc w:val="both"/>
        <w:ind w:left="640" w:right="160" w:hanging="313"/>
        <w:spacing w:after="0" w:line="242"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Subject to the Plan</w:t>
      </w:r>
      <w:r>
        <w:rPr>
          <w:rFonts w:ascii="Times New Roman" w:cs="Times New Roman" w:eastAsia="Times New Roman" w:hAnsi="Times New Roman"/>
          <w:sz w:val="20"/>
          <w:szCs w:val="20"/>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211" w:lineRule="exact"/>
        <w:rPr>
          <w:rFonts w:ascii="Times New Roman" w:cs="Times New Roman" w:eastAsia="Times New Roman" w:hAnsi="Times New Roman"/>
          <w:sz w:val="20"/>
          <w:szCs w:val="20"/>
          <w:color w:val="auto"/>
        </w:rPr>
      </w:pPr>
    </w:p>
    <w:p>
      <w:pPr>
        <w:ind w:left="640" w:right="60" w:hanging="313"/>
        <w:spacing w:after="0" w:line="248"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Unless the Option terminates earlier pursuant to the provisions of this Agreement, the Option shall expire on the tenth anniversary of the Grant Date.</w:t>
      </w:r>
    </w:p>
    <w:p>
      <w:pPr>
        <w:spacing w:after="0" w:line="191" w:lineRule="exact"/>
        <w:rPr>
          <w:rFonts w:ascii="Times New Roman" w:cs="Times New Roman" w:eastAsia="Times New Roman" w:hAnsi="Times New Roman"/>
          <w:sz w:val="20"/>
          <w:szCs w:val="20"/>
          <w:color w:val="auto"/>
        </w:rPr>
      </w:pPr>
    </w:p>
    <w:p>
      <w:pPr>
        <w:ind w:left="640" w:right="80" w:hanging="313"/>
        <w:spacing w:after="0" w:line="232" w:lineRule="exact"/>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Subject to the discretion of the Committee to accelerate the exercisability of the Option, the Option shall become vested and exercisable over four years, with 25% of the Shares vesting on the first anniversary of the Grant Date and 6.25% of the Shares vesting quarterly thereafter, provided that the Participant is employed by the Company or an Affiliate on the applicable date. In addition, upon termination of the Participant’s employment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3(i)(4).</w:t>
      </w:r>
    </w:p>
    <w:p>
      <w:pPr>
        <w:spacing w:after="0" w:line="19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left="1280" w:right="60" w:hanging="313"/>
        <w:spacing w:after="0" w:line="236" w:lineRule="auto"/>
        <w:tabs>
          <w:tab w:leader="none" w:pos="126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 The Option may be exercised only in multiples of whole Shares and no fractional Shares shall be issued.</w:t>
      </w:r>
    </w:p>
    <w:p>
      <w:pPr>
        <w:spacing w:after="0" w:line="203" w:lineRule="exact"/>
        <w:rPr>
          <w:rFonts w:ascii="Times New Roman" w:cs="Times New Roman" w:eastAsia="Times New Roman" w:hAnsi="Times New Roman"/>
          <w:sz w:val="20"/>
          <w:szCs w:val="20"/>
          <w:color w:val="auto"/>
        </w:rPr>
      </w:pPr>
    </w:p>
    <w:p>
      <w:pPr>
        <w:ind w:left="1280" w:right="200" w:hanging="313"/>
        <w:spacing w:after="0" w:line="258"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Option</w:t>
      </w:r>
      <w:r>
        <w:rPr>
          <w:rFonts w:ascii="Times New Roman" w:cs="Times New Roman" w:eastAsia="Times New Roman" w:hAnsi="Times New Roman"/>
          <w:sz w:val="18"/>
          <w:szCs w:val="18"/>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pacing w:after="0" w:line="3" w:lineRule="exact"/>
        <w:rPr>
          <w:rFonts w:ascii="Times New Roman" w:cs="Times New Roman" w:eastAsia="Times New Roman" w:hAnsi="Times New Roman"/>
          <w:sz w:val="18"/>
          <w:szCs w:val="18"/>
          <w:color w:val="auto"/>
        </w:rPr>
      </w:pPr>
    </w:p>
    <w:p>
      <w:pPr>
        <w:ind w:left="1280" w:right="40" w:hanging="313"/>
        <w:spacing w:after="0" w:line="233" w:lineRule="auto"/>
        <w:tabs>
          <w:tab w:leader="none" w:pos="126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ACTIVE/106709337.3</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240"/>
        <w:spacing w:after="0" w:line="302" w:lineRule="auto"/>
        <w:rPr>
          <w:sz w:val="20"/>
          <w:szCs w:val="20"/>
          <w:color w:val="auto"/>
        </w:rPr>
      </w:pPr>
      <w:r>
        <w:rPr>
          <w:rFonts w:ascii="Times New Roman" w:cs="Times New Roman" w:eastAsia="Times New Roman" w:hAnsi="Times New Roman"/>
          <w:sz w:val="18"/>
          <w:szCs w:val="18"/>
          <w:color w:val="auto"/>
        </w:rPr>
        <w:t>Plan, the Company shall issue to the Participant the applicable number of Shares in the form of fully paid and nonassessable Shares. The determination of the Committee as to such compliance shall be final and binding on the Participant.</w:t>
      </w:r>
    </w:p>
    <w:p>
      <w:pPr>
        <w:spacing w:after="0" w:line="160" w:lineRule="exact"/>
        <w:rPr>
          <w:sz w:val="20"/>
          <w:szCs w:val="20"/>
          <w:color w:val="auto"/>
        </w:rPr>
      </w:pPr>
    </w:p>
    <w:p>
      <w:pPr>
        <w:ind w:left="1280" w:right="760" w:hanging="313"/>
        <w:spacing w:after="0" w:line="248" w:lineRule="auto"/>
        <w:tabs>
          <w:tab w:leader="none" w:pos="12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 Adjustments</w:t>
      </w:r>
      <w:r>
        <w:rPr>
          <w:rFonts w:ascii="Times New Roman" w:cs="Times New Roman" w:eastAsia="Times New Roman" w:hAnsi="Times New Roman"/>
          <w:sz w:val="20"/>
          <w:szCs w:val="20"/>
          <w:color w:val="auto"/>
        </w:rPr>
        <w:t>. The number of Shares subject to the Option and the Exercise Price shall be equitably and appropriately adjusted, if applicable, as provided in Section 11.2 of the Plan.</w:t>
      </w:r>
    </w:p>
    <w:p>
      <w:pPr>
        <w:spacing w:after="0" w:line="205" w:lineRule="exact"/>
        <w:rPr>
          <w:rFonts w:ascii="Times New Roman" w:cs="Times New Roman" w:eastAsia="Times New Roman" w:hAnsi="Times New Roman"/>
          <w:sz w:val="20"/>
          <w:szCs w:val="20"/>
          <w:color w:val="auto"/>
        </w:rPr>
      </w:pPr>
    </w:p>
    <w:p>
      <w:pPr>
        <w:ind w:left="1280" w:right="100" w:hanging="313"/>
        <w:spacing w:after="0" w:line="242" w:lineRule="auto"/>
        <w:tabs>
          <w:tab w:leader="none" w:pos="126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Disposition</w:t>
      </w:r>
      <w:r>
        <w:rPr>
          <w:rFonts w:ascii="Times New Roman" w:cs="Times New Roman" w:eastAsia="Times New Roman" w:hAnsi="Times New Roman"/>
          <w:sz w:val="20"/>
          <w:szCs w:val="20"/>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98" w:lineRule="exact"/>
        <w:rPr>
          <w:rFonts w:ascii="Times New Roman" w:cs="Times New Roman" w:eastAsia="Times New Roman" w:hAnsi="Times New Roman"/>
          <w:sz w:val="20"/>
          <w:szCs w:val="20"/>
          <w:color w:val="auto"/>
        </w:rPr>
      </w:pPr>
    </w:p>
    <w:p>
      <w:pPr>
        <w:ind w:left="1280" w:right="20" w:hanging="313"/>
        <w:spacing w:after="0" w:line="233" w:lineRule="auto"/>
        <w:tabs>
          <w:tab w:leader="none" w:pos="127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01" w:lineRule="exact"/>
        <w:rPr>
          <w:rFonts w:ascii="Times New Roman" w:cs="Times New Roman" w:eastAsia="Times New Roman" w:hAnsi="Times New Roman"/>
          <w:sz w:val="20"/>
          <w:szCs w:val="20"/>
          <w:color w:val="auto"/>
        </w:rPr>
      </w:pPr>
    </w:p>
    <w:p>
      <w:pPr>
        <w:ind w:left="640" w:right="180" w:hanging="313"/>
        <w:spacing w:after="0" w:line="236"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Option.</w:t>
      </w:r>
      <w:r>
        <w:rPr>
          <w:rFonts w:ascii="Times New Roman" w:cs="Times New Roman" w:eastAsia="Times New Roman" w:hAnsi="Times New Roman"/>
          <w:sz w:val="20"/>
          <w:szCs w:val="20"/>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199" w:lineRule="exact"/>
        <w:rPr>
          <w:rFonts w:ascii="Times New Roman" w:cs="Times New Roman" w:eastAsia="Times New Roman" w:hAnsi="Times New Roman"/>
          <w:sz w:val="20"/>
          <w:szCs w:val="20"/>
          <w:color w:val="auto"/>
        </w:rPr>
      </w:pPr>
    </w:p>
    <w:p>
      <w:pPr>
        <w:ind w:left="1280" w:right="20" w:hanging="313"/>
        <w:spacing w:after="0" w:line="237" w:lineRule="auto"/>
        <w:tabs>
          <w:tab w:leader="none" w:pos="1269"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12" w:lineRule="exact"/>
        <w:rPr>
          <w:rFonts w:ascii="Times New Roman" w:cs="Times New Roman" w:eastAsia="Times New Roman" w:hAnsi="Times New Roman"/>
          <w:sz w:val="20"/>
          <w:szCs w:val="20"/>
          <w:color w:val="auto"/>
        </w:rPr>
      </w:pPr>
    </w:p>
    <w:p>
      <w:pPr>
        <w:ind w:left="1280" w:hanging="313"/>
        <w:spacing w:after="0" w:line="233" w:lineRule="auto"/>
        <w:tabs>
          <w:tab w:leader="none" w:pos="1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Disabled Participant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ACTIVE/106709337.3</w:t>
      </w:r>
      <w:r>
        <w:rPr>
          <w:sz w:val="20"/>
          <w:szCs w:val="20"/>
          <w:color w:val="auto"/>
        </w:rPr>
        <w:tab/>
      </w: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80" w:right="100" w:hanging="313"/>
        <w:spacing w:after="0" w:line="237" w:lineRule="auto"/>
        <w:tabs>
          <w:tab w:leader="none" w:pos="126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termination of employment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16" w:lineRule="exact"/>
        <w:rPr>
          <w:rFonts w:ascii="Times New Roman" w:cs="Times New Roman" w:eastAsia="Times New Roman" w:hAnsi="Times New Roman"/>
          <w:sz w:val="20"/>
          <w:szCs w:val="20"/>
          <w:color w:val="auto"/>
        </w:rPr>
      </w:pPr>
    </w:p>
    <w:p>
      <w:pPr>
        <w:ind w:left="1280" w:right="60" w:hanging="313"/>
        <w:spacing w:after="0" w:line="25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Upon the termination of the Participant’s employment by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200" w:lineRule="exact"/>
        <w:rPr>
          <w:sz w:val="20"/>
          <w:szCs w:val="20"/>
          <w:color w:val="auto"/>
        </w:rPr>
      </w:pPr>
    </w:p>
    <w:p>
      <w:pPr>
        <w:spacing w:after="0" w:line="221" w:lineRule="exact"/>
        <w:rPr>
          <w:sz w:val="20"/>
          <w:szCs w:val="20"/>
          <w:color w:val="auto"/>
        </w:rPr>
      </w:pPr>
    </w:p>
    <w:p>
      <w:pPr>
        <w:ind w:right="220" w:firstLine="640"/>
        <w:spacing w:after="0" w:line="248" w:lineRule="auto"/>
        <w:rPr>
          <w:sz w:val="20"/>
          <w:szCs w:val="20"/>
          <w:color w:val="auto"/>
        </w:rPr>
      </w:pPr>
      <w:r>
        <w:rPr>
          <w:rFonts w:ascii="Times New Roman" w:cs="Times New Roman" w:eastAsia="Times New Roman" w:hAnsi="Times New Roman"/>
          <w:sz w:val="20"/>
          <w:szCs w:val="20"/>
          <w:color w:val="auto"/>
        </w:rPr>
        <w:t>The Committee’s determination of the reason for termination of the Participant’s employment shall be conclusive and binding on the Participant and his or her representatives or legatees.</w:t>
      </w:r>
    </w:p>
    <w:p>
      <w:pPr>
        <w:spacing w:after="0" w:line="205" w:lineRule="exact"/>
        <w:rPr>
          <w:sz w:val="20"/>
          <w:szCs w:val="20"/>
          <w:color w:val="auto"/>
        </w:rPr>
      </w:pPr>
    </w:p>
    <w:p>
      <w:pPr>
        <w:ind w:left="1280" w:right="40" w:hanging="313"/>
        <w:spacing w:after="0" w:line="261" w:lineRule="auto"/>
        <w:tabs>
          <w:tab w:leader="none" w:pos="1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Exercise Period</w:t>
      </w:r>
      <w:r>
        <w:rPr>
          <w:rFonts w:ascii="Times New Roman" w:cs="Times New Roman" w:eastAsia="Times New Roman" w:hAnsi="Times New Roman"/>
          <w:sz w:val="18"/>
          <w:szCs w:val="18"/>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w:t>
      </w:r>
    </w:p>
    <w:p>
      <w:pPr>
        <w:ind w:left="1280"/>
        <w:spacing w:after="0" w:line="223" w:lineRule="auto"/>
        <w:rPr>
          <w:sz w:val="20"/>
          <w:szCs w:val="20"/>
          <w:color w:val="auto"/>
        </w:rPr>
      </w:pPr>
      <w:r>
        <w:rPr>
          <w:rFonts w:ascii="Times New Roman" w:cs="Times New Roman" w:eastAsia="Times New Roman" w:hAnsi="Times New Roman"/>
          <w:sz w:val="20"/>
          <w:szCs w:val="20"/>
          <w:color w:val="auto"/>
        </w:rPr>
        <w:t>any Company policy related thereto), the time period to exercise the Option shall be extended until the later of (i) forty-five</w:t>
      </w:r>
    </w:p>
    <w:p>
      <w:pPr>
        <w:ind w:left="1280"/>
        <w:spacing w:after="0" w:line="292" w:lineRule="auto"/>
        <w:rPr>
          <w:sz w:val="20"/>
          <w:szCs w:val="20"/>
          <w:color w:val="auto"/>
        </w:rPr>
      </w:pPr>
      <w:r>
        <w:rPr>
          <w:rFonts w:ascii="Times New Roman" w:cs="Times New Roman" w:eastAsia="Times New Roman" w:hAnsi="Times New Roman"/>
          <w:sz w:val="18"/>
          <w:szCs w:val="18"/>
          <w:color w:val="auto"/>
        </w:rPr>
        <w:t>(45)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54" w:lineRule="exact"/>
        <w:rPr>
          <w:sz w:val="20"/>
          <w:szCs w:val="20"/>
          <w:color w:val="auto"/>
        </w:rPr>
      </w:pPr>
    </w:p>
    <w:p>
      <w:pPr>
        <w:ind w:left="640" w:hanging="313"/>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37"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Effect on Option</w:t>
      </w:r>
      <w:r>
        <w:rPr>
          <w:rFonts w:ascii="Times New Roman" w:cs="Times New Roman" w:eastAsia="Times New Roman" w:hAnsi="Times New Roman"/>
          <w:sz w:val="20"/>
          <w:szCs w:val="20"/>
          <w:color w:val="auto"/>
        </w:rPr>
        <w:t>. In the event of a Change in Control, to the extent the successor company (or a subsidiary or parent thereof)</w:t>
      </w:r>
    </w:p>
    <w:p>
      <w:pPr>
        <w:spacing w:after="0" w:line="5" w:lineRule="exact"/>
        <w:rPr>
          <w:rFonts w:ascii="Times New Roman" w:cs="Times New Roman" w:eastAsia="Times New Roman" w:hAnsi="Times New Roman"/>
          <w:sz w:val="20"/>
          <w:szCs w:val="20"/>
          <w:color w:val="auto"/>
        </w:rPr>
      </w:pPr>
    </w:p>
    <w:p>
      <w:pPr>
        <w:ind w:left="1280" w:right="4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ACTIVE/106709337.3</w:t>
      </w:r>
      <w:r>
        <w:rPr>
          <w:sz w:val="20"/>
          <w:szCs w:val="20"/>
          <w:color w:val="auto"/>
        </w:rPr>
        <w:tab/>
      </w: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240"/>
        <w:spacing w:after="0" w:line="302" w:lineRule="auto"/>
        <w:rPr>
          <w:sz w:val="20"/>
          <w:szCs w:val="20"/>
          <w:color w:val="auto"/>
        </w:rPr>
      </w:pPr>
      <w:r>
        <w:rPr>
          <w:rFonts w:ascii="Times New Roman" w:cs="Times New Roman" w:eastAsia="Times New Roman" w:hAnsi="Times New Roman"/>
          <w:sz w:val="18"/>
          <w:szCs w:val="18"/>
          <w:color w:val="auto"/>
        </w:rPr>
        <w:t>become fully vested and exercisable, and may be exercised by the Participant at any time prior to the expiration date of such Option or within three months of the Participant’s date of termination of employment, whichever is the shorter period.</w:t>
      </w:r>
    </w:p>
    <w:p>
      <w:pPr>
        <w:spacing w:after="0" w:line="160" w:lineRule="exact"/>
        <w:rPr>
          <w:sz w:val="20"/>
          <w:szCs w:val="20"/>
          <w:color w:val="auto"/>
        </w:rPr>
      </w:pPr>
    </w:p>
    <w:p>
      <w:pPr>
        <w:ind w:right="360" w:firstLine="640"/>
        <w:spacing w:after="0" w:line="302" w:lineRule="auto"/>
        <w:rPr>
          <w:sz w:val="20"/>
          <w:szCs w:val="20"/>
          <w:color w:val="auto"/>
        </w:rPr>
      </w:pPr>
      <w:r>
        <w:rPr>
          <w:rFonts w:ascii="Times New Roman" w:cs="Times New Roman" w:eastAsia="Times New Roman" w:hAnsi="Times New Roman"/>
          <w:sz w:val="18"/>
          <w:szCs w:val="18"/>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60" w:lineRule="exact"/>
        <w:rPr>
          <w:sz w:val="20"/>
          <w:szCs w:val="20"/>
          <w:color w:val="auto"/>
        </w:rPr>
      </w:pPr>
    </w:p>
    <w:p>
      <w:pPr>
        <w:ind w:left="1280" w:right="20" w:hanging="313"/>
        <w:spacing w:after="0" w:line="231" w:lineRule="auto"/>
        <w:tabs>
          <w:tab w:leader="none" w:pos="12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4" w:lineRule="exact"/>
        <w:rPr>
          <w:rFonts w:ascii="Times New Roman" w:cs="Times New Roman" w:eastAsia="Times New Roman" w:hAnsi="Times New Roman"/>
          <w:sz w:val="20"/>
          <w:szCs w:val="20"/>
          <w:color w:val="auto"/>
        </w:rPr>
      </w:pPr>
    </w:p>
    <w:p>
      <w:pPr>
        <w:ind w:left="1280" w:right="80" w:hanging="313"/>
        <w:spacing w:after="0" w:line="236" w:lineRule="auto"/>
        <w:tabs>
          <w:tab w:leader="none" w:pos="126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 or Plan</w:t>
      </w:r>
      <w:r>
        <w:rPr>
          <w:rFonts w:ascii="Times New Roman" w:cs="Times New Roman" w:eastAsia="Times New Roman" w:hAnsi="Times New Roman"/>
          <w:sz w:val="20"/>
          <w:szCs w:val="20"/>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16"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left="1280" w:right="40" w:hanging="313"/>
        <w:spacing w:after="0" w:line="262" w:lineRule="auto"/>
        <w:tabs>
          <w:tab w:leader="none" w:pos="126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of Stockholder</w:t>
      </w:r>
      <w:r>
        <w:rPr>
          <w:rFonts w:ascii="Times New Roman" w:cs="Times New Roman" w:eastAsia="Times New Roman" w:hAnsi="Times New Roman"/>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178" w:lineRule="exact"/>
        <w:rPr>
          <w:rFonts w:ascii="Times New Roman" w:cs="Times New Roman" w:eastAsia="Times New Roman" w:hAnsi="Times New Roman"/>
          <w:sz w:val="20"/>
          <w:szCs w:val="20"/>
          <w:color w:val="auto"/>
        </w:rPr>
      </w:pPr>
    </w:p>
    <w:p>
      <w:pPr>
        <w:ind w:left="1280" w:right="60" w:hanging="313"/>
        <w:spacing w:after="0" w:line="233" w:lineRule="auto"/>
        <w:tabs>
          <w:tab w:leader="none" w:pos="12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Option</w:t>
      </w:r>
      <w:r>
        <w:rPr>
          <w:rFonts w:ascii="Times New Roman" w:cs="Times New Roman" w:eastAsia="Times New Roman" w:hAnsi="Times New Roman"/>
          <w:sz w:val="20"/>
          <w:szCs w:val="20"/>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ACTIVE/106709337.3</w:t>
      </w:r>
      <w:r>
        <w:rPr>
          <w:sz w:val="20"/>
          <w:szCs w:val="20"/>
          <w:color w:val="auto"/>
        </w:rPr>
        <w:tab/>
      </w: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80" w:right="120" w:hanging="313"/>
        <w:spacing w:after="0" w:line="236" w:lineRule="auto"/>
        <w:tabs>
          <w:tab w:leader="none" w:pos="126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216" w:lineRule="exact"/>
        <w:rPr>
          <w:rFonts w:ascii="Times New Roman" w:cs="Times New Roman" w:eastAsia="Times New Roman" w:hAnsi="Times New Roman"/>
          <w:sz w:val="20"/>
          <w:szCs w:val="20"/>
          <w:color w:val="auto"/>
        </w:rPr>
      </w:pPr>
    </w:p>
    <w:p>
      <w:pPr>
        <w:ind w:left="1280" w:right="160" w:hanging="313"/>
        <w:spacing w:after="0" w:line="248" w:lineRule="auto"/>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Michigan, other than its conflict of laws principles.</w:t>
      </w:r>
    </w:p>
    <w:p>
      <w:pPr>
        <w:spacing w:after="0" w:line="205" w:lineRule="exact"/>
        <w:rPr>
          <w:rFonts w:ascii="Times New Roman" w:cs="Times New Roman" w:eastAsia="Times New Roman" w:hAnsi="Times New Roman"/>
          <w:sz w:val="20"/>
          <w:szCs w:val="20"/>
          <w:color w:val="auto"/>
        </w:rPr>
      </w:pPr>
    </w:p>
    <w:p>
      <w:pPr>
        <w:ind w:left="1280" w:right="80" w:hanging="313"/>
        <w:spacing w:after="0" w:line="248" w:lineRule="auto"/>
        <w:tabs>
          <w:tab w:leader="none" w:pos="126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for reference purposes only and shall not affect the meaning or interpretation of this Agreement.</w:t>
      </w:r>
    </w:p>
    <w:p>
      <w:pPr>
        <w:spacing w:after="0" w:line="191" w:lineRule="exact"/>
        <w:rPr>
          <w:rFonts w:ascii="Times New Roman" w:cs="Times New Roman" w:eastAsia="Times New Roman" w:hAnsi="Times New Roman"/>
          <w:sz w:val="20"/>
          <w:szCs w:val="20"/>
          <w:color w:val="auto"/>
        </w:rPr>
      </w:pPr>
    </w:p>
    <w:p>
      <w:pPr>
        <w:ind w:left="1280" w:right="40" w:hanging="313"/>
        <w:spacing w:after="0" w:line="242" w:lineRule="auto"/>
        <w:tabs>
          <w:tab w:leader="none" w:pos="127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Notices to the Company should be addressed 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64 Sidney Street</w:t>
      </w:r>
    </w:p>
    <w:p>
      <w:pPr>
        <w:ind w:left="640"/>
        <w:spacing w:after="0" w:line="222" w:lineRule="auto"/>
        <w:rPr>
          <w:sz w:val="20"/>
          <w:szCs w:val="20"/>
          <w:color w:val="auto"/>
        </w:rPr>
      </w:pPr>
      <w:r>
        <w:rPr>
          <w:rFonts w:ascii="Times New Roman" w:cs="Times New Roman" w:eastAsia="Times New Roman" w:hAnsi="Times New Roman"/>
          <w:sz w:val="20"/>
          <w:szCs w:val="20"/>
          <w:color w:val="auto"/>
        </w:rPr>
        <w:t>Cambridge, MA 02139</w:t>
      </w:r>
    </w:p>
    <w:p>
      <w:pPr>
        <w:ind w:left="640"/>
        <w:spacing w:after="0" w:line="237" w:lineRule="auto"/>
        <w:rPr>
          <w:sz w:val="20"/>
          <w:szCs w:val="20"/>
          <w:color w:val="auto"/>
        </w:rPr>
      </w:pPr>
      <w:r>
        <w:rPr>
          <w:rFonts w:ascii="Times New Roman" w:cs="Times New Roman" w:eastAsia="Times New Roman" w:hAnsi="Times New Roman"/>
          <w:sz w:val="20"/>
          <w:szCs w:val="20"/>
          <w:color w:val="auto"/>
        </w:rPr>
        <w:t>Attention: Chief Financial Officer</w:t>
      </w:r>
    </w:p>
    <w:p>
      <w:pPr>
        <w:ind w:left="640"/>
        <w:spacing w:after="0"/>
        <w:rPr>
          <w:sz w:val="20"/>
          <w:szCs w:val="20"/>
          <w:color w:val="auto"/>
        </w:rPr>
      </w:pPr>
      <w:r>
        <w:rPr>
          <w:rFonts w:ascii="Times New Roman" w:cs="Times New Roman" w:eastAsia="Times New Roman" w:hAnsi="Times New Roman"/>
          <w:sz w:val="20"/>
          <w:szCs w:val="20"/>
          <w:color w:val="auto"/>
        </w:rPr>
        <w:t>Notice to the Participant should be addressed to the Participant at the Participant’s address as it appears on the Company’s records.</w:t>
      </w:r>
    </w:p>
    <w:p>
      <w:pPr>
        <w:spacing w:after="0" w:line="202" w:lineRule="exact"/>
        <w:rPr>
          <w:sz w:val="20"/>
          <w:szCs w:val="20"/>
          <w:color w:val="auto"/>
        </w:rPr>
      </w:pPr>
    </w:p>
    <w:p>
      <w:pPr>
        <w:jc w:val="both"/>
        <w:ind w:right="520" w:firstLine="640"/>
        <w:spacing w:after="0" w:line="242" w:lineRule="auto"/>
        <w:rPr>
          <w:sz w:val="20"/>
          <w:szCs w:val="20"/>
          <w:color w:val="auto"/>
        </w:rPr>
      </w:pPr>
      <w:r>
        <w:rPr>
          <w:rFonts w:ascii="Times New Roman" w:cs="Times New Roman" w:eastAsia="Times New Roman" w:hAnsi="Times New Roman"/>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98" w:lineRule="exact"/>
        <w:rPr>
          <w:sz w:val="20"/>
          <w:szCs w:val="20"/>
          <w:color w:val="auto"/>
        </w:rPr>
      </w:pPr>
    </w:p>
    <w:p>
      <w:pPr>
        <w:jc w:val="both"/>
        <w:ind w:left="1280" w:right="180" w:hanging="313"/>
        <w:spacing w:after="0" w:line="242" w:lineRule="auto"/>
        <w:tabs>
          <w:tab w:leader="none" w:pos="12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211" w:lineRule="exact"/>
        <w:rPr>
          <w:rFonts w:ascii="Times New Roman" w:cs="Times New Roman" w:eastAsia="Times New Roman" w:hAnsi="Times New Roman"/>
          <w:sz w:val="20"/>
          <w:szCs w:val="20"/>
          <w:color w:val="auto"/>
        </w:rPr>
      </w:pPr>
    </w:p>
    <w:p>
      <w:pPr>
        <w:ind w:left="1280" w:right="40" w:hanging="313"/>
        <w:spacing w:after="0" w:line="232" w:lineRule="auto"/>
        <w:tabs>
          <w:tab w:leader="none" w:pos="12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ACTIVE/106709337.3</w:t>
      </w:r>
      <w:r>
        <w:rPr>
          <w:sz w:val="20"/>
          <w:szCs w:val="20"/>
          <w:color w:val="auto"/>
        </w:rPr>
        <w:tab/>
      </w: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820"/>
        <w:spacing w:after="0" w:line="248" w:lineRule="auto"/>
        <w:rPr>
          <w:sz w:val="20"/>
          <w:szCs w:val="20"/>
          <w:color w:val="auto"/>
        </w:rPr>
      </w:pPr>
      <w:r>
        <w:rPr>
          <w:rFonts w:ascii="Times New Roman" w:cs="Times New Roman" w:eastAsia="Times New Roman" w:hAnsi="Times New Roman"/>
          <w:sz w:val="20"/>
          <w:szCs w:val="20"/>
          <w:color w:val="auto"/>
        </w:rPr>
        <w:t>Relevant Companies consider appropriate. The Participant shall have access to, and the right to change, the Relevant Information. Relevant Information will only be used in accordance with applicable law.</w:t>
      </w:r>
    </w:p>
    <w:p>
      <w:pPr>
        <w:spacing w:after="0" w:line="205" w:lineRule="exact"/>
        <w:rPr>
          <w:sz w:val="20"/>
          <w:szCs w:val="20"/>
          <w:color w:val="auto"/>
        </w:rPr>
      </w:pPr>
    </w:p>
    <w:p>
      <w:pPr>
        <w:ind w:left="1280" w:right="120" w:hanging="313"/>
        <w:spacing w:after="0" w:line="242" w:lineRule="auto"/>
        <w:tabs>
          <w:tab w:leader="none" w:pos="127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Modification</w:t>
      </w:r>
      <w:r>
        <w:rPr>
          <w:rFonts w:ascii="Times New Roman" w:cs="Times New Roman" w:eastAsia="Times New Roman" w:hAnsi="Times New Roman"/>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ACTIVE/106709337.3</w:t>
      </w:r>
      <w:r>
        <w:rPr>
          <w:sz w:val="20"/>
          <w:szCs w:val="20"/>
          <w:color w:val="auto"/>
        </w:rPr>
        <w:tab/>
      </w: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Current Employee Incentive Stock Option Award Agreement Under the 2022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Vericel Corporation 2022 Omnibus Incentive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Incentive Stock Option Award Agreement</w:t>
      </w:r>
    </w:p>
    <w:p>
      <w:pPr>
        <w:spacing w:after="0" w:line="202" w:lineRule="exact"/>
        <w:rPr>
          <w:sz w:val="20"/>
          <w:szCs w:val="20"/>
          <w:color w:val="auto"/>
        </w:rPr>
      </w:pPr>
    </w:p>
    <w:p>
      <w:pPr>
        <w:ind w:right="460" w:firstLine="640"/>
        <w:spacing w:after="0" w:line="262" w:lineRule="auto"/>
        <w:rPr>
          <w:sz w:val="20"/>
          <w:szCs w:val="20"/>
          <w:color w:val="auto"/>
        </w:rPr>
      </w:pPr>
      <w:r>
        <w:rPr>
          <w:rFonts w:ascii="Times New Roman" w:cs="Times New Roman" w:eastAsia="Times New Roman" w:hAnsi="Times New Roman"/>
          <w:sz w:val="20"/>
          <w:szCs w:val="20"/>
          <w:color w:val="auto"/>
        </w:rPr>
        <w:t>AWARD AGREEMENT (the “Agreement”), effective as of [[GRANTDATE]] (the “Grant Date”), is entered into by and between Vericel Corporation, a Michigan corporation (the “Company”), and [[FIRSTNAME]] [[LASTNAME]] (the “Participant”).</w:t>
      </w:r>
    </w:p>
    <w:p>
      <w:pPr>
        <w:spacing w:after="0" w:line="178" w:lineRule="exact"/>
        <w:rPr>
          <w:sz w:val="20"/>
          <w:szCs w:val="20"/>
          <w:color w:val="auto"/>
        </w:rPr>
      </w:pPr>
    </w:p>
    <w:p>
      <w:pPr>
        <w:ind w:left="640" w:right="380" w:hanging="313"/>
        <w:spacing w:after="0" w:line="242"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98" w:lineRule="exact"/>
        <w:rPr>
          <w:rFonts w:ascii="Times New Roman" w:cs="Times New Roman" w:eastAsia="Times New Roman" w:hAnsi="Times New Roman"/>
          <w:sz w:val="20"/>
          <w:szCs w:val="20"/>
          <w:color w:val="auto"/>
        </w:rPr>
      </w:pPr>
    </w:p>
    <w:p>
      <w:pPr>
        <w:jc w:val="both"/>
        <w:ind w:left="640" w:right="160" w:hanging="313"/>
        <w:spacing w:after="0" w:line="242"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Subject to the Plan</w:t>
      </w:r>
      <w:r>
        <w:rPr>
          <w:rFonts w:ascii="Times New Roman" w:cs="Times New Roman" w:eastAsia="Times New Roman" w:hAnsi="Times New Roman"/>
          <w:sz w:val="20"/>
          <w:szCs w:val="20"/>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211" w:lineRule="exact"/>
        <w:rPr>
          <w:rFonts w:ascii="Times New Roman" w:cs="Times New Roman" w:eastAsia="Times New Roman" w:hAnsi="Times New Roman"/>
          <w:sz w:val="20"/>
          <w:szCs w:val="20"/>
          <w:color w:val="auto"/>
        </w:rPr>
      </w:pPr>
    </w:p>
    <w:p>
      <w:pPr>
        <w:ind w:left="640" w:right="60" w:hanging="313"/>
        <w:spacing w:after="0" w:line="248"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Unless the Option terminates earlier pursuant to the provisions of this Agreement, the Option shall expire on the tenth anniversary of the Grant Date.</w:t>
      </w:r>
    </w:p>
    <w:p>
      <w:pPr>
        <w:spacing w:after="0" w:line="191" w:lineRule="exact"/>
        <w:rPr>
          <w:rFonts w:ascii="Times New Roman" w:cs="Times New Roman" w:eastAsia="Times New Roman" w:hAnsi="Times New Roman"/>
          <w:sz w:val="20"/>
          <w:szCs w:val="20"/>
          <w:color w:val="auto"/>
        </w:rPr>
      </w:pPr>
    </w:p>
    <w:p>
      <w:pPr>
        <w:ind w:left="640" w:right="40" w:hanging="313"/>
        <w:spacing w:after="0" w:line="231" w:lineRule="exact"/>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Subject to the discretion of the Committee to accelerate the exercisability of the Option, the Option shall become vested and exercisable in equal quarterly installments over four years commencing on the Grant Date, provided that the Participant is employed by the Company or an Affiliate on the applicable date. In addition, upon termination of the Participant’s employment due to the Participant’s death or Disability, this Option shall become vested and exercisable in full. For purposes of this Option, “Disability” shall have the meaning set forth in Treas. Reg.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3(i)(4).</w:t>
      </w:r>
    </w:p>
    <w:p>
      <w:pPr>
        <w:spacing w:after="0" w:line="192"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left="1280" w:right="60" w:hanging="313"/>
        <w:spacing w:after="0" w:line="236" w:lineRule="auto"/>
        <w:tabs>
          <w:tab w:leader="none" w:pos="1269"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Option may be exercised only in multiples of whole Shares and no fractional Shares shall be issued.</w:t>
      </w:r>
    </w:p>
    <w:p>
      <w:pPr>
        <w:spacing w:after="0" w:line="203" w:lineRule="exact"/>
        <w:rPr>
          <w:rFonts w:ascii="Times New Roman" w:cs="Times New Roman" w:eastAsia="Times New Roman" w:hAnsi="Times New Roman"/>
          <w:sz w:val="20"/>
          <w:szCs w:val="20"/>
          <w:color w:val="auto"/>
        </w:rPr>
      </w:pPr>
    </w:p>
    <w:p>
      <w:pPr>
        <w:ind w:left="1280" w:right="200" w:hanging="313"/>
        <w:spacing w:after="0" w:line="268" w:lineRule="auto"/>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Option</w:t>
      </w:r>
      <w:r>
        <w:rPr>
          <w:rFonts w:ascii="Times New Roman" w:cs="Times New Roman" w:eastAsia="Times New Roman" w:hAnsi="Times New Roman"/>
          <w:sz w:val="18"/>
          <w:szCs w:val="18"/>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pacing w:after="0" w:line="178" w:lineRule="exact"/>
        <w:rPr>
          <w:rFonts w:ascii="Times New Roman" w:cs="Times New Roman" w:eastAsia="Times New Roman" w:hAnsi="Times New Roman"/>
          <w:sz w:val="18"/>
          <w:szCs w:val="18"/>
          <w:color w:val="auto"/>
        </w:rPr>
      </w:pPr>
    </w:p>
    <w:p>
      <w:pPr>
        <w:ind w:left="1280" w:right="40" w:hanging="313"/>
        <w:spacing w:after="0" w:line="242" w:lineRule="auto"/>
        <w:tabs>
          <w:tab w:leader="none" w:pos="1269"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ACTIVE/106709415.3</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240"/>
        <w:spacing w:after="0" w:line="302" w:lineRule="auto"/>
        <w:rPr>
          <w:sz w:val="20"/>
          <w:szCs w:val="20"/>
          <w:color w:val="auto"/>
        </w:rPr>
      </w:pPr>
      <w:r>
        <w:rPr>
          <w:rFonts w:ascii="Times New Roman" w:cs="Times New Roman" w:eastAsia="Times New Roman" w:hAnsi="Times New Roman"/>
          <w:sz w:val="18"/>
          <w:szCs w:val="18"/>
          <w:color w:val="auto"/>
        </w:rPr>
        <w:t>Plan, the Company shall issue to the Participant the applicable number of Shares in the form of fully paid and nonassessable Shares. The determination of the Committee as to such compliance shall be final and binding on the Participant.</w:t>
      </w:r>
    </w:p>
    <w:p>
      <w:pPr>
        <w:spacing w:after="0" w:line="160" w:lineRule="exact"/>
        <w:rPr>
          <w:sz w:val="20"/>
          <w:szCs w:val="20"/>
          <w:color w:val="auto"/>
        </w:rPr>
      </w:pPr>
    </w:p>
    <w:p>
      <w:pPr>
        <w:ind w:left="1280" w:right="760" w:hanging="313"/>
        <w:spacing w:after="0" w:line="248" w:lineRule="auto"/>
        <w:tabs>
          <w:tab w:leader="none" w:pos="12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 Adjustments</w:t>
      </w:r>
      <w:r>
        <w:rPr>
          <w:rFonts w:ascii="Times New Roman" w:cs="Times New Roman" w:eastAsia="Times New Roman" w:hAnsi="Times New Roman"/>
          <w:sz w:val="20"/>
          <w:szCs w:val="20"/>
          <w:color w:val="auto"/>
        </w:rPr>
        <w:t>. The number of Shares subject to the Option and the Exercise Price shall be equitably and appropriately adjusted, if applicable, as provided in Section 11.2 of the Plan.</w:t>
      </w:r>
    </w:p>
    <w:p>
      <w:pPr>
        <w:spacing w:after="0" w:line="205" w:lineRule="exact"/>
        <w:rPr>
          <w:rFonts w:ascii="Times New Roman" w:cs="Times New Roman" w:eastAsia="Times New Roman" w:hAnsi="Times New Roman"/>
          <w:sz w:val="20"/>
          <w:szCs w:val="20"/>
          <w:color w:val="auto"/>
        </w:rPr>
      </w:pPr>
    </w:p>
    <w:p>
      <w:pPr>
        <w:ind w:left="1280" w:right="100" w:hanging="313"/>
        <w:spacing w:after="0" w:line="242" w:lineRule="auto"/>
        <w:tabs>
          <w:tab w:leader="none" w:pos="126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Disposition</w:t>
      </w:r>
      <w:r>
        <w:rPr>
          <w:rFonts w:ascii="Times New Roman" w:cs="Times New Roman" w:eastAsia="Times New Roman" w:hAnsi="Times New Roman"/>
          <w:sz w:val="20"/>
          <w:szCs w:val="20"/>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98" w:lineRule="exact"/>
        <w:rPr>
          <w:rFonts w:ascii="Times New Roman" w:cs="Times New Roman" w:eastAsia="Times New Roman" w:hAnsi="Times New Roman"/>
          <w:sz w:val="20"/>
          <w:szCs w:val="20"/>
          <w:color w:val="auto"/>
        </w:rPr>
      </w:pPr>
    </w:p>
    <w:p>
      <w:pPr>
        <w:ind w:left="1280" w:right="20" w:hanging="313"/>
        <w:spacing w:after="0" w:line="233" w:lineRule="auto"/>
        <w:tabs>
          <w:tab w:leader="none" w:pos="127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01" w:lineRule="exact"/>
        <w:rPr>
          <w:rFonts w:ascii="Times New Roman" w:cs="Times New Roman" w:eastAsia="Times New Roman" w:hAnsi="Times New Roman"/>
          <w:sz w:val="20"/>
          <w:szCs w:val="20"/>
          <w:color w:val="auto"/>
        </w:rPr>
      </w:pPr>
    </w:p>
    <w:p>
      <w:pPr>
        <w:ind w:left="640" w:right="180" w:hanging="313"/>
        <w:spacing w:after="0" w:line="236" w:lineRule="auto"/>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Option.</w:t>
      </w:r>
      <w:r>
        <w:rPr>
          <w:rFonts w:ascii="Times New Roman" w:cs="Times New Roman" w:eastAsia="Times New Roman" w:hAnsi="Times New Roman"/>
          <w:sz w:val="20"/>
          <w:szCs w:val="20"/>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199" w:lineRule="exact"/>
        <w:rPr>
          <w:rFonts w:ascii="Times New Roman" w:cs="Times New Roman" w:eastAsia="Times New Roman" w:hAnsi="Times New Roman"/>
          <w:sz w:val="20"/>
          <w:szCs w:val="20"/>
          <w:color w:val="auto"/>
        </w:rPr>
      </w:pPr>
    </w:p>
    <w:p>
      <w:pPr>
        <w:ind w:left="1280" w:right="20" w:hanging="313"/>
        <w:spacing w:after="0" w:line="237" w:lineRule="auto"/>
        <w:tabs>
          <w:tab w:leader="none" w:pos="126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12" w:lineRule="exact"/>
        <w:rPr>
          <w:rFonts w:ascii="Times New Roman" w:cs="Times New Roman" w:eastAsia="Times New Roman" w:hAnsi="Times New Roman"/>
          <w:sz w:val="20"/>
          <w:szCs w:val="20"/>
          <w:color w:val="auto"/>
        </w:rPr>
      </w:pPr>
    </w:p>
    <w:p>
      <w:pPr>
        <w:ind w:left="1280" w:hanging="313"/>
        <w:spacing w:after="0" w:line="233" w:lineRule="auto"/>
        <w:tabs>
          <w:tab w:leader="none" w:pos="12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Disabled Participant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ACTIVE/106709415.3</w:t>
      </w:r>
      <w:r>
        <w:rPr>
          <w:sz w:val="20"/>
          <w:szCs w:val="20"/>
          <w:color w:val="auto"/>
        </w:rPr>
        <w:tab/>
      </w:r>
      <w:r>
        <w:rPr>
          <w:rFonts w:ascii="Arial" w:cs="Arial" w:eastAsia="Arial" w:hAnsi="Arial"/>
          <w:sz w:val="18"/>
          <w:szCs w:val="18"/>
          <w:color w:val="auto"/>
        </w:rPr>
        <w:t>2</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80" w:right="100" w:hanging="313"/>
        <w:spacing w:after="0" w:line="237" w:lineRule="auto"/>
        <w:tabs>
          <w:tab w:leader="none" w:pos="126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termination of employment by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16" w:lineRule="exact"/>
        <w:rPr>
          <w:rFonts w:ascii="Times New Roman" w:cs="Times New Roman" w:eastAsia="Times New Roman" w:hAnsi="Times New Roman"/>
          <w:sz w:val="20"/>
          <w:szCs w:val="20"/>
          <w:color w:val="auto"/>
        </w:rPr>
      </w:pPr>
    </w:p>
    <w:p>
      <w:pPr>
        <w:ind w:left="1280" w:right="60" w:hanging="313"/>
        <w:spacing w:after="0" w:line="258"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Upon the termination of the Participant’s employment with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200" w:lineRule="exact"/>
        <w:rPr>
          <w:sz w:val="20"/>
          <w:szCs w:val="20"/>
          <w:color w:val="auto"/>
        </w:rPr>
      </w:pPr>
    </w:p>
    <w:p>
      <w:pPr>
        <w:spacing w:after="0" w:line="221" w:lineRule="exact"/>
        <w:rPr>
          <w:sz w:val="20"/>
          <w:szCs w:val="20"/>
          <w:color w:val="auto"/>
        </w:rPr>
      </w:pPr>
    </w:p>
    <w:p>
      <w:pPr>
        <w:ind w:right="220" w:firstLine="640"/>
        <w:spacing w:after="0" w:line="248" w:lineRule="auto"/>
        <w:rPr>
          <w:sz w:val="20"/>
          <w:szCs w:val="20"/>
          <w:color w:val="auto"/>
        </w:rPr>
      </w:pPr>
      <w:r>
        <w:rPr>
          <w:rFonts w:ascii="Times New Roman" w:cs="Times New Roman" w:eastAsia="Times New Roman" w:hAnsi="Times New Roman"/>
          <w:sz w:val="20"/>
          <w:szCs w:val="20"/>
          <w:color w:val="auto"/>
        </w:rPr>
        <w:t>The Committee’s determination of the reason for termination of the Participant’s employment shall be conclusive and binding on the Participant and his or her representatives or legatees.</w:t>
      </w:r>
    </w:p>
    <w:p>
      <w:pPr>
        <w:spacing w:after="0" w:line="205" w:lineRule="exact"/>
        <w:rPr>
          <w:sz w:val="20"/>
          <w:szCs w:val="20"/>
          <w:color w:val="auto"/>
        </w:rPr>
      </w:pPr>
    </w:p>
    <w:p>
      <w:pPr>
        <w:ind w:left="1280" w:right="40" w:hanging="313"/>
        <w:spacing w:after="0" w:line="261" w:lineRule="auto"/>
        <w:tabs>
          <w:tab w:leader="none" w:pos="1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Exercise Period</w:t>
      </w:r>
      <w:r>
        <w:rPr>
          <w:rFonts w:ascii="Times New Roman" w:cs="Times New Roman" w:eastAsia="Times New Roman" w:hAnsi="Times New Roman"/>
          <w:sz w:val="18"/>
          <w:szCs w:val="18"/>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w:t>
      </w:r>
    </w:p>
    <w:p>
      <w:pPr>
        <w:ind w:left="1280"/>
        <w:spacing w:after="0" w:line="223" w:lineRule="auto"/>
        <w:rPr>
          <w:sz w:val="20"/>
          <w:szCs w:val="20"/>
          <w:color w:val="auto"/>
        </w:rPr>
      </w:pPr>
      <w:r>
        <w:rPr>
          <w:rFonts w:ascii="Times New Roman" w:cs="Times New Roman" w:eastAsia="Times New Roman" w:hAnsi="Times New Roman"/>
          <w:sz w:val="20"/>
          <w:szCs w:val="20"/>
          <w:color w:val="auto"/>
        </w:rPr>
        <w:t>any Company policy related thereto), the time period to exercise the Option shall be extended until the later of (i) forty-five</w:t>
      </w:r>
    </w:p>
    <w:p>
      <w:pPr>
        <w:ind w:left="1280"/>
        <w:spacing w:after="0" w:line="292" w:lineRule="auto"/>
        <w:rPr>
          <w:sz w:val="20"/>
          <w:szCs w:val="20"/>
          <w:color w:val="auto"/>
        </w:rPr>
      </w:pPr>
      <w:r>
        <w:rPr>
          <w:rFonts w:ascii="Times New Roman" w:cs="Times New Roman" w:eastAsia="Times New Roman" w:hAnsi="Times New Roman"/>
          <w:sz w:val="18"/>
          <w:szCs w:val="18"/>
          <w:color w:val="auto"/>
        </w:rPr>
        <w:t>(45)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54"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37"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Effect on Option</w:t>
      </w:r>
      <w:r>
        <w:rPr>
          <w:rFonts w:ascii="Times New Roman" w:cs="Times New Roman" w:eastAsia="Times New Roman" w:hAnsi="Times New Roman"/>
          <w:sz w:val="20"/>
          <w:szCs w:val="20"/>
          <w:color w:val="auto"/>
        </w:rPr>
        <w:t>. In the event of a Change in Control, to the extent the successor company (or a subsidiary or parent thereof)</w:t>
      </w:r>
    </w:p>
    <w:p>
      <w:pPr>
        <w:spacing w:after="0" w:line="5" w:lineRule="exact"/>
        <w:rPr>
          <w:rFonts w:ascii="Times New Roman" w:cs="Times New Roman" w:eastAsia="Times New Roman" w:hAnsi="Times New Roman"/>
          <w:sz w:val="20"/>
          <w:szCs w:val="20"/>
          <w:color w:val="auto"/>
        </w:rPr>
      </w:pPr>
    </w:p>
    <w:p>
      <w:pPr>
        <w:ind w:left="1280" w:right="4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ACTIVE/106709415.3</w:t>
      </w:r>
      <w:r>
        <w:rPr>
          <w:sz w:val="20"/>
          <w:szCs w:val="20"/>
          <w:color w:val="auto"/>
        </w:rPr>
        <w:tab/>
      </w:r>
      <w:r>
        <w:rPr>
          <w:rFonts w:ascii="Arial" w:cs="Arial" w:eastAsia="Arial" w:hAnsi="Arial"/>
          <w:sz w:val="18"/>
          <w:szCs w:val="18"/>
          <w:color w:val="auto"/>
        </w:rPr>
        <w:t>3</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240"/>
        <w:spacing w:after="0" w:line="302" w:lineRule="auto"/>
        <w:rPr>
          <w:sz w:val="20"/>
          <w:szCs w:val="20"/>
          <w:color w:val="auto"/>
        </w:rPr>
      </w:pPr>
      <w:r>
        <w:rPr>
          <w:rFonts w:ascii="Times New Roman" w:cs="Times New Roman" w:eastAsia="Times New Roman" w:hAnsi="Times New Roman"/>
          <w:sz w:val="18"/>
          <w:szCs w:val="18"/>
          <w:color w:val="auto"/>
        </w:rPr>
        <w:t>become fully vested and exercisable, and may be exercised by the Participant at any time prior to the expiration date of such Option or within three months of the Participant’s date of termination of employment, whichever is the shorter period.</w:t>
      </w:r>
    </w:p>
    <w:p>
      <w:pPr>
        <w:spacing w:after="0" w:line="160" w:lineRule="exact"/>
        <w:rPr>
          <w:sz w:val="20"/>
          <w:szCs w:val="20"/>
          <w:color w:val="auto"/>
        </w:rPr>
      </w:pPr>
    </w:p>
    <w:p>
      <w:pPr>
        <w:ind w:right="360" w:firstLine="640"/>
        <w:spacing w:after="0" w:line="302" w:lineRule="auto"/>
        <w:rPr>
          <w:sz w:val="20"/>
          <w:szCs w:val="20"/>
          <w:color w:val="auto"/>
        </w:rPr>
      </w:pPr>
      <w:r>
        <w:rPr>
          <w:rFonts w:ascii="Times New Roman" w:cs="Times New Roman" w:eastAsia="Times New Roman" w:hAnsi="Times New Roman"/>
          <w:sz w:val="18"/>
          <w:szCs w:val="18"/>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60" w:lineRule="exact"/>
        <w:rPr>
          <w:sz w:val="20"/>
          <w:szCs w:val="20"/>
          <w:color w:val="auto"/>
        </w:rPr>
      </w:pPr>
    </w:p>
    <w:p>
      <w:pPr>
        <w:ind w:left="1280" w:right="20" w:hanging="313"/>
        <w:spacing w:after="0" w:line="231" w:lineRule="auto"/>
        <w:tabs>
          <w:tab w:leader="none" w:pos="128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4" w:lineRule="exact"/>
        <w:rPr>
          <w:rFonts w:ascii="Times New Roman" w:cs="Times New Roman" w:eastAsia="Times New Roman" w:hAnsi="Times New Roman"/>
          <w:sz w:val="20"/>
          <w:szCs w:val="20"/>
          <w:color w:val="auto"/>
        </w:rPr>
      </w:pPr>
    </w:p>
    <w:p>
      <w:pPr>
        <w:ind w:left="1280" w:right="80" w:hanging="313"/>
        <w:spacing w:after="0" w:line="236" w:lineRule="auto"/>
        <w:tabs>
          <w:tab w:leader="none" w:pos="126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 or Plan</w:t>
      </w:r>
      <w:r>
        <w:rPr>
          <w:rFonts w:ascii="Times New Roman" w:cs="Times New Roman" w:eastAsia="Times New Roman" w:hAnsi="Times New Roman"/>
          <w:sz w:val="20"/>
          <w:szCs w:val="20"/>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16"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left="1280" w:right="40" w:hanging="313"/>
        <w:spacing w:after="0" w:line="262" w:lineRule="auto"/>
        <w:tabs>
          <w:tab w:leader="none" w:pos="126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of Stockholder</w:t>
      </w:r>
      <w:r>
        <w:rPr>
          <w:rFonts w:ascii="Times New Roman" w:cs="Times New Roman" w:eastAsia="Times New Roman" w:hAnsi="Times New Roman"/>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178" w:lineRule="exact"/>
        <w:rPr>
          <w:rFonts w:ascii="Times New Roman" w:cs="Times New Roman" w:eastAsia="Times New Roman" w:hAnsi="Times New Roman"/>
          <w:sz w:val="20"/>
          <w:szCs w:val="20"/>
          <w:color w:val="auto"/>
        </w:rPr>
      </w:pPr>
    </w:p>
    <w:p>
      <w:pPr>
        <w:ind w:left="1280" w:right="60" w:hanging="313"/>
        <w:spacing w:after="0" w:line="233" w:lineRule="auto"/>
        <w:tabs>
          <w:tab w:leader="none" w:pos="128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Option</w:t>
      </w:r>
      <w:r>
        <w:rPr>
          <w:rFonts w:ascii="Times New Roman" w:cs="Times New Roman" w:eastAsia="Times New Roman" w:hAnsi="Times New Roman"/>
          <w:sz w:val="20"/>
          <w:szCs w:val="20"/>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ACTIVE/106709415.3</w:t>
      </w:r>
      <w:r>
        <w:rPr>
          <w:sz w:val="20"/>
          <w:szCs w:val="20"/>
          <w:color w:val="auto"/>
        </w:rPr>
        <w:tab/>
      </w:r>
      <w:r>
        <w:rPr>
          <w:rFonts w:ascii="Arial" w:cs="Arial" w:eastAsia="Arial" w:hAnsi="Arial"/>
          <w:sz w:val="18"/>
          <w:szCs w:val="18"/>
          <w:color w:val="auto"/>
        </w:rPr>
        <w:t>4</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80" w:right="120" w:hanging="313"/>
        <w:spacing w:after="0" w:line="236" w:lineRule="auto"/>
        <w:tabs>
          <w:tab w:leader="none" w:pos="12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216" w:lineRule="exact"/>
        <w:rPr>
          <w:rFonts w:ascii="Times New Roman" w:cs="Times New Roman" w:eastAsia="Times New Roman" w:hAnsi="Times New Roman"/>
          <w:sz w:val="20"/>
          <w:szCs w:val="20"/>
          <w:color w:val="auto"/>
        </w:rPr>
      </w:pPr>
    </w:p>
    <w:p>
      <w:pPr>
        <w:ind w:left="1280" w:right="160" w:hanging="313"/>
        <w:spacing w:after="0" w:line="248" w:lineRule="auto"/>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Michigan, other than its conflict of laws principles.</w:t>
      </w:r>
    </w:p>
    <w:p>
      <w:pPr>
        <w:spacing w:after="0" w:line="205" w:lineRule="exact"/>
        <w:rPr>
          <w:rFonts w:ascii="Times New Roman" w:cs="Times New Roman" w:eastAsia="Times New Roman" w:hAnsi="Times New Roman"/>
          <w:sz w:val="20"/>
          <w:szCs w:val="20"/>
          <w:color w:val="auto"/>
        </w:rPr>
      </w:pPr>
    </w:p>
    <w:p>
      <w:pPr>
        <w:ind w:left="1280" w:right="80" w:hanging="313"/>
        <w:spacing w:after="0" w:line="248" w:lineRule="auto"/>
        <w:tabs>
          <w:tab w:leader="none" w:pos="12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for reference purposes only and shall not affect the meaning or interpretation of this Agreement.</w:t>
      </w:r>
    </w:p>
    <w:p>
      <w:pPr>
        <w:spacing w:after="0" w:line="191" w:lineRule="exact"/>
        <w:rPr>
          <w:rFonts w:ascii="Times New Roman" w:cs="Times New Roman" w:eastAsia="Times New Roman" w:hAnsi="Times New Roman"/>
          <w:sz w:val="20"/>
          <w:szCs w:val="20"/>
          <w:color w:val="auto"/>
        </w:rPr>
      </w:pPr>
    </w:p>
    <w:p>
      <w:pPr>
        <w:ind w:left="1280" w:right="40" w:hanging="313"/>
        <w:spacing w:after="0" w:line="242" w:lineRule="auto"/>
        <w:tabs>
          <w:tab w:leader="none" w:pos="127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Notices to the Company should be addressed 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64 Sidney Street</w:t>
      </w:r>
    </w:p>
    <w:p>
      <w:pPr>
        <w:ind w:left="640"/>
        <w:spacing w:after="0" w:line="222" w:lineRule="auto"/>
        <w:rPr>
          <w:sz w:val="20"/>
          <w:szCs w:val="20"/>
          <w:color w:val="auto"/>
        </w:rPr>
      </w:pPr>
      <w:r>
        <w:rPr>
          <w:rFonts w:ascii="Times New Roman" w:cs="Times New Roman" w:eastAsia="Times New Roman" w:hAnsi="Times New Roman"/>
          <w:sz w:val="20"/>
          <w:szCs w:val="20"/>
          <w:color w:val="auto"/>
        </w:rPr>
        <w:t>Cambridge, MA 02139</w:t>
      </w:r>
    </w:p>
    <w:p>
      <w:pPr>
        <w:ind w:left="640"/>
        <w:spacing w:after="0" w:line="237" w:lineRule="auto"/>
        <w:rPr>
          <w:sz w:val="20"/>
          <w:szCs w:val="20"/>
          <w:color w:val="auto"/>
        </w:rPr>
      </w:pPr>
      <w:r>
        <w:rPr>
          <w:rFonts w:ascii="Times New Roman" w:cs="Times New Roman" w:eastAsia="Times New Roman" w:hAnsi="Times New Roman"/>
          <w:sz w:val="20"/>
          <w:szCs w:val="20"/>
          <w:color w:val="auto"/>
        </w:rPr>
        <w:t>Attention: Chief Financial Officer</w:t>
      </w:r>
    </w:p>
    <w:p>
      <w:pPr>
        <w:ind w:left="640"/>
        <w:spacing w:after="0"/>
        <w:rPr>
          <w:sz w:val="20"/>
          <w:szCs w:val="20"/>
          <w:color w:val="auto"/>
        </w:rPr>
      </w:pPr>
      <w:r>
        <w:rPr>
          <w:rFonts w:ascii="Times New Roman" w:cs="Times New Roman" w:eastAsia="Times New Roman" w:hAnsi="Times New Roman"/>
          <w:sz w:val="20"/>
          <w:szCs w:val="20"/>
          <w:color w:val="auto"/>
        </w:rPr>
        <w:t>Notice to the Participant should be addressed to the Participant at the Participant’s address as it appears on the Company’s records.</w:t>
      </w:r>
    </w:p>
    <w:p>
      <w:pPr>
        <w:spacing w:after="0" w:line="202" w:lineRule="exact"/>
        <w:rPr>
          <w:sz w:val="20"/>
          <w:szCs w:val="20"/>
          <w:color w:val="auto"/>
        </w:rPr>
      </w:pPr>
    </w:p>
    <w:p>
      <w:pPr>
        <w:jc w:val="both"/>
        <w:ind w:right="520" w:firstLine="640"/>
        <w:spacing w:after="0" w:line="242" w:lineRule="auto"/>
        <w:rPr>
          <w:sz w:val="20"/>
          <w:szCs w:val="20"/>
          <w:color w:val="auto"/>
        </w:rPr>
      </w:pPr>
      <w:r>
        <w:rPr>
          <w:rFonts w:ascii="Times New Roman" w:cs="Times New Roman" w:eastAsia="Times New Roman" w:hAnsi="Times New Roman"/>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98" w:lineRule="exact"/>
        <w:rPr>
          <w:sz w:val="20"/>
          <w:szCs w:val="20"/>
          <w:color w:val="auto"/>
        </w:rPr>
      </w:pPr>
    </w:p>
    <w:p>
      <w:pPr>
        <w:jc w:val="both"/>
        <w:ind w:left="1280" w:right="180" w:hanging="313"/>
        <w:spacing w:after="0" w:line="242" w:lineRule="auto"/>
        <w:tabs>
          <w:tab w:leader="none" w:pos="12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211" w:lineRule="exact"/>
        <w:rPr>
          <w:rFonts w:ascii="Times New Roman" w:cs="Times New Roman" w:eastAsia="Times New Roman" w:hAnsi="Times New Roman"/>
          <w:sz w:val="20"/>
          <w:szCs w:val="20"/>
          <w:color w:val="auto"/>
        </w:rPr>
      </w:pPr>
    </w:p>
    <w:p>
      <w:pPr>
        <w:ind w:left="1280" w:right="40" w:hanging="313"/>
        <w:spacing w:after="0" w:line="232" w:lineRule="auto"/>
        <w:tabs>
          <w:tab w:leader="none" w:pos="12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ACTIVE/106709415.3</w:t>
      </w:r>
      <w:r>
        <w:rPr>
          <w:sz w:val="20"/>
          <w:szCs w:val="20"/>
          <w:color w:val="auto"/>
        </w:rPr>
        <w:tab/>
      </w:r>
      <w:r>
        <w:rPr>
          <w:rFonts w:ascii="Arial" w:cs="Arial" w:eastAsia="Arial" w:hAnsi="Arial"/>
          <w:sz w:val="18"/>
          <w:szCs w:val="18"/>
          <w:color w:val="auto"/>
        </w:rPr>
        <w:t>5</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820"/>
        <w:spacing w:after="0" w:line="248" w:lineRule="auto"/>
        <w:rPr>
          <w:sz w:val="20"/>
          <w:szCs w:val="20"/>
          <w:color w:val="auto"/>
        </w:rPr>
      </w:pPr>
      <w:r>
        <w:rPr>
          <w:rFonts w:ascii="Times New Roman" w:cs="Times New Roman" w:eastAsia="Times New Roman" w:hAnsi="Times New Roman"/>
          <w:sz w:val="20"/>
          <w:szCs w:val="20"/>
          <w:color w:val="auto"/>
        </w:rPr>
        <w:t>Relevant Companies consider appropriate. The Participant shall have access to, and the right to change, the Relevant Information. Relevant Information will only be used in accordance with applicable law.</w:t>
      </w:r>
    </w:p>
    <w:p>
      <w:pPr>
        <w:spacing w:after="0" w:line="205" w:lineRule="exact"/>
        <w:rPr>
          <w:sz w:val="20"/>
          <w:szCs w:val="20"/>
          <w:color w:val="auto"/>
        </w:rPr>
      </w:pPr>
    </w:p>
    <w:p>
      <w:pPr>
        <w:ind w:left="1280" w:right="120" w:hanging="313"/>
        <w:spacing w:after="0" w:line="242" w:lineRule="auto"/>
        <w:tabs>
          <w:tab w:leader="none" w:pos="127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Modification</w:t>
      </w:r>
      <w:r>
        <w:rPr>
          <w:rFonts w:ascii="Times New Roman" w:cs="Times New Roman" w:eastAsia="Times New Roman" w:hAnsi="Times New Roman"/>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2"/>
          <w:szCs w:val="12"/>
          <w:color w:val="auto"/>
        </w:rPr>
        <w:t>ACTIVE/106709415.3</w:t>
      </w:r>
      <w:r>
        <w:rPr>
          <w:sz w:val="20"/>
          <w:szCs w:val="20"/>
          <w:color w:val="auto"/>
        </w:rPr>
        <w:tab/>
      </w:r>
      <w:r>
        <w:rPr>
          <w:rFonts w:ascii="Arial" w:cs="Arial" w:eastAsia="Arial" w:hAnsi="Arial"/>
          <w:sz w:val="18"/>
          <w:szCs w:val="18"/>
          <w:color w:val="auto"/>
        </w:rPr>
        <w:t>6</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Vericel Corporation 2022 Omnibus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for Company Employees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 [[FIRSTNAME]] [[LASTNAME]]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of Restricted Stock Units: [[SHARESGRANTED]]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 [[GRANTDATE]]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Vesting Start Date: [[VESTINGSTARTDATE]]</w:t>
      </w:r>
    </w:p>
    <w:p>
      <w:pPr>
        <w:spacing w:after="0" w:line="23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Pursuant to the Vericel Corporation 2022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216" w:lineRule="exact"/>
        <w:rPr>
          <w:sz w:val="20"/>
          <w:szCs w:val="20"/>
          <w:color w:val="auto"/>
        </w:rPr>
      </w:pPr>
    </w:p>
    <w:p>
      <w:pPr>
        <w:ind w:left="640" w:right="20" w:hanging="313"/>
        <w:spacing w:after="0" w:line="236" w:lineRule="auto"/>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 of Award</w:t>
      </w:r>
      <w:r>
        <w:rPr>
          <w:rFonts w:ascii="Times New Roman" w:cs="Times New Roman" w:eastAsia="Times New Roman" w:hAnsi="Times New Roman"/>
          <w:sz w:val="20"/>
          <w:szCs w:val="20"/>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Paragraph 2 of this Agreement and (ii) Shares have been issued to the Participant in accordance with the terms of the Plan and this Agreement.</w:t>
      </w:r>
    </w:p>
    <w:p>
      <w:pPr>
        <w:spacing w:after="0" w:line="202" w:lineRule="exact"/>
        <w:rPr>
          <w:rFonts w:ascii="Times New Roman" w:cs="Times New Roman" w:eastAsia="Times New Roman" w:hAnsi="Times New Roman"/>
          <w:sz w:val="20"/>
          <w:szCs w:val="20"/>
          <w:color w:val="auto"/>
        </w:rPr>
      </w:pPr>
    </w:p>
    <w:p>
      <w:pPr>
        <w:ind w:left="640" w:right="60" w:hanging="313"/>
        <w:spacing w:after="0"/>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The restrictions and conditions of Paragraph 1 of this Agreement shall lapse as to 25% of the number of Restricted Stock Units on each of the first four anniversaries of the Vesting Start Date (each such date, a “Vesting Date”), provided that the Participant remains an employee of the Company or an Affiliate on the relevant Vesting Date. Subject to the terms of the Plan, the Committee may at any time accelerate the vesting schedule specified in this Paragraph 2.</w:t>
      </w:r>
    </w:p>
    <w:p>
      <w:pPr>
        <w:spacing w:after="0" w:line="200" w:lineRule="exact"/>
        <w:rPr>
          <w:rFonts w:ascii="Times New Roman" w:cs="Times New Roman" w:eastAsia="Times New Roman" w:hAnsi="Times New Roman"/>
          <w:sz w:val="20"/>
          <w:szCs w:val="20"/>
          <w:color w:val="auto"/>
        </w:rPr>
      </w:pPr>
    </w:p>
    <w:p>
      <w:pPr>
        <w:ind w:left="640" w:right="60" w:hanging="313"/>
        <w:spacing w:after="0" w:line="227" w:lineRule="exact"/>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Subject to the discretion of the Committee to permit continued vesting of the Restricted Stock Units, if the Participant’s employment with the Company and its Affiliates terminates for any reason other than the Participant’s death or Disability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 Upon termination of the Participant’s employment due to the Participant’s death or Disability, the restrictions and conditions of Paragraph 1 of this Agreement shall lapse as to 100% of the number of Restricted Stock Units. For purposes of this Award, “Disability” shall have the meaning set forth in Treas. Reg.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3(i)(4).</w:t>
      </w:r>
    </w:p>
    <w:p>
      <w:pPr>
        <w:spacing w:after="0" w:line="192" w:lineRule="exact"/>
        <w:rPr>
          <w:rFonts w:ascii="Times New Roman" w:cs="Times New Roman" w:eastAsia="Times New Roman" w:hAnsi="Times New Roman"/>
          <w:sz w:val="20"/>
          <w:szCs w:val="20"/>
          <w:color w:val="auto"/>
        </w:rPr>
      </w:pPr>
    </w:p>
    <w:p>
      <w:pPr>
        <w:ind w:left="640" w:right="260" w:hanging="313"/>
        <w:spacing w:after="0" w:line="236" w:lineRule="auto"/>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As soon as practicable following each Vesting Date (but in no event later than two and one-half months after the end of the year in which the Vesting Date occurs), the Company shall issue to the Participant the number of Shares equal to the aggregate number of Restricted Stock Units that have vested pursuant to Paragraph 2 of this Agreement on such date and the Participant shall thereafter have all the rights of a stockholder of the Company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ACTIVE/106709141.3</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hanging="313"/>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left="1280" w:hanging="313"/>
        <w:spacing w:after="0" w:line="232" w:lineRule="auto"/>
        <w:tabs>
          <w:tab w:leader="none" w:pos="126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Award</w:t>
      </w:r>
      <w:r>
        <w:rPr>
          <w:rFonts w:ascii="Times New Roman" w:cs="Times New Roman" w:eastAsia="Times New Roman" w:hAnsi="Times New Roman"/>
          <w:sz w:val="20"/>
          <w:szCs w:val="20"/>
          <w:color w:val="auto"/>
        </w:rPr>
        <w:t>. In the event of a Change in Control, to the extent the successor company (or a subsidiary or parent thereof) does not assume or substitute for the Award on substantially the same terms and conditions, the Award shall (i) vest and become nonforfeitable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Award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Award shall become fully vested and nonforfeitable on the date the Participant’s employment is terminated.</w:t>
      </w:r>
    </w:p>
    <w:p>
      <w:pPr>
        <w:spacing w:after="0" w:line="218" w:lineRule="exact"/>
        <w:rPr>
          <w:rFonts w:ascii="Times New Roman" w:cs="Times New Roman" w:eastAsia="Times New Roman" w:hAnsi="Times New Roman"/>
          <w:sz w:val="20"/>
          <w:szCs w:val="20"/>
          <w:color w:val="auto"/>
        </w:rPr>
      </w:pPr>
    </w:p>
    <w:p>
      <w:pPr>
        <w:ind w:left="1280" w:hanging="313"/>
        <w:spacing w:after="0" w:line="231" w:lineRule="auto"/>
        <w:tabs>
          <w:tab w:leader="none" w:pos="12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For purposes of this Agreement, except as otherwise provided in paragraph (d) of this Section,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 The Committee’s determination of the reason for termination of the Participant’s employment shall be conclusive and binding on the Participant and his or her representatives or legatees.</w:t>
      </w:r>
    </w:p>
    <w:p>
      <w:pPr>
        <w:spacing w:after="0" w:line="206" w:lineRule="exact"/>
        <w:rPr>
          <w:rFonts w:ascii="Times New Roman" w:cs="Times New Roman" w:eastAsia="Times New Roman" w:hAnsi="Times New Roman"/>
          <w:sz w:val="20"/>
          <w:szCs w:val="20"/>
          <w:color w:val="auto"/>
        </w:rPr>
      </w:pPr>
    </w:p>
    <w:p>
      <w:pPr>
        <w:ind w:left="1280" w:right="20" w:hanging="313"/>
        <w:spacing w:after="0" w:line="231" w:lineRule="auto"/>
        <w:tabs>
          <w:tab w:leader="none" w:pos="126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purposes of this Agreement, except as otherwise provided in paragraph (d)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 provided the Participant provides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ACTIVE/106709141.3</w:t>
      </w:r>
      <w:r>
        <w:rPr>
          <w:sz w:val="20"/>
          <w:szCs w:val="20"/>
          <w:color w:val="auto"/>
        </w:rPr>
        <w:tab/>
      </w:r>
      <w:r>
        <w:rPr>
          <w:rFonts w:ascii="Arial" w:cs="Arial" w:eastAsia="Arial" w:hAnsi="Arial"/>
          <w:sz w:val="20"/>
          <w:szCs w:val="20"/>
          <w:color w:val="auto"/>
        </w:rPr>
        <w:t>2</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60"/>
        <w:spacing w:after="0" w:line="248" w:lineRule="auto"/>
        <w:rPr>
          <w:sz w:val="20"/>
          <w:szCs w:val="20"/>
          <w:color w:val="auto"/>
        </w:rPr>
      </w:pPr>
      <w:r>
        <w:rPr>
          <w:rFonts w:ascii="Times New Roman" w:cs="Times New Roman" w:eastAsia="Times New Roman" w:hAnsi="Times New Roman"/>
          <w:sz w:val="20"/>
          <w:szCs w:val="20"/>
          <w:color w:val="auto"/>
        </w:rPr>
        <w:t>least ninety (90) days’ notice to the Company following the initial occurrence of any such event and the Company fails to cure such event within thirty (30) days thereafter.</w:t>
      </w:r>
    </w:p>
    <w:p>
      <w:pPr>
        <w:spacing w:after="0" w:line="205" w:lineRule="exact"/>
        <w:rPr>
          <w:sz w:val="20"/>
          <w:szCs w:val="20"/>
          <w:color w:val="auto"/>
        </w:rPr>
      </w:pPr>
    </w:p>
    <w:p>
      <w:pPr>
        <w:ind w:left="1280" w:right="80" w:hanging="313"/>
        <w:spacing w:after="0" w:line="236" w:lineRule="auto"/>
        <w:tabs>
          <w:tab w:leader="none" w:pos="12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 or Plan</w:t>
      </w:r>
      <w:r>
        <w:rPr>
          <w:rFonts w:ascii="Times New Roman" w:cs="Times New Roman" w:eastAsia="Times New Roman" w:hAnsi="Times New Roman"/>
          <w:sz w:val="20"/>
          <w:szCs w:val="20"/>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16" w:lineRule="exact"/>
        <w:rPr>
          <w:rFonts w:ascii="Times New Roman" w:cs="Times New Roman" w:eastAsia="Times New Roman" w:hAnsi="Times New Roman"/>
          <w:sz w:val="20"/>
          <w:szCs w:val="20"/>
          <w:color w:val="auto"/>
        </w:rPr>
      </w:pPr>
    </w:p>
    <w:p>
      <w:pPr>
        <w:ind w:left="640" w:right="180" w:hanging="313"/>
        <w:spacing w:after="0" w:line="236"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215" w:lineRule="exact"/>
        <w:rPr>
          <w:rFonts w:ascii="Times New Roman" w:cs="Times New Roman" w:eastAsia="Times New Roman" w:hAnsi="Times New Roman"/>
          <w:sz w:val="20"/>
          <w:szCs w:val="20"/>
          <w:color w:val="auto"/>
        </w:rPr>
      </w:pPr>
    </w:p>
    <w:p>
      <w:pPr>
        <w:ind w:left="640" w:right="60" w:hanging="313"/>
        <w:spacing w:after="0" w:line="234"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Participant shall, not later than the date as of which the receipt of this Award becomes a taxable event for Federal income tax purposes, pay to the Company or make arrangements satisfactory to the Committee for payment of any Federal, state, and local taxes required by law to be withheld on account of such taxable event. Unless otherwise determined by the Committee, the Company shall cause the required tax withholding obligation to be satisfied by withholding from Shares to be issued to the Participant a number of Shares with an aggregate Fair Market Value that would satisfy the withholding amount due.</w:t>
      </w:r>
    </w:p>
    <w:p>
      <w:pPr>
        <w:spacing w:after="0" w:line="213" w:lineRule="exact"/>
        <w:rPr>
          <w:rFonts w:ascii="Times New Roman" w:cs="Times New Roman" w:eastAsia="Times New Roman" w:hAnsi="Times New Roman"/>
          <w:sz w:val="20"/>
          <w:szCs w:val="20"/>
          <w:color w:val="auto"/>
        </w:rPr>
      </w:pPr>
    </w:p>
    <w:p>
      <w:pPr>
        <w:jc w:val="both"/>
        <w:ind w:left="640" w:right="280" w:hanging="313"/>
        <w:spacing w:after="0" w:line="242"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98" w:lineRule="exact"/>
        <w:rPr>
          <w:rFonts w:ascii="Times New Roman" w:cs="Times New Roman" w:eastAsia="Times New Roman" w:hAnsi="Times New Roman"/>
          <w:sz w:val="20"/>
          <w:szCs w:val="20"/>
          <w:color w:val="auto"/>
        </w:rPr>
      </w:pPr>
    </w:p>
    <w:p>
      <w:pPr>
        <w:ind w:left="640" w:hanging="313"/>
        <w:spacing w:after="0" w:line="236"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216" w:lineRule="exact"/>
        <w:rPr>
          <w:rFonts w:ascii="Times New Roman" w:cs="Times New Roman" w:eastAsia="Times New Roman" w:hAnsi="Times New Roman"/>
          <w:sz w:val="20"/>
          <w:szCs w:val="20"/>
          <w:color w:val="auto"/>
        </w:rPr>
      </w:pPr>
    </w:p>
    <w:p>
      <w:pPr>
        <w:ind w:left="640" w:right="360" w:hanging="313"/>
        <w:spacing w:after="0" w:line="248" w:lineRule="auto"/>
        <w:tabs>
          <w:tab w:leader="none" w:pos="63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Michigan, other than its conflict of laws principles.</w:t>
      </w:r>
    </w:p>
    <w:p>
      <w:pPr>
        <w:spacing w:after="0" w:line="205" w:lineRule="exact"/>
        <w:rPr>
          <w:rFonts w:ascii="Times New Roman" w:cs="Times New Roman" w:eastAsia="Times New Roman" w:hAnsi="Times New Roman"/>
          <w:sz w:val="20"/>
          <w:szCs w:val="20"/>
          <w:color w:val="auto"/>
        </w:rPr>
      </w:pPr>
    </w:p>
    <w:p>
      <w:pPr>
        <w:ind w:left="640" w:right="380" w:hanging="313"/>
        <w:spacing w:after="0" w:line="248" w:lineRule="auto"/>
        <w:tabs>
          <w:tab w:leader="none" w:pos="62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for reference purposes only and shall not affect the meaning or interpretation of this Agreement.</w:t>
      </w:r>
    </w:p>
    <w:p>
      <w:pPr>
        <w:spacing w:after="0" w:line="205" w:lineRule="exact"/>
        <w:rPr>
          <w:rFonts w:ascii="Times New Roman" w:cs="Times New Roman" w:eastAsia="Times New Roman" w:hAnsi="Times New Roman"/>
          <w:sz w:val="20"/>
          <w:szCs w:val="20"/>
          <w:color w:val="auto"/>
        </w:rPr>
      </w:pPr>
    </w:p>
    <w:p>
      <w:pPr>
        <w:ind w:left="640" w:hanging="313"/>
        <w:spacing w:after="0" w:line="236" w:lineRule="auto"/>
        <w:tabs>
          <w:tab w:leader="none" w:pos="63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15"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to the Company should be addressed to:</w:t>
      </w:r>
    </w:p>
    <w:p>
      <w:pPr>
        <w:spacing w:after="0" w:line="223" w:lineRule="exact"/>
        <w:rPr>
          <w:rFonts w:ascii="Times New Roman" w:cs="Times New Roman" w:eastAsia="Times New Roman" w:hAnsi="Times New Roman"/>
          <w:sz w:val="20"/>
          <w:szCs w:val="20"/>
          <w:color w:val="auto"/>
        </w:rPr>
      </w:pPr>
    </w:p>
    <w:p>
      <w:pPr>
        <w:ind w:left="640" w:right="878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Vericel Corporation 64 Sidney Street Cambridge, MA 02139</w:t>
      </w: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ACTIVE/106709141.3</w:t>
      </w:r>
      <w:r>
        <w:rPr>
          <w:sz w:val="20"/>
          <w:szCs w:val="20"/>
          <w:color w:val="auto"/>
        </w:rPr>
        <w:tab/>
      </w:r>
      <w:r>
        <w:rPr>
          <w:rFonts w:ascii="Arial" w:cs="Arial" w:eastAsia="Arial" w:hAnsi="Arial"/>
          <w:sz w:val="20"/>
          <w:szCs w:val="20"/>
          <w:color w:val="auto"/>
        </w:rPr>
        <w:t>3</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Notice to the Participant should be addressed to the Participant at the Participant’s address as it appears on the Company’s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records.</w:t>
      </w:r>
    </w:p>
    <w:p>
      <w:pPr>
        <w:spacing w:after="0" w:line="215" w:lineRule="exact"/>
        <w:rPr>
          <w:sz w:val="20"/>
          <w:szCs w:val="20"/>
          <w:color w:val="auto"/>
        </w:rPr>
      </w:pPr>
    </w:p>
    <w:p>
      <w:pPr>
        <w:ind w:right="60" w:firstLine="1281"/>
        <w:spacing w:after="0" w:line="242" w:lineRule="auto"/>
        <w:rPr>
          <w:sz w:val="20"/>
          <w:szCs w:val="20"/>
          <w:color w:val="auto"/>
        </w:rPr>
      </w:pPr>
      <w:r>
        <w:rPr>
          <w:rFonts w:ascii="Times New Roman" w:cs="Times New Roman" w:eastAsia="Times New Roman" w:hAnsi="Times New Roman"/>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98" w:lineRule="exact"/>
        <w:rPr>
          <w:sz w:val="20"/>
          <w:szCs w:val="20"/>
          <w:color w:val="auto"/>
        </w:rPr>
      </w:pPr>
    </w:p>
    <w:p>
      <w:pPr>
        <w:ind w:left="640" w:right="80" w:hanging="313"/>
        <w:spacing w:after="0" w:line="242" w:lineRule="auto"/>
        <w:tabs>
          <w:tab w:leader="none" w:pos="63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Affiliate is obligated by or as a result of the Plan or this Agreement to continue the Participant in employment and neither the Plan nor this Agreement shall interfere in any way with the right of the Company or any Affiliate to terminate the employment of the Participant at any time.</w:t>
      </w:r>
    </w:p>
    <w:p>
      <w:pPr>
        <w:spacing w:after="0" w:line="198" w:lineRule="exact"/>
        <w:rPr>
          <w:rFonts w:ascii="Times New Roman" w:cs="Times New Roman" w:eastAsia="Times New Roman" w:hAnsi="Times New Roman"/>
          <w:sz w:val="20"/>
          <w:szCs w:val="20"/>
          <w:color w:val="auto"/>
        </w:rPr>
      </w:pPr>
    </w:p>
    <w:p>
      <w:pPr>
        <w:ind w:left="640" w:hanging="313"/>
        <w:spacing w:after="0" w:line="242" w:lineRule="auto"/>
        <w:tabs>
          <w:tab w:leader="none" w:pos="63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Modification</w:t>
      </w:r>
      <w:r>
        <w:rPr>
          <w:rFonts w:ascii="Times New Roman" w:cs="Times New Roman" w:eastAsia="Times New Roman" w:hAnsi="Times New Roman"/>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11" w:lineRule="exact"/>
        <w:rPr>
          <w:rFonts w:ascii="Times New Roman" w:cs="Times New Roman" w:eastAsia="Times New Roman" w:hAnsi="Times New Roman"/>
          <w:sz w:val="20"/>
          <w:szCs w:val="20"/>
          <w:color w:val="auto"/>
        </w:rPr>
      </w:pPr>
    </w:p>
    <w:p>
      <w:pPr>
        <w:ind w:left="640" w:right="100" w:hanging="313"/>
        <w:spacing w:after="0" w:line="231" w:lineRule="auto"/>
        <w:tabs>
          <w:tab w:leader="none" w:pos="63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ACTIVE/106709141.3</w:t>
      </w:r>
      <w:r>
        <w:rPr>
          <w:sz w:val="20"/>
          <w:szCs w:val="20"/>
          <w:color w:val="auto"/>
        </w:rPr>
        <w:tab/>
      </w:r>
      <w:r>
        <w:rPr>
          <w:rFonts w:ascii="Arial" w:cs="Arial" w:eastAsia="Arial" w:hAnsi="Arial"/>
          <w:sz w:val="20"/>
          <w:szCs w:val="20"/>
          <w:color w:val="auto"/>
        </w:rPr>
        <w:t>4</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Vericel Corporation 2022 Omnibus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for Non-Employee Directors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-62865</wp:posOffset>
            </wp:positionV>
            <wp:extent cx="1745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-62865</wp:posOffset>
            </wp:positionV>
            <wp:extent cx="1745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-62865</wp:posOffset>
            </wp:positionV>
            <wp:extent cx="1745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-62865</wp:posOffset>
            </wp:positionV>
            <wp:extent cx="1745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20" w:firstLine="640"/>
        <w:spacing w:after="0" w:line="282" w:lineRule="auto"/>
        <w:rPr>
          <w:sz w:val="20"/>
          <w:szCs w:val="20"/>
          <w:color w:val="auto"/>
        </w:rPr>
      </w:pPr>
      <w:r>
        <w:rPr>
          <w:rFonts w:ascii="Times New Roman" w:cs="Times New Roman" w:eastAsia="Times New Roman" w:hAnsi="Times New Roman"/>
          <w:sz w:val="18"/>
          <w:szCs w:val="18"/>
          <w:color w:val="auto"/>
        </w:rPr>
        <w:t>Pursuant to the Vericel Corporation 2022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164" w:lineRule="exact"/>
        <w:rPr>
          <w:sz w:val="20"/>
          <w:szCs w:val="20"/>
          <w:color w:val="auto"/>
        </w:rPr>
      </w:pPr>
    </w:p>
    <w:p>
      <w:pPr>
        <w:jc w:val="both"/>
        <w:ind w:right="20" w:firstLine="640"/>
        <w:spacing w:after="0"/>
        <w:rPr>
          <w:sz w:val="20"/>
          <w:szCs w:val="20"/>
          <w:color w:val="auto"/>
        </w:rPr>
      </w:pPr>
      <w:r>
        <w:rPr>
          <w:rFonts w:ascii="Times New Roman" w:cs="Times New Roman" w:eastAsia="Times New Roman" w:hAnsi="Times New Roman"/>
          <w:sz w:val="20"/>
          <w:szCs w:val="20"/>
          <w:u w:val="single" w:color="auto"/>
          <w:color w:val="auto"/>
        </w:rPr>
        <w:t>Restrictions on Transfer of Award</w:t>
      </w:r>
      <w:r>
        <w:rPr>
          <w:rFonts w:ascii="Times New Roman" w:cs="Times New Roman" w:eastAsia="Times New Roman" w:hAnsi="Times New Roman"/>
          <w:sz w:val="20"/>
          <w:szCs w:val="20"/>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this Agreement and (ii) Shares have been issued to the Participant in accordance with the terms of the Plan and this Agreement.</w:t>
      </w:r>
    </w:p>
    <w:p>
      <w:pPr>
        <w:spacing w:after="0" w:line="201" w:lineRule="exact"/>
        <w:rPr>
          <w:sz w:val="20"/>
          <w:szCs w:val="20"/>
          <w:color w:val="auto"/>
        </w:rPr>
      </w:pPr>
    </w:p>
    <w:p>
      <w:pPr>
        <w:ind w:right="100" w:firstLine="640"/>
        <w:spacing w:after="0" w:line="234" w:lineRule="auto"/>
        <w:rPr>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The restrictions and conditions of Paragraph 1 of this Agreement shall lapse as to [100% of the number of Restricted Stock Units on the earlier of the first anniversary of the Vesting Start Date or the date of the first Annual Meeting of Stockholders following the Vesting Start Date (such date, the “Vesting Date”), provided that the Participant is providing services to the Company as a Director on the relevant Vesting Date] OR [33% of the number of the Restricted Stock Units on each anniversary of the Vesting Start Date over a three-year period (such date, the “Vesting Date”), provided that the Participant is providing services to the Company as a Director on the relevant Vesting Date]. Subject to the terms of the Plan, the Committee may at any time accelerate the vesting schedule specified in this paragraph.</w:t>
      </w:r>
    </w:p>
    <w:p>
      <w:pPr>
        <w:spacing w:after="0" w:line="205" w:lineRule="exact"/>
        <w:rPr>
          <w:sz w:val="20"/>
          <w:szCs w:val="20"/>
          <w:color w:val="auto"/>
        </w:rPr>
      </w:pPr>
    </w:p>
    <w:p>
      <w:pPr>
        <w:ind w:right="40" w:firstLine="640"/>
        <w:spacing w:after="0" w:line="227" w:lineRule="exact"/>
        <w:rPr>
          <w:sz w:val="20"/>
          <w:szCs w:val="20"/>
          <w:color w:val="auto"/>
        </w:rPr>
      </w:pP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Subject to the discretion of the Committee to permit continued vesting of the Restricted Stock Units, if the Participant’s services as a Director terminates for any reason other than due to the Participant’s death or Disability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 Upon termination of the Participant’s services as a Director due to the Participant’s death or Disability, the restrictions and conditions of Paragraph 1 of this Agreement shall lapse as to 100% of the number of Restricted Stock Units. For purposes of this Award, “Disability” shall have the meaning set forth in Treas. Reg.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3(i)(4).</w:t>
      </w:r>
    </w:p>
    <w:p>
      <w:pPr>
        <w:spacing w:after="0" w:line="179" w:lineRule="exact"/>
        <w:rPr>
          <w:sz w:val="20"/>
          <w:szCs w:val="20"/>
          <w:color w:val="auto"/>
        </w:rPr>
      </w:pPr>
    </w:p>
    <w:p>
      <w:pPr>
        <w:ind w:right="200" w:firstLine="640"/>
        <w:spacing w:after="0"/>
        <w:rPr>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As soon as practicable following each Vesting Date (but in no event later than two and one-half months after the end of the year in which the Vesting Date occurs), the Company shall issue to the Participant the number of Shares equal to the aggregate number of Restricted Stock Units that have vested as provided in this Agreement on such date and the Participant shall thereafter have all the rights of a stockholder of the Company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ACTIVE/98683109.4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ACTIVE/106709081.2</w:t>
      </w:r>
    </w:p>
    <w:p>
      <w:pPr>
        <w:sectPr>
          <w:pgSz w:w="11900" w:h="16838" w:orient="portrait"/>
          <w:cols w:equalWidth="0" w:num="1">
            <w:col w:w="11240"/>
          </w:cols>
          <w:pgMar w:left="320" w:top="117" w:right="339" w:bottom="1440" w:gutter="0" w:footer="0" w:header="0"/>
        </w:sectPr>
      </w:pPr>
    </w:p>
    <w:bookmarkStart w:id="59" w:name="page60"/>
    <w:bookmarkEnd w:id="59"/>
    <w:p>
      <w:pPr>
        <w:spacing w:after="0" w:line="198" w:lineRule="exact"/>
        <w:rPr>
          <w:sz w:val="20"/>
          <w:szCs w:val="20"/>
          <w:color w:val="auto"/>
        </w:rPr>
      </w:pPr>
    </w:p>
    <w:p>
      <w:pPr>
        <w:jc w:val="both"/>
        <w:ind w:firstLine="640"/>
        <w:spacing w:after="0" w:line="242" w:lineRule="auto"/>
        <w:rPr>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the event of a Change in Control, the Award shall (i) become fully vested and nonforfeitable on the day prior to the date of the Change in Control if the Participant is then providing services to the Company as a Director and (ii) terminate on the date of the Change in Control.</w:t>
      </w:r>
    </w:p>
    <w:p>
      <w:pPr>
        <w:spacing w:after="0" w:line="198" w:lineRule="exact"/>
        <w:rPr>
          <w:sz w:val="20"/>
          <w:szCs w:val="20"/>
          <w:color w:val="auto"/>
        </w:rPr>
      </w:pPr>
    </w:p>
    <w:p>
      <w:pPr>
        <w:ind w:right="380" w:firstLine="640"/>
        <w:spacing w:after="0" w:line="242" w:lineRule="auto"/>
        <w:rPr>
          <w:sz w:val="20"/>
          <w:szCs w:val="20"/>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212" w:lineRule="exact"/>
        <w:rPr>
          <w:sz w:val="20"/>
          <w:szCs w:val="20"/>
          <w:color w:val="auto"/>
        </w:rPr>
      </w:pPr>
    </w:p>
    <w:p>
      <w:pPr>
        <w:ind w:right="280" w:firstLine="640"/>
        <w:spacing w:after="0" w:line="302" w:lineRule="auto"/>
        <w:rPr>
          <w:sz w:val="20"/>
          <w:szCs w:val="20"/>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sz w:val="20"/>
          <w:szCs w:val="20"/>
          <w:color w:val="auto"/>
        </w:rPr>
      </w:pPr>
    </w:p>
    <w:p>
      <w:pPr>
        <w:ind w:right="20" w:firstLine="640"/>
        <w:spacing w:after="0"/>
        <w:rPr>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201" w:lineRule="exact"/>
        <w:rPr>
          <w:sz w:val="20"/>
          <w:szCs w:val="20"/>
          <w:color w:val="auto"/>
        </w:rPr>
      </w:pPr>
    </w:p>
    <w:p>
      <w:pPr>
        <w:ind w:right="280"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Michigan, other than its conflict of laws principles.</w:t>
      </w:r>
    </w:p>
    <w:p>
      <w:pPr>
        <w:spacing w:after="0" w:line="205" w:lineRule="exact"/>
        <w:rPr>
          <w:sz w:val="20"/>
          <w:szCs w:val="20"/>
          <w:color w:val="auto"/>
        </w:rPr>
      </w:pPr>
    </w:p>
    <w:p>
      <w:pPr>
        <w:ind w:right="320"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for reference purposes only and shall not affect the meaning or interpretation of this Agreement.</w:t>
      </w:r>
    </w:p>
    <w:p>
      <w:pPr>
        <w:spacing w:after="0" w:line="205" w:lineRule="exact"/>
        <w:rPr>
          <w:sz w:val="20"/>
          <w:szCs w:val="20"/>
          <w:color w:val="auto"/>
        </w:rPr>
      </w:pPr>
    </w:p>
    <w:p>
      <w:pPr>
        <w:ind w:right="380" w:firstLine="640"/>
        <w:spacing w:after="0" w:line="242" w:lineRule="auto"/>
        <w:rPr>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Notices to the Company should be addressed 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64 Sidney Street</w:t>
      </w:r>
    </w:p>
    <w:p>
      <w:pPr>
        <w:ind w:left="640"/>
        <w:spacing w:after="0" w:line="236" w:lineRule="auto"/>
        <w:rPr>
          <w:sz w:val="20"/>
          <w:szCs w:val="20"/>
          <w:color w:val="auto"/>
        </w:rPr>
      </w:pPr>
      <w:r>
        <w:rPr>
          <w:rFonts w:ascii="Times New Roman" w:cs="Times New Roman" w:eastAsia="Times New Roman" w:hAnsi="Times New Roman"/>
          <w:sz w:val="20"/>
          <w:szCs w:val="20"/>
          <w:color w:val="auto"/>
        </w:rPr>
        <w:t>Cambridge, MA 02139</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Notice to the Participant should be addressed to the Participant at the Participant’s address as it appears on the Company’s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records.</w:t>
      </w:r>
    </w:p>
    <w:p>
      <w:pPr>
        <w:spacing w:after="0" w:line="202" w:lineRule="exact"/>
        <w:rPr>
          <w:sz w:val="20"/>
          <w:szCs w:val="20"/>
          <w:color w:val="auto"/>
        </w:rPr>
      </w:pPr>
    </w:p>
    <w:p>
      <w:pPr>
        <w:ind w:firstLine="1281"/>
        <w:spacing w:after="0" w:line="242" w:lineRule="auto"/>
        <w:rPr>
          <w:sz w:val="20"/>
          <w:szCs w:val="20"/>
          <w:color w:val="auto"/>
        </w:rPr>
      </w:pPr>
      <w:r>
        <w:rPr>
          <w:rFonts w:ascii="Times New Roman" w:cs="Times New Roman" w:eastAsia="Times New Roman" w:hAnsi="Times New Roman"/>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98" w:lineRule="exact"/>
        <w:rPr>
          <w:sz w:val="20"/>
          <w:szCs w:val="20"/>
          <w:color w:val="auto"/>
        </w:rPr>
      </w:pPr>
    </w:p>
    <w:p>
      <w:pPr>
        <w:ind w:right="540" w:firstLine="640"/>
        <w:spacing w:after="0" w:line="262" w:lineRule="auto"/>
        <w:rPr>
          <w:sz w:val="20"/>
          <w:szCs w:val="20"/>
          <w:color w:val="auto"/>
        </w:rPr>
      </w:pPr>
      <w:r>
        <w:rPr>
          <w:rFonts w:ascii="Times New Roman" w:cs="Times New Roman" w:eastAsia="Times New Roman" w:hAnsi="Times New Roman"/>
          <w:sz w:val="20"/>
          <w:szCs w:val="20"/>
          <w:u w:val="single" w:color="auto"/>
          <w:color w:val="auto"/>
        </w:rPr>
        <w:t>No Obligation to Continue as a Director</w:t>
      </w:r>
      <w:r>
        <w:rPr>
          <w:rFonts w:ascii="Times New Roman" w:cs="Times New Roman" w:eastAsia="Times New Roman" w:hAnsi="Times New Roman"/>
          <w:sz w:val="20"/>
          <w:szCs w:val="20"/>
          <w:color w:val="auto"/>
        </w:rPr>
        <w:t>. Neither the Plan nor this Award confers upon the Participant any rights with respect to continuance as a Director.</w:t>
      </w:r>
    </w:p>
    <w:p>
      <w:pPr>
        <w:spacing w:after="0" w:line="178" w:lineRule="exact"/>
        <w:rPr>
          <w:sz w:val="20"/>
          <w:szCs w:val="20"/>
          <w:color w:val="auto"/>
        </w:rPr>
      </w:pPr>
    </w:p>
    <w:p>
      <w:pPr>
        <w:ind w:right="160" w:firstLine="640"/>
        <w:spacing w:after="0" w:line="242" w:lineRule="auto"/>
        <w:rPr>
          <w:sz w:val="20"/>
          <w:szCs w:val="20"/>
          <w:color w:val="auto"/>
        </w:rPr>
      </w:pPr>
      <w:r>
        <w:rPr>
          <w:rFonts w:ascii="Times New Roman" w:cs="Times New Roman" w:eastAsia="Times New Roman" w:hAnsi="Times New Roman"/>
          <w:sz w:val="20"/>
          <w:szCs w:val="20"/>
          <w:u w:val="single" w:color="auto"/>
          <w:color w:val="auto"/>
        </w:rPr>
        <w:t>Entire Agreement; Modification</w:t>
      </w:r>
      <w:r>
        <w:rPr>
          <w:rFonts w:ascii="Times New Roman" w:cs="Times New Roman" w:eastAsia="Times New Roman" w:hAnsi="Times New Roman"/>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440" w:right="39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640"/>
        <w:spacing w:after="0" w:line="232" w:lineRule="auto"/>
        <w:rPr>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40" w:right="379" w:bottom="1440" w:gutter="0" w:footer="0" w:header="0"/>
        </w:sectPr>
      </w:pPr>
    </w:p>
    <w:bookmarkStart w:id="61" w:name="page62"/>
    <w:bookmarkEnd w:id="61"/>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parties have executed the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VERICEL CORPORATION</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 __________________________________________</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rPr>
          <w:sz w:val="20"/>
          <w:szCs w:val="20"/>
          <w:color w:val="auto"/>
        </w:rPr>
      </w:pPr>
      <w:r>
        <w:rPr>
          <w:rFonts w:ascii="Times New Roman" w:cs="Times New Roman" w:eastAsia="Times New Roman" w:hAnsi="Times New Roman"/>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39"/>
          </w:cols>
          <w:pgMar w:left="320" w:top="144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Non-Qualified Stock Option Award Agreement for Non-Employee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2022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Vericel Corporation 2022 Omnibus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Non-Qualified Stock Option Award Agreement for Non-Employee Directors</w:t>
      </w:r>
    </w:p>
    <w:p>
      <w:pPr>
        <w:spacing w:after="0" w:line="200" w:lineRule="exact"/>
        <w:rPr>
          <w:sz w:val="20"/>
          <w:szCs w:val="20"/>
          <w:color w:val="auto"/>
        </w:rPr>
      </w:pPr>
    </w:p>
    <w:p>
      <w:pPr>
        <w:spacing w:after="0" w:line="255" w:lineRule="exact"/>
        <w:rPr>
          <w:sz w:val="20"/>
          <w:szCs w:val="20"/>
          <w:color w:val="auto"/>
        </w:rPr>
      </w:pPr>
    </w:p>
    <w:p>
      <w:pPr>
        <w:ind w:right="480" w:firstLine="640"/>
        <w:spacing w:after="0" w:line="248" w:lineRule="auto"/>
        <w:rPr>
          <w:sz w:val="20"/>
          <w:szCs w:val="20"/>
          <w:color w:val="auto"/>
        </w:rPr>
      </w:pPr>
      <w:r>
        <w:rPr>
          <w:rFonts w:ascii="Times New Roman" w:cs="Times New Roman" w:eastAsia="Times New Roman" w:hAnsi="Times New Roman"/>
          <w:sz w:val="20"/>
          <w:szCs w:val="20"/>
          <w:color w:val="auto"/>
        </w:rPr>
        <w:t>AWARD AGREEMENT (the "Agreement"), effective as of [[GRANTDATE]] (the “Grant Date”), is entered into by and between Vericel Corporation, a Michigan corporation (the “Company”), and [[FIRSTNAME]] [[LASTNAME]] (the “Participant”).</w:t>
      </w:r>
    </w:p>
    <w:p>
      <w:pPr>
        <w:spacing w:after="0" w:line="205" w:lineRule="exact"/>
        <w:rPr>
          <w:sz w:val="20"/>
          <w:szCs w:val="20"/>
          <w:color w:val="auto"/>
        </w:rPr>
      </w:pPr>
    </w:p>
    <w:p>
      <w:pPr>
        <w:ind w:left="640" w:right="100" w:hanging="313"/>
        <w:spacing w:after="0" w:line="236"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The Company hereby grants to the Participant a non-qualified stock option (the “Option”) to purchase [[SHARESGRANTED]] shares of common stock of the Company, no par value (the “Shares”), at the exercise price of $[[GRANTPRICE]] per Share (the “Exercise Price”). The Option is not intended to qualify as an incentive stock option under Section 422 of the Code.</w:t>
      </w:r>
    </w:p>
    <w:p>
      <w:pPr>
        <w:spacing w:after="0" w:line="202" w:lineRule="exact"/>
        <w:rPr>
          <w:rFonts w:ascii="Times New Roman" w:cs="Times New Roman" w:eastAsia="Times New Roman" w:hAnsi="Times New Roman"/>
          <w:sz w:val="20"/>
          <w:szCs w:val="20"/>
          <w:color w:val="auto"/>
        </w:rPr>
      </w:pPr>
    </w:p>
    <w:p>
      <w:pPr>
        <w:jc w:val="both"/>
        <w:ind w:left="640" w:right="160" w:hanging="313"/>
        <w:spacing w:after="0" w:line="242"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Subject to the Plan</w:t>
      </w:r>
      <w:r>
        <w:rPr>
          <w:rFonts w:ascii="Times New Roman" w:cs="Times New Roman" w:eastAsia="Times New Roman" w:hAnsi="Times New Roman"/>
          <w:sz w:val="20"/>
          <w:szCs w:val="20"/>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198" w:lineRule="exact"/>
        <w:rPr>
          <w:rFonts w:ascii="Times New Roman" w:cs="Times New Roman" w:eastAsia="Times New Roman" w:hAnsi="Times New Roman"/>
          <w:sz w:val="20"/>
          <w:szCs w:val="20"/>
          <w:color w:val="auto"/>
        </w:rPr>
      </w:pPr>
    </w:p>
    <w:p>
      <w:pPr>
        <w:ind w:left="640" w:right="60" w:hanging="313"/>
        <w:spacing w:after="0" w:line="262"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Unless the Option terminates earlier pursuant to the provisions of this Agreement, the Option shall expire on the tenth anniversary of the Grant Date.</w:t>
      </w:r>
    </w:p>
    <w:p>
      <w:pPr>
        <w:spacing w:after="0" w:line="178" w:lineRule="exact"/>
        <w:rPr>
          <w:rFonts w:ascii="Times New Roman" w:cs="Times New Roman" w:eastAsia="Times New Roman" w:hAnsi="Times New Roman"/>
          <w:sz w:val="20"/>
          <w:szCs w:val="20"/>
          <w:color w:val="auto"/>
        </w:rPr>
      </w:pPr>
    </w:p>
    <w:p>
      <w:pPr>
        <w:ind w:left="640" w:right="60" w:hanging="313"/>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Subject to the discretion of the Committee to accelerate the exercisability of the Option, the Option shall become vested and exercisable [over a one-year period following the grant date, in twelve (12) equal monthly installments, provided that the Participant is then providing services to the Company as a Director] OR [over a three-year period following the grant date, in thirty-six (36) equal monthly installments, provided that the Participant is then providing services to the Company as a Director].</w:t>
      </w:r>
    </w:p>
    <w:p>
      <w:pPr>
        <w:spacing w:after="0" w:line="20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p>
    <w:p>
      <w:pPr>
        <w:spacing w:after="0" w:line="223" w:lineRule="exact"/>
        <w:rPr>
          <w:rFonts w:ascii="Times New Roman" w:cs="Times New Roman" w:eastAsia="Times New Roman" w:hAnsi="Times New Roman"/>
          <w:sz w:val="20"/>
          <w:szCs w:val="20"/>
          <w:color w:val="auto"/>
        </w:rPr>
      </w:pPr>
    </w:p>
    <w:p>
      <w:pPr>
        <w:ind w:right="140" w:firstLine="1288"/>
        <w:spacing w:after="0" w:line="236" w:lineRule="auto"/>
        <w:tabs>
          <w:tab w:leader="none" w:pos="154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Option may be exercised only in multiples of whole Shares and no fractional Shares shall be issued.</w:t>
      </w:r>
    </w:p>
    <w:p>
      <w:pPr>
        <w:spacing w:after="0" w:line="216" w:lineRule="exact"/>
        <w:rPr>
          <w:rFonts w:ascii="Times New Roman" w:cs="Times New Roman" w:eastAsia="Times New Roman" w:hAnsi="Times New Roman"/>
          <w:sz w:val="20"/>
          <w:szCs w:val="20"/>
          <w:color w:val="auto"/>
        </w:rPr>
      </w:pPr>
    </w:p>
    <w:p>
      <w:pPr>
        <w:ind w:right="120" w:firstLine="1288"/>
        <w:spacing w:after="0" w:line="234" w:lineRule="auto"/>
        <w:tabs>
          <w:tab w:leader="none" w:pos="155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213" w:lineRule="exact"/>
        <w:rPr>
          <w:rFonts w:ascii="Times New Roman" w:cs="Times New Roman" w:eastAsia="Times New Roman" w:hAnsi="Times New Roman"/>
          <w:sz w:val="20"/>
          <w:szCs w:val="20"/>
          <w:color w:val="auto"/>
        </w:rPr>
      </w:pPr>
    </w:p>
    <w:p>
      <w:pPr>
        <w:ind w:right="480" w:firstLine="1288"/>
        <w:spacing w:after="0" w:line="248" w:lineRule="auto"/>
        <w:tabs>
          <w:tab w:leader="none" w:pos="154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 Adjustments</w:t>
      </w:r>
      <w:r>
        <w:rPr>
          <w:rFonts w:ascii="Times New Roman" w:cs="Times New Roman" w:eastAsia="Times New Roman" w:hAnsi="Times New Roman"/>
          <w:sz w:val="20"/>
          <w:szCs w:val="20"/>
          <w:color w:val="auto"/>
        </w:rPr>
        <w:t>. The number of Shares subject to the Option and the Exercise Price shall be equitably and appropriately adjusted, if applicable, as provided in Section 11.2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hanging="313"/>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Option</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right="100" w:firstLine="1288"/>
        <w:spacing w:after="0" w:line="227" w:lineRule="exact"/>
        <w:tabs>
          <w:tab w:leader="none" w:pos="154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as a Board Member</w:t>
      </w:r>
      <w:r>
        <w:rPr>
          <w:rFonts w:ascii="Times New Roman" w:cs="Times New Roman" w:eastAsia="Times New Roman" w:hAnsi="Times New Roman"/>
          <w:sz w:val="20"/>
          <w:szCs w:val="20"/>
          <w:color w:val="auto"/>
        </w:rPr>
        <w:t>. Unless the Option has earlier terminated, the Option shall terminate in its entirety, regardless of whether the Option is vested, on the earlier of (i) twenty-four (24) months from the date that the Participant ceases to be a member of the Board of Directors or (ii) the original expiration date of the Option. Subject to the discretion of the Committee to permit continued vesting of the Option, if the Participant’s services as a Director terminates for any reason other than due to the Participant’s death or Disability prior to the satisfaction of the vesting conditions set forth in Paragraph 4 above, any portion of the Option that is not vested at the time the Participant ceases to be a Director shall immediately terminate and be of no further force or effect. Upon termination of the Participant’s services as a Director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3(i)(4).</w:t>
      </w:r>
    </w:p>
    <w:p>
      <w:pPr>
        <w:spacing w:after="0" w:line="192" w:lineRule="exact"/>
        <w:rPr>
          <w:rFonts w:ascii="Times New Roman" w:cs="Times New Roman" w:eastAsia="Times New Roman" w:hAnsi="Times New Roman"/>
          <w:sz w:val="20"/>
          <w:szCs w:val="20"/>
          <w:color w:val="auto"/>
        </w:rPr>
      </w:pPr>
    </w:p>
    <w:p>
      <w:pPr>
        <w:ind w:right="20" w:firstLine="1288"/>
        <w:spacing w:after="0" w:line="234" w:lineRule="auto"/>
        <w:tabs>
          <w:tab w:leader="none" w:pos="155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Exercise Period</w:t>
      </w:r>
      <w:r>
        <w:rPr>
          <w:rFonts w:ascii="Times New Roman" w:cs="Times New Roman" w:eastAsia="Times New Roman" w:hAnsi="Times New Roman"/>
          <w:sz w:val="20"/>
          <w:szCs w:val="20"/>
          <w:color w:val="auto"/>
        </w:rPr>
        <w:t>. Notwithstanding any provisions of paragraph (a) of this Section to the contrary, if exercise of the Option following termination of service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02"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37" w:lineRule="exact"/>
        <w:rPr>
          <w:rFonts w:ascii="Times New Roman" w:cs="Times New Roman" w:eastAsia="Times New Roman" w:hAnsi="Times New Roman"/>
          <w:sz w:val="20"/>
          <w:szCs w:val="20"/>
          <w:color w:val="auto"/>
        </w:rPr>
      </w:pPr>
    </w:p>
    <w:p>
      <w:pPr>
        <w:ind w:right="160" w:firstLine="1288"/>
        <w:spacing w:after="0" w:line="242" w:lineRule="auto"/>
        <w:tabs>
          <w:tab w:leader="none" w:pos="154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Option</w:t>
      </w:r>
      <w:r>
        <w:rPr>
          <w:rFonts w:ascii="Times New Roman" w:cs="Times New Roman" w:eastAsia="Times New Roman" w:hAnsi="Times New Roman"/>
          <w:sz w:val="20"/>
          <w:szCs w:val="20"/>
          <w:color w:val="auto"/>
        </w:rPr>
        <w:t>. In the event of a Change in Control, the Option shall (i) vest and become exercisable on the day prior to the date of the Change in Control if the Participant is then providing services to the Company or an Affiliate and (ii) terminate on the date of the Change in Control.</w:t>
      </w:r>
    </w:p>
    <w:p>
      <w:pPr>
        <w:spacing w:after="0" w:line="198" w:lineRule="exact"/>
        <w:rPr>
          <w:rFonts w:ascii="Times New Roman" w:cs="Times New Roman" w:eastAsia="Times New Roman" w:hAnsi="Times New Roman"/>
          <w:sz w:val="20"/>
          <w:szCs w:val="20"/>
          <w:color w:val="auto"/>
        </w:rPr>
      </w:pPr>
    </w:p>
    <w:p>
      <w:pPr>
        <w:ind w:right="160" w:firstLine="1288"/>
        <w:spacing w:after="0" w:line="302" w:lineRule="auto"/>
        <w:tabs>
          <w:tab w:leader="none" w:pos="15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ind w:right="560" w:firstLine="1288"/>
        <w:spacing w:after="0" w:line="262" w:lineRule="auto"/>
        <w:tabs>
          <w:tab w:leader="none" w:pos="154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of Stockholder</w:t>
      </w:r>
      <w:r>
        <w:rPr>
          <w:rFonts w:ascii="Times New Roman" w:cs="Times New Roman" w:eastAsia="Times New Roman" w:hAnsi="Times New Roman"/>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178" w:lineRule="exact"/>
        <w:rPr>
          <w:rFonts w:ascii="Times New Roman" w:cs="Times New Roman" w:eastAsia="Times New Roman" w:hAnsi="Times New Roman"/>
          <w:sz w:val="20"/>
          <w:szCs w:val="20"/>
          <w:color w:val="auto"/>
        </w:rPr>
      </w:pPr>
    </w:p>
    <w:p>
      <w:pPr>
        <w:ind w:firstLine="1288"/>
        <w:spacing w:after="0" w:line="264" w:lineRule="auto"/>
        <w:tabs>
          <w:tab w:leader="none" w:pos="15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Option</w:t>
      </w:r>
      <w:r>
        <w:rPr>
          <w:rFonts w:ascii="Times New Roman" w:cs="Times New Roman" w:eastAsia="Times New Roman" w:hAnsi="Times New Roman"/>
          <w:sz w:val="18"/>
          <w:szCs w:val="18"/>
          <w:color w:val="auto"/>
        </w:rPr>
        <w:t>. As set forth in paragraph 6 of this Agreement, at the time of a Participant’s death the Option shall become transferable by will or pursuant to the laws of descent and distribution. Further, the Option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180" w:lineRule="exact"/>
        <w:rPr>
          <w:rFonts w:ascii="Times New Roman" w:cs="Times New Roman" w:eastAsia="Times New Roman" w:hAnsi="Times New Roman"/>
          <w:sz w:val="18"/>
          <w:szCs w:val="18"/>
          <w:color w:val="auto"/>
        </w:rPr>
      </w:pPr>
    </w:p>
    <w:p>
      <w:pPr>
        <w:ind w:right="40" w:firstLine="1288"/>
        <w:spacing w:after="0" w:line="262" w:lineRule="auto"/>
        <w:tabs>
          <w:tab w:leader="none" w:pos="154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held unlawful or otherwise invalid or unenforceable in whole or in part by a court of competent jurisdiction,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98" w:lineRule="exact"/>
        <w:rPr>
          <w:sz w:val="20"/>
          <w:szCs w:val="20"/>
          <w:color w:val="auto"/>
        </w:rPr>
      </w:pPr>
    </w:p>
    <w:p>
      <w:pPr>
        <w:ind w:right="720" w:firstLine="1288"/>
        <w:spacing w:after="0" w:line="262" w:lineRule="auto"/>
        <w:tabs>
          <w:tab w:leader="none" w:pos="155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Michigan, other than its conflict of laws principles.</w:t>
      </w:r>
    </w:p>
    <w:p>
      <w:pPr>
        <w:spacing w:after="0" w:line="178" w:lineRule="exact"/>
        <w:rPr>
          <w:rFonts w:ascii="Times New Roman" w:cs="Times New Roman" w:eastAsia="Times New Roman" w:hAnsi="Times New Roman"/>
          <w:sz w:val="20"/>
          <w:szCs w:val="20"/>
          <w:color w:val="auto"/>
        </w:rPr>
      </w:pPr>
    </w:p>
    <w:p>
      <w:pPr>
        <w:ind w:left="1560" w:hanging="272"/>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w:t>
      </w:r>
    </w:p>
    <w:p>
      <w:pPr>
        <w:spacing w:after="0" w:line="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this Agreement.</w:t>
      </w:r>
    </w:p>
    <w:p>
      <w:pPr>
        <w:spacing w:after="0" w:line="201" w:lineRule="exact"/>
        <w:rPr>
          <w:rFonts w:ascii="Times New Roman" w:cs="Times New Roman" w:eastAsia="Times New Roman" w:hAnsi="Times New Roman"/>
          <w:sz w:val="18"/>
          <w:szCs w:val="18"/>
          <w:color w:val="auto"/>
        </w:rPr>
      </w:pPr>
    </w:p>
    <w:p>
      <w:pPr>
        <w:ind w:right="60" w:firstLine="1288"/>
        <w:spacing w:after="0" w:line="242" w:lineRule="auto"/>
        <w:tabs>
          <w:tab w:leader="none" w:pos="15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Notices to the Company should be addressed to:</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Vericel Corporation</w:t>
      </w:r>
    </w:p>
    <w:p>
      <w:pPr>
        <w:ind w:left="640"/>
        <w:spacing w:after="0" w:line="228" w:lineRule="auto"/>
        <w:rPr>
          <w:sz w:val="20"/>
          <w:szCs w:val="20"/>
          <w:color w:val="auto"/>
        </w:rPr>
      </w:pPr>
      <w:r>
        <w:rPr>
          <w:rFonts w:ascii="Times New Roman" w:cs="Times New Roman" w:eastAsia="Times New Roman" w:hAnsi="Times New Roman"/>
          <w:sz w:val="20"/>
          <w:szCs w:val="20"/>
          <w:color w:val="auto"/>
        </w:rPr>
        <w:t>64 Sidney Street</w:t>
      </w:r>
    </w:p>
    <w:p>
      <w:pPr>
        <w:ind w:left="640"/>
        <w:spacing w:after="0" w:line="237" w:lineRule="auto"/>
        <w:rPr>
          <w:sz w:val="20"/>
          <w:szCs w:val="20"/>
          <w:color w:val="auto"/>
        </w:rPr>
      </w:pPr>
      <w:r>
        <w:rPr>
          <w:rFonts w:ascii="Times New Roman" w:cs="Times New Roman" w:eastAsia="Times New Roman" w:hAnsi="Times New Roman"/>
          <w:sz w:val="20"/>
          <w:szCs w:val="20"/>
          <w:color w:val="auto"/>
        </w:rPr>
        <w:t>Cambridge, MA 02139</w:t>
      </w:r>
    </w:p>
    <w:p>
      <w:pPr>
        <w:ind w:left="64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Notice to the Participant should be addressed to the Participant at the Participant’s address as it appears on the Company’s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records.</w:t>
      </w:r>
    </w:p>
    <w:p>
      <w:pPr>
        <w:spacing w:after="0" w:line="202" w:lineRule="exact"/>
        <w:rPr>
          <w:sz w:val="20"/>
          <w:szCs w:val="20"/>
          <w:color w:val="auto"/>
        </w:rPr>
      </w:pPr>
    </w:p>
    <w:p>
      <w:pPr>
        <w:ind w:right="60" w:firstLine="1281"/>
        <w:spacing w:after="0" w:line="242" w:lineRule="auto"/>
        <w:rPr>
          <w:sz w:val="20"/>
          <w:szCs w:val="20"/>
          <w:color w:val="auto"/>
        </w:rPr>
      </w:pPr>
      <w:r>
        <w:rPr>
          <w:rFonts w:ascii="Times New Roman" w:cs="Times New Roman" w:eastAsia="Times New Roman" w:hAnsi="Times New Roman"/>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98" w:lineRule="exact"/>
        <w:rPr>
          <w:sz w:val="20"/>
          <w:szCs w:val="20"/>
          <w:color w:val="auto"/>
        </w:rPr>
      </w:pPr>
    </w:p>
    <w:p>
      <w:pPr>
        <w:ind w:right="460" w:firstLine="1288"/>
        <w:spacing w:after="0" w:line="262" w:lineRule="auto"/>
        <w:tabs>
          <w:tab w:leader="none" w:pos="155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as a Director</w:t>
      </w:r>
      <w:r>
        <w:rPr>
          <w:rFonts w:ascii="Times New Roman" w:cs="Times New Roman" w:eastAsia="Times New Roman" w:hAnsi="Times New Roman"/>
          <w:sz w:val="20"/>
          <w:szCs w:val="20"/>
          <w:color w:val="auto"/>
        </w:rPr>
        <w:t>. Neither the Plan nor this Option confers upon the Participant any rights with respect to continuance as a Director.</w:t>
      </w:r>
    </w:p>
    <w:p>
      <w:pPr>
        <w:spacing w:after="0" w:line="178" w:lineRule="exact"/>
        <w:rPr>
          <w:sz w:val="20"/>
          <w:szCs w:val="20"/>
          <w:color w:val="auto"/>
        </w:rPr>
      </w:pPr>
    </w:p>
    <w:p>
      <w:pPr>
        <w:ind w:right="100" w:firstLine="1288"/>
        <w:spacing w:after="0" w:line="242" w:lineRule="auto"/>
        <w:tabs>
          <w:tab w:leader="none" w:pos="155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Not a Contract</w:t>
      </w:r>
      <w:r>
        <w:rPr>
          <w:rFonts w:ascii="Times New Roman" w:cs="Times New Roman" w:eastAsia="Times New Roman" w:hAnsi="Times New Roman"/>
          <w:sz w:val="20"/>
          <w:szCs w:val="20"/>
          <w:color w:val="auto"/>
        </w:rPr>
        <w:t>. This Agreement (and the grant of the Option) is not an employment or service contract, and nothing in the Option shall be deemed to create in any way whatsoever any obligation on Participant’s part to continue his or her service, or of the Company or an Affiliate to continue Participant’s service.</w:t>
      </w:r>
    </w:p>
    <w:p>
      <w:pPr>
        <w:spacing w:after="0" w:line="211" w:lineRule="exact"/>
        <w:rPr>
          <w:rFonts w:ascii="Times New Roman" w:cs="Times New Roman" w:eastAsia="Times New Roman" w:hAnsi="Times New Roman"/>
          <w:sz w:val="20"/>
          <w:szCs w:val="20"/>
          <w:color w:val="auto"/>
        </w:rPr>
      </w:pPr>
    </w:p>
    <w:p>
      <w:pPr>
        <w:ind w:right="80" w:firstLine="1288"/>
        <w:spacing w:after="0" w:line="236" w:lineRule="auto"/>
        <w:tabs>
          <w:tab w:leader="none" w:pos="155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Modification</w:t>
      </w:r>
      <w:r>
        <w:rPr>
          <w:rFonts w:ascii="Times New Roman" w:cs="Times New Roman" w:eastAsia="Times New Roman" w:hAnsi="Times New Roman"/>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15" w:lineRule="exact"/>
        <w:rPr>
          <w:rFonts w:ascii="Times New Roman" w:cs="Times New Roman" w:eastAsia="Times New Roman" w:hAnsi="Times New Roman"/>
          <w:sz w:val="20"/>
          <w:szCs w:val="20"/>
          <w:color w:val="auto"/>
        </w:rPr>
      </w:pPr>
    </w:p>
    <w:p>
      <w:pPr>
        <w:ind w:right="100" w:firstLine="1288"/>
        <w:spacing w:after="0" w:line="233" w:lineRule="auto"/>
        <w:tabs>
          <w:tab w:leader="none" w:pos="151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WITNESS WHEREOF, the parties have executed the Agreement as of the date first above written.</w:t>
      </w:r>
    </w:p>
    <w:p>
      <w:pPr>
        <w:spacing w:after="0" w:line="2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VERICEL CORPORATION</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 __________________________________________</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40"/>
          </w:cols>
          <w:pgMar w:left="320" w:top="117" w:right="339" w:bottom="1440" w:gutter="0" w:footer="0" w:header="0"/>
        </w:sectPr>
      </w:pPr>
    </w:p>
    <w:bookmarkStart w:id="67" w:name="page68"/>
    <w:bookmarkEnd w:id="6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NOTICE OF EXERCISE OF</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STOCK OPTION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[____________________________]</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Pursuant to the Stock Option Agreement dated _________ __, 20__, under the Vericel Corporation 2022 Omnibus Incentive Plan,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exercises the right to purchase __________ shares of the common stock of Vericel Corporation and encloses: (i) payment of the</w:t>
      </w:r>
    </w:p>
    <w:p>
      <w:pPr>
        <w:spacing w:after="0" w:line="6"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20"/>
          <w:szCs w:val="20"/>
          <w:color w:val="auto"/>
        </w:rPr>
        <w:t>purchase price in full; and (ii) executed copies of any additional documents and agreements required by the Stock Option Agreement. All shares are to be issued to the undersigned in the name as printed below and delivered to the address shown.</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Dated:______________________________</w:t>
            </w:r>
          </w:p>
        </w:tc>
        <w:tc>
          <w:tcPr>
            <w:tcW w:w="56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Name____________________________</w:t>
            </w:r>
          </w:p>
        </w:tc>
      </w:tr>
      <w:tr>
        <w:trPr>
          <w:trHeight w:val="227"/>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40"/>
              <w:spacing w:after="0" w:line="227" w:lineRule="exact"/>
              <w:rPr>
                <w:sz w:val="20"/>
                <w:szCs w:val="20"/>
                <w:color w:val="auto"/>
              </w:rPr>
            </w:pPr>
            <w:r>
              <w:rPr>
                <w:rFonts w:ascii="Times New Roman" w:cs="Times New Roman" w:eastAsia="Times New Roman" w:hAnsi="Times New Roman"/>
                <w:sz w:val="20"/>
                <w:szCs w:val="20"/>
                <w:color w:val="auto"/>
              </w:rPr>
              <w:t>Address__________________________</w:t>
            </w:r>
          </w:p>
        </w:tc>
      </w:tr>
      <w:tr>
        <w:trPr>
          <w:trHeight w:val="213"/>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40"/>
              <w:spacing w:after="0" w:line="213" w:lineRule="exact"/>
              <w:rPr>
                <w:sz w:val="20"/>
                <w:szCs w:val="20"/>
                <w:color w:val="auto"/>
              </w:rPr>
            </w:pPr>
            <w:r>
              <w:rPr>
                <w:rFonts w:ascii="Times New Roman" w:cs="Times New Roman" w:eastAsia="Times New Roman" w:hAnsi="Times New Roman"/>
                <w:sz w:val="20"/>
                <w:szCs w:val="20"/>
                <w:color w:val="auto"/>
              </w:rPr>
              <w:t>________________________________</w:t>
            </w:r>
          </w:p>
        </w:tc>
      </w:tr>
      <w:tr>
        <w:trPr>
          <w:trHeight w:val="227"/>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40"/>
              <w:spacing w:after="0" w:line="227" w:lineRule="exact"/>
              <w:rPr>
                <w:sz w:val="20"/>
                <w:szCs w:val="20"/>
                <w:color w:val="auto"/>
              </w:rPr>
            </w:pPr>
            <w:r>
              <w:rPr>
                <w:rFonts w:ascii="Times New Roman" w:cs="Times New Roman" w:eastAsia="Times New Roman" w:hAnsi="Times New Roman"/>
                <w:sz w:val="20"/>
                <w:szCs w:val="20"/>
                <w:color w:val="auto"/>
              </w:rPr>
              <w:t>Signature:</w:t>
            </w:r>
          </w:p>
        </w:tc>
      </w:tr>
      <w:tr>
        <w:trPr>
          <w:trHeight w:val="213"/>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40"/>
              <w:spacing w:after="0" w:line="213" w:lineRule="exact"/>
              <w:rPr>
                <w:sz w:val="20"/>
                <w:szCs w:val="20"/>
                <w:color w:val="auto"/>
              </w:rPr>
            </w:pPr>
            <w:r>
              <w:rPr>
                <w:rFonts w:ascii="Times New Roman" w:cs="Times New Roman" w:eastAsia="Times New Roman" w:hAnsi="Times New Roman"/>
                <w:sz w:val="20"/>
                <w:szCs w:val="20"/>
                <w:color w:val="auto"/>
              </w:rPr>
              <w:t>________________________________</w:t>
            </w:r>
          </w:p>
        </w:tc>
      </w:tr>
      <w:tr>
        <w:trPr>
          <w:trHeight w:val="254"/>
        </w:trPr>
        <w:tc>
          <w:tcPr>
            <w:tcW w:w="5640" w:type="dxa"/>
            <w:vAlign w:val="bottom"/>
            <w:tcBorders>
              <w:left w:val="single" w:sz="8" w:color="auto"/>
              <w:right w:val="single" w:sz="8" w:color="auto"/>
            </w:tcBorders>
          </w:tcPr>
          <w:p>
            <w:pPr>
              <w:spacing w:after="0"/>
              <w:rPr>
                <w:sz w:val="22"/>
                <w:szCs w:val="22"/>
                <w:color w:val="auto"/>
              </w:rPr>
            </w:pP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Social Security Number:_____________</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Please print name as it is to appear on the stock certificate: </w:t>
      </w:r>
      <w:r>
        <w:rPr>
          <w:rFonts w:ascii="Arial" w:cs="Arial" w:eastAsia="Arial" w:hAnsi="Arial"/>
          <w:sz w:val="21"/>
          <w:szCs w:val="21"/>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ACTIVE/106709323.2</w:t>
      </w:r>
    </w:p>
    <w:p>
      <w:pPr>
        <w:sectPr>
          <w:pgSz w:w="11900" w:h="16838" w:orient="portrait"/>
          <w:cols w:equalWidth="0" w:num="1">
            <w:col w:w="11260"/>
          </w:cols>
          <w:pgMar w:left="320" w:top="117"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500" w:hanging="493"/>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19" w:lineRule="exact"/>
        <w:rPr>
          <w:rFonts w:ascii="Times New Roman" w:cs="Times New Roman" w:eastAsia="Times New Roman" w:hAnsi="Times New Roman"/>
          <w:sz w:val="18"/>
          <w:szCs w:val="18"/>
          <w:color w:val="auto"/>
        </w:rPr>
      </w:pPr>
    </w:p>
    <w:p>
      <w:pPr>
        <w:jc w:val="both"/>
        <w:ind w:right="400" w:firstLine="7"/>
        <w:spacing w:after="0" w:line="307" w:lineRule="auto"/>
        <w:tabs>
          <w:tab w:leader="none" w:pos="48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360" w:firstLine="7"/>
        <w:spacing w:after="0" w:line="277" w:lineRule="auto"/>
        <w:tabs>
          <w:tab w:leader="none" w:pos="4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7"/>
        <w:spacing w:after="0" w:line="262" w:lineRule="auto"/>
        <w:tabs>
          <w:tab w:leader="none" w:pos="4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40" w:firstLine="1168"/>
        <w:spacing w:after="0" w:line="262" w:lineRule="auto"/>
        <w:tabs>
          <w:tab w:leader="none" w:pos="14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120" w:firstLine="1168"/>
        <w:spacing w:after="0" w:line="262"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40" w:firstLine="1168"/>
        <w:spacing w:after="0" w:line="277" w:lineRule="auto"/>
        <w:tabs>
          <w:tab w:leader="none" w:pos="14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200" w:firstLine="1168"/>
        <w:spacing w:after="0" w:line="262"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00" w:firstLine="7"/>
        <w:spacing w:after="0" w:line="277" w:lineRule="auto"/>
        <w:tabs>
          <w:tab w:leader="none" w:pos="4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460" w:firstLine="1168"/>
        <w:spacing w:after="0" w:line="277" w:lineRule="auto"/>
        <w:tabs>
          <w:tab w:leader="none" w:pos="13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160" w:firstLine="1168"/>
        <w:spacing w:after="0" w:line="277" w:lineRule="auto"/>
        <w:tabs>
          <w:tab w:leader="none" w:pos="14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0" w:lineRule="exact"/>
        <w:rPr>
          <w:sz w:val="20"/>
          <w:szCs w:val="20"/>
          <w:color w:val="auto"/>
        </w:rPr>
      </w:pPr>
    </w:p>
    <w:p>
      <w:pPr>
        <w:ind w:left="420" w:hanging="173"/>
        <w:spacing w:after="0"/>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35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240" w:firstLine="36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June 30, 2022,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60" w:hanging="353"/>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right="560" w:firstLine="7"/>
        <w:spacing w:after="0" w:line="524" w:lineRule="auto"/>
        <w:tabs>
          <w:tab w:leader="none" w:pos="3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3, 2022</w:t>
      </w:r>
    </w:p>
    <w:p>
      <w:pPr>
        <w:spacing w:after="0" w:line="8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decimal"/>
      <w:start w:val="19"/>
    </w:lvl>
  </w:abstractNum>
  <w:abstractNum w:abstractNumId="6">
    <w:nsid w:val="3A95F874"/>
    <w:multiLevelType w:val="hybridMultilevel"/>
    <w:lvl w:ilvl="0">
      <w:lvlJc w:val="left"/>
      <w:lvlText w:val="•"/>
      <w:numFmt w:val="bullet"/>
      <w:start w:val="1"/>
    </w:lvl>
    <w:lvl w:ilvl="1">
      <w:lvlJc w:val="left"/>
      <w:lvlText w:val="•"/>
      <w:numFmt w:val="bullet"/>
      <w:start w:val="1"/>
    </w:lvl>
  </w:abstractNum>
  <w:abstractNum w:abstractNumId="7">
    <w:nsid w:val="8138641"/>
    <w:multiLevelType w:val="hybridMultilevel"/>
    <w:lvl w:ilvl="0">
      <w:lvlJc w:val="left"/>
      <w:lvlText w:val="*"/>
      <w:numFmt w:val="bullet"/>
      <w:start w:val="1"/>
    </w:lvl>
    <w:lvl w:ilvl="1">
      <w:lvlJc w:val="left"/>
      <w:lvlText w:val="%2"/>
      <w:numFmt w:val="decimal"/>
      <w:start w:val="104"/>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2"/>
    </w:lvl>
    <w:lvl w:ilvl="1">
      <w:lvlJc w:val="left"/>
      <w:lvlText w:val="%2."/>
      <w:numFmt w:val="upperLetter"/>
      <w:start w:val="1"/>
    </w:lvl>
  </w:abstractNum>
  <w:abstractNum w:abstractNumId="13">
    <w:nsid w:val="4516DDE9"/>
    <w:multiLevelType w:val="hybridMultilevel"/>
    <w:lvl w:ilvl="0">
      <w:lvlJc w:val="left"/>
      <w:lvlText w:val="%1."/>
      <w:numFmt w:val="decimal"/>
      <w:start w:val="4"/>
    </w:lvl>
    <w:lvl w:ilvl="1">
      <w:lvlJc w:val="left"/>
      <w:lvlText w:val="%2."/>
      <w:numFmt w:val="upperLetter"/>
      <w:start w:val="1"/>
    </w:lvl>
  </w:abstractNum>
  <w:abstractNum w:abstractNumId="14">
    <w:nsid w:val="3006C83E"/>
    <w:multiLevelType w:val="hybridMultilevel"/>
    <w:lvl w:ilvl="0">
      <w:lvlJc w:val="left"/>
      <w:lvlText w:val="%1."/>
      <w:numFmt w:val="upperLetter"/>
      <w:start w:val="7"/>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lvl w:ilvl="1">
      <w:lvlJc w:val="left"/>
      <w:lvlText w:val="%2."/>
      <w:numFmt w:val="lowerLetter"/>
      <w:start w:val="1"/>
    </w:lvl>
  </w:abstractNum>
  <w:abstractNum w:abstractNumId="18">
    <w:nsid w:val="440BADFC"/>
    <w:multiLevelType w:val="hybridMultilevel"/>
    <w:lvl w:ilvl="0">
      <w:lvlJc w:val="left"/>
      <w:lvlText w:val="%1"/>
      <w:numFmt w:val="decimal"/>
      <w:start w:val="1"/>
    </w:lvl>
    <w:lvl w:ilvl="1">
      <w:lvlJc w:val="left"/>
      <w:lvlText w:val="%2."/>
      <w:numFmt w:val="lowerLetter"/>
      <w:start w:val="4"/>
    </w:lvl>
  </w:abstractNum>
  <w:abstractNum w:abstractNumId="19">
    <w:nsid w:val="5072367"/>
    <w:multiLevelType w:val="hybridMultilevel"/>
    <w:lvl w:ilvl="0">
      <w:lvlJc w:val="left"/>
      <w:lvlText w:val="%1."/>
      <w:numFmt w:val="decimal"/>
      <w:start w:val="6"/>
    </w:lvl>
    <w:lvl w:ilvl="1">
      <w:lvlJc w:val="left"/>
      <w:lvlText w:val="%2."/>
      <w:numFmt w:val="lowerLetter"/>
      <w:start w:val="1"/>
    </w:lvl>
  </w:abstractNum>
  <w:abstractNum w:abstractNumId="20">
    <w:nsid w:val="3804823E"/>
    <w:multiLevelType w:val="hybridMultilevel"/>
    <w:lvl w:ilvl="0">
      <w:lvlJc w:val="left"/>
      <w:lvlText w:val="%1."/>
      <w:numFmt w:val="lowerLetter"/>
      <w:start w:val="3"/>
    </w:lvl>
  </w:abstractNum>
  <w:abstractNum w:abstractNumId="21">
    <w:nsid w:val="77465F01"/>
    <w:multiLevelType w:val="hybridMultilevel"/>
    <w:lvl w:ilvl="0">
      <w:lvlJc w:val="left"/>
      <w:lvlText w:val="%1."/>
      <w:numFmt w:val="lowerLetter"/>
      <w:start w:val="5"/>
    </w:lvl>
  </w:abstractNum>
  <w:abstractNum w:abstractNumId="22">
    <w:nsid w:val="7724C67E"/>
    <w:multiLevelType w:val="hybridMultilevel"/>
    <w:lvl w:ilvl="0">
      <w:lvlJc w:val="left"/>
      <w:lvlText w:val="%1."/>
      <w:numFmt w:val="decimal"/>
      <w:start w:val="7"/>
    </w:lvl>
    <w:lvl w:ilvl="1">
      <w:lvlJc w:val="left"/>
      <w:lvlText w:val="%2"/>
      <w:numFmt w:val="lowerLetter"/>
      <w:start w:val="1"/>
    </w:lvl>
  </w:abstractNum>
  <w:abstractNum w:abstractNumId="23">
    <w:nsid w:val="5C482A97"/>
    <w:multiLevelType w:val="hybridMultilevel"/>
    <w:lvl w:ilvl="0">
      <w:lvlJc w:val="left"/>
      <w:lvlText w:val="%1"/>
      <w:numFmt w:val="decimal"/>
      <w:start w:val="1"/>
    </w:lvl>
    <w:lvl w:ilvl="1">
      <w:lvlJc w:val="left"/>
      <w:lvlText w:val="%2."/>
      <w:numFmt w:val="lowerLetter"/>
      <w:start w:val="2"/>
    </w:lvl>
  </w:abstractNum>
  <w:abstractNum w:abstractNumId="24">
    <w:nsid w:val="2463B9EA"/>
    <w:multiLevelType w:val="hybridMultilevel"/>
    <w:lvl w:ilvl="0">
      <w:lvlJc w:val="left"/>
      <w:lvlText w:val="%1."/>
      <w:numFmt w:val="decimal"/>
      <w:start w:val="8"/>
    </w:lvl>
    <w:lvl w:ilvl="1">
      <w:lvlJc w:val="left"/>
      <w:lvlText w:val="%2."/>
      <w:numFmt w:val="lowerLetter"/>
      <w:start w:val="1"/>
    </w:lvl>
  </w:abstractNum>
  <w:abstractNum w:abstractNumId="25">
    <w:nsid w:val="5E884ADC"/>
    <w:multiLevelType w:val="hybridMultilevel"/>
    <w:lvl w:ilvl="0">
      <w:lvlJc w:val="left"/>
      <w:lvlText w:val="%1."/>
      <w:numFmt w:val="lowerLetter"/>
      <w:start w:val="3"/>
    </w:lvl>
  </w:abstractNum>
  <w:abstractNum w:abstractNumId="26">
    <w:nsid w:val="51EAD36B"/>
    <w:multiLevelType w:val="hybridMultilevel"/>
    <w:lvl w:ilvl="0">
      <w:lvlJc w:val="left"/>
      <w:lvlText w:val="%1."/>
      <w:numFmt w:val="lowerLetter"/>
      <w:start w:val="7"/>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decimal"/>
      <w:start w:val="1"/>
    </w:lvl>
    <w:lvl w:ilvl="1">
      <w:lvlJc w:val="left"/>
      <w:lvlText w:val="%2."/>
      <w:numFmt w:val="lowerLetter"/>
      <w:start w:val="4"/>
    </w:lvl>
  </w:abstractNum>
  <w:abstractNum w:abstractNumId="30">
    <w:nsid w:val="3855585C"/>
    <w:multiLevelType w:val="hybridMultilevel"/>
    <w:lvl w:ilvl="0">
      <w:lvlJc w:val="left"/>
      <w:lvlText w:val="%1."/>
      <w:numFmt w:val="decimal"/>
      <w:start w:val="6"/>
    </w:lvl>
    <w:lvl w:ilvl="1">
      <w:lvlJc w:val="left"/>
      <w:lvlText w:val="%2."/>
      <w:numFmt w:val="lowerLetter"/>
      <w:start w:val="1"/>
    </w:lvl>
  </w:abstractNum>
  <w:abstractNum w:abstractNumId="31">
    <w:nsid w:val="70A64E2A"/>
    <w:multiLevelType w:val="hybridMultilevel"/>
    <w:lvl w:ilvl="0">
      <w:lvlJc w:val="left"/>
      <w:lvlText w:val="%1."/>
      <w:numFmt w:val="lowerLetter"/>
      <w:start w:val="3"/>
    </w:lvl>
  </w:abstractNum>
  <w:abstractNum w:abstractNumId="32">
    <w:nsid w:val="6A2342EC"/>
    <w:multiLevelType w:val="hybridMultilevel"/>
    <w:lvl w:ilvl="0">
      <w:lvlJc w:val="left"/>
      <w:lvlText w:val="%1."/>
      <w:numFmt w:val="lowerLetter"/>
      <w:start w:val="5"/>
    </w:lvl>
  </w:abstractNum>
  <w:abstractNum w:abstractNumId="33">
    <w:nsid w:val="2A487CB0"/>
    <w:multiLevelType w:val="hybridMultilevel"/>
    <w:lvl w:ilvl="0">
      <w:lvlJc w:val="left"/>
      <w:lvlText w:val="%1."/>
      <w:numFmt w:val="decimal"/>
      <w:start w:val="7"/>
    </w:lvl>
    <w:lvl w:ilvl="1">
      <w:lvlJc w:val="left"/>
      <w:lvlText w:val="%2"/>
      <w:numFmt w:val="lowerLetter"/>
      <w:start w:val="1"/>
    </w:lvl>
  </w:abstractNum>
  <w:abstractNum w:abstractNumId="34">
    <w:nsid w:val="1D4ED43B"/>
    <w:multiLevelType w:val="hybridMultilevel"/>
    <w:lvl w:ilvl="0">
      <w:lvlJc w:val="left"/>
      <w:lvlText w:val="%1"/>
      <w:numFmt w:val="decimal"/>
      <w:start w:val="1"/>
    </w:lvl>
    <w:lvl w:ilvl="1">
      <w:lvlJc w:val="left"/>
      <w:lvlText w:val="%2."/>
      <w:numFmt w:val="lowerLetter"/>
      <w:start w:val="2"/>
    </w:lvl>
  </w:abstractNum>
  <w:abstractNum w:abstractNumId="35">
    <w:nsid w:val="725A06FB"/>
    <w:multiLevelType w:val="hybridMultilevel"/>
    <w:lvl w:ilvl="0">
      <w:lvlJc w:val="left"/>
      <w:lvlText w:val="%1."/>
      <w:numFmt w:val="decimal"/>
      <w:start w:val="8"/>
    </w:lvl>
    <w:lvl w:ilvl="1">
      <w:lvlJc w:val="left"/>
      <w:lvlText w:val="%2."/>
      <w:numFmt w:val="lowerLetter"/>
      <w:start w:val="1"/>
    </w:lvl>
  </w:abstractNum>
  <w:abstractNum w:abstractNumId="36">
    <w:nsid w:val="2CD89A32"/>
    <w:multiLevelType w:val="hybridMultilevel"/>
    <w:lvl w:ilvl="0">
      <w:lvlJc w:val="left"/>
      <w:lvlText w:val="%1."/>
      <w:numFmt w:val="lowerLetter"/>
      <w:start w:val="3"/>
    </w:lvl>
  </w:abstractNum>
  <w:abstractNum w:abstractNumId="37">
    <w:nsid w:val="57E4CCAF"/>
    <w:multiLevelType w:val="hybridMultilevel"/>
    <w:lvl w:ilvl="0">
      <w:lvlJc w:val="left"/>
      <w:lvlText w:val="%1."/>
      <w:numFmt w:val="lowerLetter"/>
      <w:start w:val="7"/>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5"/>
    </w:lvl>
    <w:lvl w:ilvl="1">
      <w:lvlJc w:val="left"/>
      <w:lvlText w:val="%2."/>
      <w:numFmt w:val="lowerLetter"/>
      <w:start w:val="1"/>
    </w:lvl>
  </w:abstractNum>
  <w:abstractNum w:abstractNumId="41">
    <w:nsid w:val="6DE91B18"/>
    <w:multiLevelType w:val="hybridMultilevel"/>
    <w:lvl w:ilvl="0">
      <w:lvlJc w:val="left"/>
      <w:lvlText w:val="%1"/>
      <w:numFmt w:val="decimal"/>
      <w:start w:val="1"/>
    </w:lvl>
    <w:lvl w:ilvl="1">
      <w:lvlJc w:val="left"/>
      <w:lvlText w:val="%2."/>
      <w:numFmt w:val="lowerLetter"/>
      <w:start w:val="4"/>
    </w:lvl>
  </w:abstractNum>
  <w:abstractNum w:abstractNumId="42">
    <w:nsid w:val="38437FDB"/>
    <w:multiLevelType w:val="hybridMultilevel"/>
    <w:lvl w:ilvl="0">
      <w:lvlJc w:val="left"/>
      <w:lvlText w:val="%1."/>
      <w:numFmt w:val="decimal"/>
      <w:start w:val="6"/>
    </w:lvl>
    <w:lvl w:ilvl="1">
      <w:lvlJc w:val="left"/>
      <w:lvlText w:val="%2"/>
      <w:numFmt w:val="lowerLetter"/>
      <w:start w:val="1"/>
    </w:lvl>
  </w:abstractNum>
  <w:abstractNum w:abstractNumId="43">
    <w:nsid w:val="7644A45C"/>
    <w:multiLevelType w:val="hybridMultilevel"/>
    <w:lvl w:ilvl="0">
      <w:lvlJc w:val="left"/>
      <w:lvlText w:val="%1."/>
      <w:numFmt w:val="decimal"/>
      <w:start w:val="13"/>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6"/>
    </w:lvl>
    <w:lvl w:ilvl="1">
      <w:lvlJc w:val="left"/>
      <w:lvlText w:val="(%2)"/>
      <w:numFmt w:val="lowerLetter"/>
      <w:start w:val="1"/>
    </w:lvl>
  </w:abstractNum>
  <w:abstractNum w:abstractNumId="46">
    <w:nsid w:val="579478FE"/>
    <w:multiLevelType w:val="hybridMultilevel"/>
    <w:lvl w:ilvl="0">
      <w:lvlJc w:val="left"/>
      <w:lvlText w:val="(%1)"/>
      <w:numFmt w:val="lowerLetter"/>
      <w:start w:val="4"/>
    </w:lvl>
  </w:abstractNum>
  <w:abstractNum w:abstractNumId="47">
    <w:nsid w:val="749ABB43"/>
    <w:multiLevelType w:val="hybridMultilevel"/>
    <w:lvl w:ilvl="0">
      <w:lvlJc w:val="left"/>
      <w:lvlText w:val="(%1)"/>
      <w:numFmt w:val="lowerLetter"/>
      <w:start w:val="7"/>
    </w:lvl>
  </w:abstractNum>
  <w:abstractNum w:abstractNumId="48">
    <w:nsid w:val="3DC240FB"/>
    <w:multiLevelType w:val="hybridMultilevel"/>
    <w:lvl w:ilvl="0">
      <w:lvlJc w:val="left"/>
      <w:lvlText w:val="(%1)"/>
      <w:numFmt w:val="lowerLetter"/>
      <w:start w:val="7"/>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jpe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48" Type="http://schemas.openxmlformats.org/officeDocument/2006/relationships/hyperlink" Target="https://www.sec.gov/Archives/edgar/data/887359/000129993309004957/exhibit1.htm" TargetMode="External"/><Relationship Id="rId49" Type="http://schemas.openxmlformats.org/officeDocument/2006/relationships/hyperlink" Target="https://www.sec.gov/Archives/edgar/data/887359/000095012310030777/b80276exv3w2.htm" TargetMode="External"/><Relationship Id="rId50" Type="http://schemas.openxmlformats.org/officeDocument/2006/relationships/hyperlink" Target="https://www.sec.gov/Archives/edgar/data/887359/000095012311029237/a59068exv3w1.htm" TargetMode="External"/><Relationship Id="rId51" Type="http://schemas.openxmlformats.org/officeDocument/2006/relationships/hyperlink" Target="https://www.sec.gov/Archives/edgar/data/887359/000110465914083052/a14-25082_1ex3d1.htm" TargetMode="External"/><Relationship Id="rId52" Type="http://schemas.openxmlformats.org/officeDocument/2006/relationships/hyperlink" Target="https://www.sec.gov/Archives/edgar/data/887359/000129993310004053/exhibit1.htm" TargetMode="External"/><Relationship Id="rId53" Type="http://schemas.openxmlformats.org/officeDocument/2006/relationships/hyperlink" Target="https://www.sec.gov/Archives/edgar/data/887359/000162828022012151/a101-leaseagreementdatedja.htm" TargetMode="External"/><Relationship Id="rId54" Type="http://schemas.openxmlformats.org/officeDocument/2006/relationships/hyperlink" Target="https://www.sec.gov/Archives/edgar/data/887359/000162828022012151/a102-formofcurrentemployee.htm" TargetMode="External"/><Relationship Id="rId55" Type="http://schemas.openxmlformats.org/officeDocument/2006/relationships/hyperlink" Target="https://www.sec.gov/Archives/edgar/data/887359/000162828022012151/a103-formofnewhireincentiv.htm" TargetMode="External"/><Relationship Id="rId56" Type="http://schemas.openxmlformats.org/officeDocument/2006/relationships/hyperlink" Target="https://www.sec.gov/Archives/edgar/data/887359/000162828022012151/a104-formofnonxqualified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2022-08-03T08:08:49Z</dcterms:created>
  <dcterms:modified xsi:type="dcterms:W3CDTF">2022-08-03T08:08:49Z</dcterms:modified>
</cp:coreProperties>
</file>