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207645</wp:posOffset>
            </wp:positionH>
            <wp:positionV relativeFrom="page">
              <wp:posOffset>605790</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537845</wp:posOffset>
            </wp:positionV>
            <wp:extent cx="71342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42545"/>
                    </a:xfrm>
                    <a:prstGeom prst="rect">
                      <a:avLst/>
                    </a:prstGeom>
                    <a:noFill/>
                  </pic:spPr>
                </pic:pic>
              </a:graphicData>
            </a:graphic>
          </wp:anchor>
        </w:drawing>
        <w:t>UNITED STATES SECURITIES AND EXCHANGE COMMISSION</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8"/>
          <w:szCs w:val="28"/>
          <w:b w:val="1"/>
          <w:bCs w:val="1"/>
          <w:color w:val="auto"/>
        </w:rPr>
        <w:t>Form 10-K</w:t>
      </w:r>
    </w:p>
    <w:p>
      <w:pPr>
        <w:ind w:left="320" w:hanging="313"/>
        <w:spacing w:after="0"/>
        <w:tabs>
          <w:tab w:leader="none" w:pos="3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jc w:val="center"/>
        <w:ind w:right="-19"/>
        <w:spacing w:after="0" w:line="186" w:lineRule="auto"/>
        <w:rPr>
          <w:sz w:val="20"/>
          <w:szCs w:val="20"/>
          <w:color w:val="auto"/>
        </w:rPr>
      </w:pPr>
      <w:r>
        <w:rPr>
          <w:rFonts w:ascii="Times New Roman" w:cs="Times New Roman" w:eastAsia="Times New Roman" w:hAnsi="Times New Roman"/>
          <w:sz w:val="18"/>
          <w:szCs w:val="18"/>
          <w:b w:val="1"/>
          <w:bCs w:val="1"/>
          <w:color w:val="auto"/>
        </w:rPr>
        <w:t>or</w:t>
      </w:r>
    </w:p>
    <w:p>
      <w:pPr>
        <w:ind w:left="360" w:hanging="342"/>
        <w:spacing w:after="0" w:line="238" w:lineRule="auto"/>
        <w:tabs>
          <w:tab w:leader="none" w:pos="3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001-35280</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VERICEL CORPORATION</w:t>
      </w: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2935605</wp:posOffset>
            </wp:positionH>
            <wp:positionV relativeFrom="paragraph">
              <wp:posOffset>97155</wp:posOffset>
            </wp:positionV>
            <wp:extent cx="12706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635"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p>
      <w:pPr>
        <w:spacing w:after="0" w:line="288"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Michigan</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94-3096597</w:t>
      </w:r>
    </w:p>
    <w:p>
      <w:pPr>
        <w:spacing w:after="0" w:line="41" w:lineRule="exact"/>
        <w:rPr>
          <w:sz w:val="24"/>
          <w:szCs w:val="24"/>
          <w:color w:val="auto"/>
        </w:rPr>
      </w:pPr>
    </w:p>
    <w:p>
      <w:pPr>
        <w:sectPr>
          <w:pgSz w:w="11900" w:h="16838" w:orient="portrait"/>
          <w:cols w:equalWidth="0" w:num="2">
            <w:col w:w="7140" w:space="720"/>
            <w:col w:w="3380"/>
          </w:cols>
          <w:pgMar w:left="320" w:top="1022" w:right="33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460" w:space="720"/>
            <w:col w:w="4060"/>
          </w:cols>
          <w:pgMar w:left="320" w:top="102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 Sidney Street</w:t>
      </w:r>
    </w:p>
    <w:p>
      <w:pPr>
        <w:jc w:val="center"/>
        <w:spacing w:after="0" w:line="191" w:lineRule="auto"/>
        <w:rPr>
          <w:sz w:val="20"/>
          <w:szCs w:val="20"/>
          <w:color w:val="auto"/>
        </w:rPr>
      </w:pPr>
      <w:r>
        <w:rPr>
          <w:rFonts w:ascii="Times New Roman" w:cs="Times New Roman" w:eastAsia="Times New Roman" w:hAnsi="Times New Roman"/>
          <w:sz w:val="18"/>
          <w:szCs w:val="18"/>
          <w:b w:val="1"/>
          <w:bCs w:val="1"/>
          <w:color w:val="auto"/>
        </w:rPr>
        <w:t>Cambridge, MA 02139</w:t>
      </w:r>
    </w:p>
    <w:p>
      <w:pPr>
        <w:jc w:val="center"/>
        <w:ind w:right="2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2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(617) 588-5555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2935605</wp:posOffset>
            </wp:positionH>
            <wp:positionV relativeFrom="paragraph">
              <wp:posOffset>108585</wp:posOffset>
            </wp:positionV>
            <wp:extent cx="12706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1714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4120" w:type="dxa"/>
            <w:vAlign w:val="bottom"/>
          </w:tcPr>
          <w:p>
            <w:pPr>
              <w:jc w:val="center"/>
              <w:ind w:left="203"/>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00" w:type="dxa"/>
            <w:vAlign w:val="bottom"/>
          </w:tcPr>
          <w:p>
            <w:pPr>
              <w:spacing w:after="0"/>
              <w:rPr>
                <w:sz w:val="16"/>
                <w:szCs w:val="16"/>
                <w:color w:val="auto"/>
              </w:rPr>
            </w:pPr>
          </w:p>
        </w:tc>
      </w:tr>
      <w:tr>
        <w:trPr>
          <w:trHeight w:val="316"/>
        </w:trPr>
        <w:tc>
          <w:tcPr>
            <w:tcW w:w="342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6"/>
                <w:szCs w:val="16"/>
                <w:b w:val="1"/>
                <w:bCs w:val="1"/>
                <w:color w:val="auto"/>
              </w:rPr>
              <w:t>Title of Class</w:t>
            </w:r>
          </w:p>
        </w:tc>
        <w:tc>
          <w:tcPr>
            <w:tcW w:w="4120" w:type="dxa"/>
            <w:vAlign w:val="bottom"/>
            <w:tcBorders>
              <w:bottom w:val="single" w:sz="8" w:color="auto"/>
            </w:tcBorders>
          </w:tcPr>
          <w:p>
            <w:pPr>
              <w:jc w:val="center"/>
              <w:ind w:left="203"/>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5"/>
        </w:trPr>
        <w:tc>
          <w:tcPr>
            <w:tcW w:w="3420" w:type="dxa"/>
            <w:vAlign w:val="bottom"/>
          </w:tcPr>
          <w:p>
            <w:pPr>
              <w:jc w:val="center"/>
              <w:ind w:left="240"/>
              <w:spacing w:after="0"/>
              <w:rPr>
                <w:sz w:val="20"/>
                <w:szCs w:val="20"/>
                <w:color w:val="auto"/>
              </w:rPr>
            </w:pPr>
            <w:r>
              <w:rPr>
                <w:rFonts w:ascii="Times New Roman" w:cs="Times New Roman" w:eastAsia="Times New Roman" w:hAnsi="Times New Roman"/>
                <w:sz w:val="16"/>
                <w:szCs w:val="16"/>
                <w:color w:val="auto"/>
              </w:rPr>
              <w:t>Common Stock (No par value)</w:t>
            </w:r>
          </w:p>
        </w:tc>
        <w:tc>
          <w:tcPr>
            <w:tcW w:w="4120" w:type="dxa"/>
            <w:vAlign w:val="bottom"/>
          </w:tcPr>
          <w:p>
            <w:pPr>
              <w:jc w:val="center"/>
              <w:ind w:left="183"/>
              <w:spacing w:after="0"/>
              <w:rPr>
                <w:sz w:val="20"/>
                <w:szCs w:val="20"/>
                <w:color w:val="auto"/>
              </w:rPr>
            </w:pPr>
            <w:r>
              <w:rPr>
                <w:rFonts w:ascii="Times New Roman" w:cs="Times New Roman" w:eastAsia="Times New Roman" w:hAnsi="Times New Roman"/>
                <w:sz w:val="16"/>
                <w:szCs w:val="16"/>
                <w:color w:val="auto"/>
              </w:rPr>
              <w:t>VCEL</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w:t>
            </w:r>
          </w:p>
        </w:tc>
      </w:tr>
    </w:tbl>
    <w:p>
      <w:pPr>
        <w:spacing w:after="0" w:line="8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31" w:lineRule="exact"/>
        <w:rPr>
          <w:sz w:val="24"/>
          <w:szCs w:val="24"/>
          <w:color w:val="auto"/>
        </w:rPr>
      </w:pPr>
    </w:p>
    <w:p>
      <w:pPr>
        <w:ind w:right="2640"/>
        <w:spacing w:after="0" w:line="275"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2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ind w:right="280"/>
        <w:spacing w:after="0" w:line="220" w:lineRule="auto"/>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26" w:lineRule="exact"/>
        <w:rPr>
          <w:sz w:val="24"/>
          <w:szCs w:val="24"/>
          <w:color w:val="auto"/>
        </w:rPr>
      </w:pPr>
    </w:p>
    <w:p>
      <w:pPr>
        <w:ind w:right="360"/>
        <w:spacing w:after="0" w:line="29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98" w:lineRule="exact"/>
        <w:rPr>
          <w:sz w:val="24"/>
          <w:szCs w:val="24"/>
          <w:color w:val="auto"/>
        </w:rPr>
      </w:pPr>
    </w:p>
    <w:p>
      <w:pPr>
        <w:ind w:right="320"/>
        <w:spacing w:after="0" w:line="28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600" w:type="dxa"/>
            <w:vAlign w:val="bottom"/>
          </w:tcPr>
          <w:p>
            <w:pPr>
              <w:jc w:val="center"/>
              <w:ind w:left="1166"/>
              <w:spacing w:after="0"/>
              <w:rPr>
                <w:sz w:val="20"/>
                <w:szCs w:val="20"/>
                <w:color w:val="auto"/>
              </w:rPr>
            </w:pPr>
            <w:r>
              <w:rPr>
                <w:rFonts w:ascii="Times New Roman" w:cs="Times New Roman" w:eastAsia="Times New Roman" w:hAnsi="Times New Roman"/>
                <w:sz w:val="14"/>
                <w:szCs w:val="14"/>
                <w:color w:val="auto"/>
              </w:rPr>
              <w:t>Large accelerated filer</w:t>
            </w:r>
          </w:p>
        </w:tc>
        <w:tc>
          <w:tcPr>
            <w:tcW w:w="190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Accelerated filer</w:t>
            </w:r>
          </w:p>
        </w:tc>
        <w:tc>
          <w:tcPr>
            <w:tcW w:w="9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00"/>
        </w:trPr>
        <w:tc>
          <w:tcPr>
            <w:tcW w:w="4600" w:type="dxa"/>
            <w:vAlign w:val="bottom"/>
          </w:tcPr>
          <w:p>
            <w:pPr>
              <w:jc w:val="center"/>
              <w:ind w:left="1166"/>
              <w:spacing w:after="0"/>
              <w:rPr>
                <w:sz w:val="20"/>
                <w:szCs w:val="20"/>
                <w:color w:val="auto"/>
              </w:rPr>
            </w:pPr>
            <w:r>
              <w:rPr>
                <w:rFonts w:ascii="Times New Roman" w:cs="Times New Roman" w:eastAsia="Times New Roman" w:hAnsi="Times New Roman"/>
                <w:sz w:val="14"/>
                <w:szCs w:val="14"/>
                <w:color w:val="auto"/>
              </w:rPr>
              <w:t>Non-accelerated filer</w:t>
            </w:r>
          </w:p>
        </w:tc>
        <w:tc>
          <w:tcPr>
            <w:tcW w:w="190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rPr>
              <w:t>☐</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38"/>
        </w:trPr>
        <w:tc>
          <w:tcPr>
            <w:tcW w:w="4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Act.</w:t>
            </w:r>
          </w:p>
        </w:tc>
        <w:tc>
          <w:tcPr>
            <w:tcW w:w="190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Emerging growth company</w:t>
            </w:r>
          </w:p>
        </w:tc>
        <w:tc>
          <w:tcPr>
            <w:tcW w:w="9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87"/>
        </w:trPr>
        <w:tc>
          <w:tcPr>
            <w:tcW w:w="460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right="100"/>
        <w:spacing w:after="0" w:line="25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18" w:lineRule="exact"/>
        <w:rPr>
          <w:sz w:val="24"/>
          <w:szCs w:val="24"/>
          <w:color w:val="auto"/>
        </w:rPr>
      </w:pPr>
    </w:p>
    <w:p>
      <w:pPr>
        <w:ind w:right="320"/>
        <w:spacing w:after="0" w:line="237" w:lineRule="exact"/>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w:t>
      </w:r>
      <w:r>
        <w:rPr>
          <w:rFonts w:ascii="Times New Roman" w:cs="Times New Roman" w:eastAsia="Times New Roman" w:hAnsi="Times New Roman"/>
          <w:sz w:val="17"/>
          <w:szCs w:val="17"/>
          <w:color w:val="008080"/>
        </w:rPr>
        <w:t>’</w:t>
      </w:r>
      <w:r>
        <w:rPr>
          <w:rFonts w:ascii="Times New Roman" w:cs="Times New Roman" w:eastAsia="Times New Roman" w:hAnsi="Times New Roman"/>
          <w:sz w:val="16"/>
          <w:szCs w:val="16"/>
          <w:color w:val="auto"/>
        </w:rPr>
        <w:t xml:space="preserve">s assessment of the effectiveness of its internal control over financial reporting under Section 404(b) of the Sarbanes-Oxley Act (15 U.S. 7262(b)) by the registered public accounting firm that prepared or issued its audit report </w:t>
      </w:r>
      <w:r>
        <w:rPr>
          <w:rFonts w:ascii="MS PGothic" w:cs="MS PGothic" w:eastAsia="MS PGothic" w:hAnsi="MS PGothic"/>
          <w:sz w:val="17"/>
          <w:szCs w:val="17"/>
          <w:color w:val="auto"/>
        </w:rPr>
        <w:t>☒</w:t>
      </w:r>
    </w:p>
    <w:p>
      <w:pPr>
        <w:spacing w:after="0" w:line="186" w:lineRule="exact"/>
        <w:rPr>
          <w:sz w:val="24"/>
          <w:szCs w:val="24"/>
          <w:color w:val="auto"/>
        </w:rPr>
      </w:pPr>
    </w:p>
    <w:p>
      <w:pPr>
        <w:ind w:right="440"/>
        <w:spacing w:after="0" w:line="228"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98" w:lineRule="exact"/>
        <w:rPr>
          <w:sz w:val="24"/>
          <w:szCs w:val="24"/>
          <w:color w:val="auto"/>
        </w:rPr>
      </w:pPr>
    </w:p>
    <w:p>
      <w:pPr>
        <w:ind w:right="440"/>
        <w:spacing w:after="0" w:line="222"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6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99" w:lineRule="exact"/>
        <w:rPr>
          <w:sz w:val="24"/>
          <w:szCs w:val="24"/>
          <w:color w:val="auto"/>
        </w:rPr>
      </w:pPr>
    </w:p>
    <w:p>
      <w:pPr>
        <w:ind w:right="40"/>
        <w:spacing w:after="0" w:line="224"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no par value per share (“Common Stock”), held by non-affiliates of the registrant (based on the closing sales price of the Common Stock as reported on the NASDAQ Capital Market) on June 30, 2023 was approximately $1,774,578,732. This computation excludes shares of Common Stock held by each executive officer and director who may be deemed to be affiliates of the registrant. This determination of affiliate status is not necessarily a conclusive determination for other purposes.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449580</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February 21, 2024, 48,290,164 shares of Common Stock, no par value per share, were outstanding.</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7100" w:type="dxa"/>
            <w:vAlign w:val="bottom"/>
            <w:gridSpan w:val="2"/>
          </w:tcPr>
          <w:p>
            <w:pPr>
              <w:ind w:left="3060"/>
              <w:spacing w:after="0"/>
              <w:rPr>
                <w:sz w:val="20"/>
                <w:szCs w:val="20"/>
                <w:color w:val="auto"/>
              </w:rPr>
            </w:pPr>
            <w:r>
              <w:rPr>
                <w:rFonts w:ascii="Times New Roman" w:cs="Times New Roman" w:eastAsia="Times New Roman" w:hAnsi="Times New Roman"/>
                <w:sz w:val="12"/>
                <w:szCs w:val="12"/>
                <w:b w:val="1"/>
                <w:bCs w:val="1"/>
                <w:color w:val="auto"/>
              </w:rPr>
              <w:t>Document</w:t>
            </w:r>
          </w:p>
        </w:tc>
        <w:tc>
          <w:tcPr>
            <w:tcW w:w="4100" w:type="dxa"/>
            <w:vAlign w:val="bottom"/>
            <w:gridSpan w:val="2"/>
          </w:tcPr>
          <w:p>
            <w:pPr>
              <w:ind w:left="1020"/>
              <w:spacing w:after="0"/>
              <w:rPr>
                <w:sz w:val="20"/>
                <w:szCs w:val="20"/>
                <w:color w:val="auto"/>
              </w:rPr>
            </w:pPr>
            <w:r>
              <w:rPr>
                <w:rFonts w:ascii="Times New Roman" w:cs="Times New Roman" w:eastAsia="Times New Roman" w:hAnsi="Times New Roman"/>
                <w:sz w:val="12"/>
                <w:szCs w:val="12"/>
                <w:b w:val="1"/>
                <w:bCs w:val="1"/>
                <w:color w:val="auto"/>
              </w:rPr>
              <w:t>Form 10-K Reference</w:t>
            </w:r>
          </w:p>
        </w:tc>
      </w:tr>
      <w:tr>
        <w:trPr>
          <w:trHeight w:val="133"/>
        </w:trPr>
        <w:tc>
          <w:tcPr>
            <w:tcW w:w="40" w:type="dxa"/>
            <w:vAlign w:val="bottom"/>
          </w:tcPr>
          <w:p>
            <w:pPr>
              <w:spacing w:after="0"/>
              <w:rPr>
                <w:sz w:val="11"/>
                <w:szCs w:val="11"/>
                <w:color w:val="auto"/>
              </w:rPr>
            </w:pPr>
          </w:p>
        </w:tc>
        <w:tc>
          <w:tcPr>
            <w:tcW w:w="6680" w:type="dxa"/>
            <w:vAlign w:val="bottom"/>
            <w:tcBorders>
              <w:top w:val="single" w:sz="8" w:color="auto"/>
            </w:tcBorders>
          </w:tcPr>
          <w:p>
            <w:pPr>
              <w:ind w:left="20"/>
              <w:spacing w:after="0" w:line="133" w:lineRule="exact"/>
              <w:rPr>
                <w:sz w:val="20"/>
                <w:szCs w:val="20"/>
                <w:color w:val="auto"/>
              </w:rPr>
            </w:pPr>
            <w:r>
              <w:rPr>
                <w:rFonts w:ascii="Times New Roman" w:cs="Times New Roman" w:eastAsia="Times New Roman" w:hAnsi="Times New Roman"/>
                <w:sz w:val="14"/>
                <w:szCs w:val="14"/>
                <w:color w:val="auto"/>
              </w:rPr>
              <w:t>Proxy Statement for the Annual Meeting of Shareholders for the fiscal year ended December 31, 2023, scheduled</w:t>
            </w:r>
          </w:p>
        </w:tc>
        <w:tc>
          <w:tcPr>
            <w:tcW w:w="420" w:type="dxa"/>
            <w:vAlign w:val="bottom"/>
          </w:tcPr>
          <w:p>
            <w:pPr>
              <w:spacing w:after="0"/>
              <w:rPr>
                <w:sz w:val="11"/>
                <w:szCs w:val="11"/>
                <w:color w:val="auto"/>
              </w:rPr>
            </w:pPr>
          </w:p>
        </w:tc>
        <w:tc>
          <w:tcPr>
            <w:tcW w:w="320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Items 10, 11, 12, 13 and 14 of Part III</w:t>
            </w:r>
          </w:p>
        </w:tc>
        <w:tc>
          <w:tcPr>
            <w:tcW w:w="900" w:type="dxa"/>
            <w:vAlign w:val="bottom"/>
          </w:tcPr>
          <w:p>
            <w:pPr>
              <w:spacing w:after="0"/>
              <w:rPr>
                <w:sz w:val="11"/>
                <w:szCs w:val="11"/>
                <w:color w:val="auto"/>
              </w:rPr>
            </w:pPr>
          </w:p>
        </w:tc>
      </w:tr>
      <w:tr>
        <w:trPr>
          <w:trHeight w:val="185"/>
        </w:trPr>
        <w:tc>
          <w:tcPr>
            <w:tcW w:w="40" w:type="dxa"/>
            <w:vAlign w:val="bottom"/>
          </w:tcPr>
          <w:p>
            <w:pPr>
              <w:spacing w:after="0"/>
              <w:rPr>
                <w:sz w:val="16"/>
                <w:szCs w:val="16"/>
                <w:color w:val="auto"/>
              </w:rPr>
            </w:pP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 May 1, 2024</w:t>
            </w:r>
          </w:p>
        </w:tc>
        <w:tc>
          <w:tcPr>
            <w:tcW w:w="3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2"/>
        </w:trPr>
        <w:tc>
          <w:tcPr>
            <w:tcW w:w="40" w:type="dxa"/>
            <w:vAlign w:val="bottom"/>
            <w:tcBorders>
              <w:bottom w:val="single" w:sz="8" w:color="auto"/>
            </w:tcBorders>
          </w:tcPr>
          <w:p>
            <w:pPr>
              <w:spacing w:after="0"/>
              <w:rPr>
                <w:sz w:val="19"/>
                <w:szCs w:val="19"/>
                <w:color w:val="auto"/>
              </w:rPr>
            </w:pPr>
          </w:p>
        </w:tc>
        <w:tc>
          <w:tcPr>
            <w:tcW w:w="66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53"/>
        </w:trPr>
        <w:tc>
          <w:tcPr>
            <w:tcW w:w="40" w:type="dxa"/>
            <w:vAlign w:val="bottom"/>
          </w:tcPr>
          <w:p>
            <w:pPr>
              <w:spacing w:after="0"/>
              <w:rPr>
                <w:sz w:val="4"/>
                <w:szCs w:val="4"/>
                <w:color w:val="auto"/>
              </w:rPr>
            </w:pPr>
          </w:p>
        </w:tc>
        <w:tc>
          <w:tcPr>
            <w:tcW w:w="6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67"/>
        </w:trPr>
        <w:tc>
          <w:tcPr>
            <w:tcW w:w="40" w:type="dxa"/>
            <w:vAlign w:val="bottom"/>
            <w:shd w:val="clear" w:color="auto" w:fill="000000"/>
          </w:tcPr>
          <w:p>
            <w:pPr>
              <w:spacing w:after="0"/>
              <w:rPr>
                <w:sz w:val="5"/>
                <w:szCs w:val="5"/>
                <w:color w:val="auto"/>
              </w:rPr>
            </w:pPr>
          </w:p>
        </w:tc>
        <w:tc>
          <w:tcPr>
            <w:tcW w:w="668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320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r>
      <w:tr>
        <w:trPr>
          <w:trHeight w:val="687"/>
        </w:trPr>
        <w:tc>
          <w:tcPr>
            <w:tcW w:w="4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80" w:type="dxa"/>
            <w:vAlign w:val="bottom"/>
            <w:gridSpan w:val="9"/>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8"/>
              </w:rPr>
              <w:t>VERICEL CORPORATION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ANNUAL REPORT ON FORM 10-K</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gridSpan w:val="9"/>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8"/>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00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4960" w:type="dxa"/>
            <w:vAlign w:val="bottom"/>
            <w:gridSpan w:val="7"/>
            <w:vMerge w:val="restart"/>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w w:val="92"/>
              </w:rPr>
              <w:t>PART I</w:t>
            </w: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4960" w:type="dxa"/>
            <w:vAlign w:val="bottom"/>
            <w:gridSpan w:val="7"/>
            <w:vMerge w:val="continue"/>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24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2" w:lineRule="exact"/>
              <w:rPr>
                <w:sz w:val="20"/>
                <w:szCs w:val="20"/>
                <w:color w:val="auto"/>
              </w:rPr>
            </w:pPr>
            <w:r>
              <w:rPr>
                <w:rFonts w:ascii="Times New Roman" w:cs="Times New Roman" w:eastAsia="Times New Roman" w:hAnsi="Times New Roman"/>
                <w:sz w:val="18"/>
                <w:szCs w:val="18"/>
                <w:color w:val="0000FF"/>
                <w:w w:val="96"/>
              </w:rPr>
              <w:t>Business</w:t>
            </w:r>
          </w:p>
        </w:tc>
        <w:tc>
          <w:tcPr>
            <w:tcW w:w="8600" w:type="dxa"/>
            <w:vAlign w:val="bottom"/>
            <w:gridSpan w:val="19"/>
          </w:tcPr>
          <w:p>
            <w:pPr>
              <w:spacing w:after="0"/>
              <w:rPr>
                <w:sz w:val="16"/>
                <w:szCs w:val="16"/>
                <w:color w:val="auto"/>
              </w:rPr>
            </w:pPr>
          </w:p>
        </w:tc>
        <w:tc>
          <w:tcPr>
            <w:tcW w:w="600" w:type="dxa"/>
            <w:vAlign w:val="bottom"/>
            <w:gridSpan w:val="3"/>
          </w:tcPr>
          <w:p>
            <w:pPr>
              <w:spacing w:after="0"/>
              <w:rPr>
                <w:sz w:val="16"/>
                <w:szCs w:val="16"/>
                <w:color w:val="auto"/>
              </w:rPr>
            </w:pPr>
          </w:p>
        </w:tc>
        <w:tc>
          <w:tcPr>
            <w:tcW w:w="100" w:type="dxa"/>
            <w:vAlign w:val="bottom"/>
            <w:tcBorders>
              <w:bottom w:val="single" w:sz="8" w:color="0000FF"/>
            </w:tcBorders>
          </w:tcPr>
          <w:p>
            <w:pPr>
              <w:jc w:val="right"/>
              <w:spacing w:after="0" w:line="192" w:lineRule="exact"/>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340" w:type="dxa"/>
            <w:vAlign w:val="bottom"/>
            <w:gridSpan w:val="17"/>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1B.</w:t>
            </w:r>
          </w:p>
        </w:tc>
        <w:tc>
          <w:tcPr>
            <w:tcW w:w="9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1C.</w:t>
            </w:r>
          </w:p>
        </w:tc>
        <w:tc>
          <w:tcPr>
            <w:tcW w:w="2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220" w:type="dxa"/>
            <w:vAlign w:val="bottom"/>
            <w:gridSpan w:val="11"/>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240" w:type="dxa"/>
            <w:vAlign w:val="bottom"/>
            <w:gridSpan w:val="16"/>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9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9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960" w:type="dxa"/>
            <w:vAlign w:val="bottom"/>
            <w:gridSpan w:val="7"/>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24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auto"/>
              </w:rPr>
              <w:t>Item 5.</w:t>
            </w:r>
          </w:p>
        </w:tc>
        <w:tc>
          <w:tcPr>
            <w:tcW w:w="92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FF"/>
              </w:rPr>
              <w:t>Market for Registrant’s Common Equity, Related Shareholder Matters and Issuer Purchases of Equity Securities</w:t>
            </w:r>
          </w:p>
        </w:tc>
        <w:tc>
          <w:tcPr>
            <w:tcW w:w="700" w:type="dxa"/>
            <w:vAlign w:val="bottom"/>
            <w:gridSpan w:val="4"/>
          </w:tcPr>
          <w:p>
            <w:pPr>
              <w:jc w:val="right"/>
              <w:spacing w:after="0" w:line="192" w:lineRule="exact"/>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79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Reserved</w:t>
            </w:r>
          </w:p>
        </w:tc>
        <w:tc>
          <w:tcPr>
            <w:tcW w:w="126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7.</w:t>
            </w:r>
          </w:p>
        </w:tc>
        <w:tc>
          <w:tcPr>
            <w:tcW w:w="9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7A.</w:t>
            </w: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2100" w:type="dxa"/>
            <w:vAlign w:val="bottom"/>
            <w:gridSpan w:val="3"/>
          </w:tcPr>
          <w:p>
            <w:pPr>
              <w:spacing w:after="0"/>
              <w:rPr>
                <w:sz w:val="17"/>
                <w:szCs w:val="17"/>
                <w:color w:val="auto"/>
              </w:rPr>
            </w:pPr>
          </w:p>
        </w:tc>
        <w:tc>
          <w:tcPr>
            <w:tcW w:w="2860" w:type="dxa"/>
            <w:vAlign w:val="bottom"/>
            <w:gridSpan w:val="4"/>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8.</w:t>
            </w: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Consolidated Financial Statements and Supplementary Data</w:t>
            </w:r>
          </w:p>
        </w:tc>
        <w:tc>
          <w:tcPr>
            <w:tcW w:w="4960" w:type="dxa"/>
            <w:vAlign w:val="bottom"/>
            <w:gridSpan w:val="7"/>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w:t>
            </w:r>
          </w:p>
        </w:tc>
        <w:tc>
          <w:tcPr>
            <w:tcW w:w="9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4640" w:type="dxa"/>
            <w:vAlign w:val="bottom"/>
            <w:gridSpan w:val="10"/>
          </w:tcPr>
          <w:p>
            <w:pPr>
              <w:spacing w:after="0"/>
              <w:rPr>
                <w:sz w:val="17"/>
                <w:szCs w:val="17"/>
                <w:color w:val="auto"/>
              </w:rPr>
            </w:pPr>
          </w:p>
        </w:tc>
        <w:tc>
          <w:tcPr>
            <w:tcW w:w="2840" w:type="dxa"/>
            <w:vAlign w:val="bottom"/>
            <w:gridSpan w:val="3"/>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80" w:type="dxa"/>
            <w:vAlign w:val="bottom"/>
            <w:gridSpan w:val="13"/>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9C.</w:t>
            </w:r>
          </w:p>
        </w:tc>
        <w:tc>
          <w:tcPr>
            <w:tcW w:w="9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180" w:type="dxa"/>
            <w:vAlign w:val="bottom"/>
            <w:gridSpan w:val="8"/>
          </w:tcPr>
          <w:p>
            <w:pPr>
              <w:jc w:val="center"/>
              <w:ind w:right="406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24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auto"/>
              </w:rPr>
              <w:t>Item 10.</w:t>
            </w:r>
          </w:p>
        </w:tc>
        <w:tc>
          <w:tcPr>
            <w:tcW w:w="4060" w:type="dxa"/>
            <w:vAlign w:val="bottom"/>
            <w:gridSpan w:val="12"/>
          </w:tcPr>
          <w:p>
            <w:pPr>
              <w:spacing w:after="0" w:line="192" w:lineRule="exact"/>
              <w:rPr>
                <w:sz w:val="20"/>
                <w:szCs w:val="20"/>
                <w:color w:val="auto"/>
              </w:rPr>
            </w:pPr>
            <w:r>
              <w:rPr>
                <w:rFonts w:ascii="Times New Roman" w:cs="Times New Roman" w:eastAsia="Times New Roman" w:hAnsi="Times New Roman"/>
                <w:sz w:val="18"/>
                <w:szCs w:val="18"/>
                <w:color w:val="0000FF"/>
                <w:w w:val="98"/>
              </w:rPr>
              <w:t>Directors, Executive Officers and Corporate Governance</w:t>
            </w:r>
          </w:p>
        </w:tc>
        <w:tc>
          <w:tcPr>
            <w:tcW w:w="5180" w:type="dxa"/>
            <w:vAlign w:val="bottom"/>
            <w:gridSpan w:val="8"/>
          </w:tcPr>
          <w:p>
            <w:pPr>
              <w:spacing w:after="0"/>
              <w:rPr>
                <w:sz w:val="16"/>
                <w:szCs w:val="16"/>
                <w:color w:val="auto"/>
              </w:rPr>
            </w:pPr>
          </w:p>
        </w:tc>
        <w:tc>
          <w:tcPr>
            <w:tcW w:w="720" w:type="dxa"/>
            <w:vAlign w:val="bottom"/>
            <w:gridSpan w:val="5"/>
          </w:tcPr>
          <w:p>
            <w:pPr>
              <w:jc w:val="right"/>
              <w:ind w:right="20"/>
              <w:spacing w:after="0" w:line="192" w:lineRule="exact"/>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11.</w:t>
            </w:r>
          </w:p>
        </w:tc>
        <w:tc>
          <w:tcPr>
            <w:tcW w:w="4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180" w:type="dxa"/>
            <w:vAlign w:val="bottom"/>
            <w:gridSpan w:val="8"/>
          </w:tcPr>
          <w:p>
            <w:pPr>
              <w:spacing w:after="0"/>
              <w:rPr>
                <w:sz w:val="17"/>
                <w:szCs w:val="17"/>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12.</w:t>
            </w:r>
          </w:p>
        </w:tc>
        <w:tc>
          <w:tcPr>
            <w:tcW w:w="7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Security Ownership of Certain Beneficial Owners and Management and Related Shareholder Matters</w:t>
            </w:r>
          </w:p>
        </w:tc>
        <w:tc>
          <w:tcPr>
            <w:tcW w:w="2020" w:type="dxa"/>
            <w:vAlign w:val="bottom"/>
            <w:gridSpan w:val="2"/>
          </w:tcPr>
          <w:p>
            <w:pPr>
              <w:spacing w:after="0"/>
              <w:rPr>
                <w:sz w:val="17"/>
                <w:szCs w:val="17"/>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13.</w:t>
            </w:r>
          </w:p>
        </w:tc>
        <w:tc>
          <w:tcPr>
            <w:tcW w:w="7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020" w:type="dxa"/>
            <w:vAlign w:val="bottom"/>
            <w:gridSpan w:val="2"/>
          </w:tcPr>
          <w:p>
            <w:pPr>
              <w:spacing w:after="0"/>
              <w:rPr>
                <w:sz w:val="17"/>
                <w:szCs w:val="17"/>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180" w:type="dxa"/>
            <w:vAlign w:val="bottom"/>
            <w:gridSpan w:val="9"/>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14.</w:t>
            </w:r>
          </w:p>
        </w:tc>
        <w:tc>
          <w:tcPr>
            <w:tcW w:w="9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42"/>
        </w:trPr>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180" w:type="dxa"/>
            <w:vAlign w:val="bottom"/>
            <w:gridSpan w:val="8"/>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44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240" w:type="dxa"/>
            <w:vAlign w:val="bottom"/>
            <w:gridSpan w:val="3"/>
          </w:tcPr>
          <w:p>
            <w:pPr>
              <w:spacing w:after="0" w:line="192" w:lineRule="exact"/>
              <w:rPr>
                <w:sz w:val="20"/>
                <w:szCs w:val="20"/>
                <w:color w:val="auto"/>
              </w:rPr>
            </w:pPr>
            <w:r>
              <w:rPr>
                <w:rFonts w:ascii="Times New Roman" w:cs="Times New Roman" w:eastAsia="Times New Roman" w:hAnsi="Times New Roman"/>
                <w:sz w:val="18"/>
                <w:szCs w:val="18"/>
                <w:color w:val="auto"/>
              </w:rPr>
              <w:t>Item 15.</w:t>
            </w:r>
          </w:p>
        </w:tc>
        <w:tc>
          <w:tcPr>
            <w:tcW w:w="3060" w:type="dxa"/>
            <w:vAlign w:val="bottom"/>
            <w:gridSpan w:val="11"/>
          </w:tcPr>
          <w:p>
            <w:pPr>
              <w:spacing w:after="0" w:line="192" w:lineRule="exact"/>
              <w:rPr>
                <w:sz w:val="20"/>
                <w:szCs w:val="20"/>
                <w:color w:val="auto"/>
              </w:rPr>
            </w:pPr>
            <w:r>
              <w:rPr>
                <w:rFonts w:ascii="Times New Roman" w:cs="Times New Roman" w:eastAsia="Times New Roman" w:hAnsi="Times New Roman"/>
                <w:sz w:val="18"/>
                <w:szCs w:val="18"/>
                <w:color w:val="0000FF"/>
                <w:w w:val="98"/>
              </w:rPr>
              <w:t>Exhibit and Financial Statement Schedules</w:t>
            </w:r>
          </w:p>
        </w:tc>
        <w:tc>
          <w:tcPr>
            <w:tcW w:w="6180" w:type="dxa"/>
            <w:vAlign w:val="bottom"/>
            <w:gridSpan w:val="9"/>
          </w:tcPr>
          <w:p>
            <w:pPr>
              <w:spacing w:after="0"/>
              <w:rPr>
                <w:sz w:val="16"/>
                <w:szCs w:val="16"/>
                <w:color w:val="auto"/>
              </w:rPr>
            </w:pPr>
          </w:p>
        </w:tc>
        <w:tc>
          <w:tcPr>
            <w:tcW w:w="720" w:type="dxa"/>
            <w:vAlign w:val="bottom"/>
            <w:gridSpan w:val="5"/>
          </w:tcPr>
          <w:p>
            <w:pPr>
              <w:jc w:val="right"/>
              <w:ind w:right="20"/>
              <w:spacing w:after="0" w:line="192" w:lineRule="exact"/>
              <w:rPr>
                <w:sz w:val="20"/>
                <w:szCs w:val="20"/>
                <w:color w:val="auto"/>
              </w:rPr>
            </w:pPr>
            <w:r>
              <w:rPr>
                <w:rFonts w:ascii="Times New Roman" w:cs="Times New Roman" w:eastAsia="Times New Roman" w:hAnsi="Times New Roman"/>
                <w:sz w:val="18"/>
                <w:szCs w:val="18"/>
                <w:color w:val="0000FF"/>
              </w:rPr>
              <w:t>101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6180" w:type="dxa"/>
            <w:vAlign w:val="bottom"/>
            <w:gridSpan w:val="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16.</w:t>
            </w:r>
          </w:p>
        </w:tc>
        <w:tc>
          <w:tcPr>
            <w:tcW w:w="15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Form 10-K Summary</w:t>
            </w:r>
          </w:p>
        </w:tc>
        <w:tc>
          <w:tcPr>
            <w:tcW w:w="1520" w:type="dxa"/>
            <w:vAlign w:val="bottom"/>
            <w:gridSpan w:val="5"/>
          </w:tcPr>
          <w:p>
            <w:pPr>
              <w:spacing w:after="0"/>
              <w:rPr>
                <w:sz w:val="17"/>
                <w:szCs w:val="17"/>
                <w:color w:val="auto"/>
              </w:rPr>
            </w:pPr>
          </w:p>
        </w:tc>
        <w:tc>
          <w:tcPr>
            <w:tcW w:w="6180" w:type="dxa"/>
            <w:vAlign w:val="bottom"/>
            <w:gridSpan w:val="9"/>
          </w:tcPr>
          <w:p>
            <w:pPr>
              <w:spacing w:after="0"/>
              <w:rPr>
                <w:sz w:val="17"/>
                <w:szCs w:val="17"/>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Exhibit Index</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105</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177" w:right="359"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1"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7"/>
          <w:szCs w:val="17"/>
          <w:color w:val="auto"/>
        </w:rPr>
        <w:t>This Annual Report on Form 10-K, including the documents incorporated by reference herein,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Section 27A of the Securities Act of 1933, as amended, and Section 21E of the Securities Exchange Act of 1934, as amended (“Exchange Act”).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Among the factors that could cause actual results to differ materially from those set forth in the forward-looking statements include, but are not limited to, uncertainties associated with our expectations regarding future revenue, growth in revenue, market penetration for MACI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Epicel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NexoBrid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growth in profit, gross margins and operating margins, the ability to continue to scale our manufacturing operations to meet the demand for our cell therapy products, including the timely completion of a new headquarters and manufacturing facility in Burlington, Massachusetts, the ability to achieve or sustain profitability, contributions to adjusted EBITDA, the expected target surgeon audience, potential fluctuations in sales and volumes and our results of operations over the course of the year, timing and conduct of clinical trial and product development activities, timing and likelihood of the FDA’s potential approval of the arthroscopic delivery of MACI to the knee or the use of MACI to treat cartilage defects in the ankle, the estimate of the commercial growth potential of our products and product candidates, competitive developments, changes in third-party coverage and reimbursement, physician and burn center adoption of NexoBrid, supply chain disruptions or other events or factors affecting MediWound’s ability to manufacture and supply sufficient quantities of NexoBrid to meet customer demand, including but not limited to the ongoing Israel-Hamas war, negative impacts on the global economy and capital markets resulting from the conflict in Ukraine and the Israel-Hamas war, adverse developments affecting financial institutions, companies in the financial services industry or the financial services industry generally, global geopolitical tensions or record inflation and potential future impacts on our business or the economy generally stemming from a resurgence of COVID-19 or another similar public health emergency.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our Annual Report on Form 10-K under “Part I, Item 1A Risk Factors.”</w:t>
      </w:r>
    </w:p>
    <w:p>
      <w:pPr>
        <w:spacing w:after="0" w:line="200" w:lineRule="exact"/>
        <w:rPr>
          <w:sz w:val="20"/>
          <w:szCs w:val="20"/>
          <w:color w:val="auto"/>
        </w:rPr>
      </w:pPr>
    </w:p>
    <w:p>
      <w:pPr>
        <w:spacing w:after="0" w:line="22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our Annual Report on Form 10-K will be important in determining future results. New factors emerge from time to time, and it is not possible for us to predict which factors will arise.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21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i w:val="1"/>
          <w:iCs w:val="1"/>
          <w:color w:val="auto"/>
        </w:rPr>
        <w:t>Except for the historical information presented, the matters discussed in this Annual Report, including our product development and commercialization goals and expectations, our plans and anticipated timing and results of clinical and regulatory development activities, potential market opportunities, revenue expectations and the potential advantages and applications of our products and product candidates under development, include forward-looking statements that involve risks and uncertainties. Our actual results may differ significantly from the results discussed in the forward-looking statements. Factors that could cause or contribute to such differences include, but are not limited to, those discussed under the caption “Risk Factors.” Unless the context requires otherwise, references to “Vericel,” “the Company,” “our company,” “we,” “us,” and “our” refer to Vericel Corporation.</w:t>
      </w:r>
    </w:p>
    <w:p>
      <w:pPr>
        <w:spacing w:after="0" w:line="212" w:lineRule="exact"/>
        <w:rPr>
          <w:sz w:val="20"/>
          <w:szCs w:val="20"/>
          <w:color w:val="auto"/>
        </w:rPr>
      </w:pPr>
    </w:p>
    <w:p>
      <w:pPr>
        <w:jc w:val="both"/>
        <w:ind w:firstLine="240"/>
        <w:spacing w:after="0"/>
        <w:rPr>
          <w:sz w:val="20"/>
          <w:szCs w:val="20"/>
          <w:color w:val="auto"/>
        </w:rPr>
      </w:pPr>
      <w:r>
        <w:rPr>
          <w:rFonts w:ascii="Times New Roman" w:cs="Times New Roman" w:eastAsia="Times New Roman" w:hAnsi="Times New Roman"/>
          <w:sz w:val="18"/>
          <w:szCs w:val="18"/>
          <w:i w:val="1"/>
          <w:iCs w:val="1"/>
          <w:color w:val="auto"/>
        </w:rPr>
        <w:t xml:space="preserve">We own various trademark registrations and applications, and unregistered trademarks, including Vericel Corporation, Epicel, MACI and our corporate logo. All other trade names, trademarks and service marks of other companies appearing in this Form 10-K are the property of their respective holders, including NexoBrid, which is a registered trademark of MediWound Ltd. Solely for convenience, the trademarks and trade names in this document may be referred to without the </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Data and Industry Forecasts and Projections</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We use market data and industry forecasts and projections throughout this Annual Report on Form 10-K, and in particular in “Part I - Item 1. - Business.” We have obtained the market data from certain publicly available sources of information, including publicly available independent industry publications and other third-party sources. Unless otherwise indicated, statements in this Annual Report on Form 10-K concerning our industry and the markets in which we operate, including our general expectations and competitive position, business opportunity and market size, growth and share, are based on information from independent industry organizations and other third-party sources (including industry publications, surveys and forecasts), data from our internal research and management estimates. We believe the data that third parties have compiled is reliable, but we have not independently verified the accuracy of this information and there is no assurance that any of the forecasted amounts will be achieved. Any forecasts are based on data (including third-party data), models and experience of various professionals and are based on various assumptions, all of which are subject to change without notice. While we are not aware of any misstatements regarding the industry data presented herein, forecasts, assumptions, expectations, beliefs, estimates and projections involve risks and uncertainties and are subject to change based on various factors, including those described under the heading “Forward-Looking Statements - Cautionary Language” and in “Part I -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Vericel Corporation is a fully-integrated, commercial-stage biopharmaceutical company and a leading provider of advanced therapies for the sports medicine and severe burn care markets. Whether we are treating damaged cartilage or severe burns, we provide advanced therapies to repair serious injuries and restore lives. Our highly differentiated portfolio of cell therapy and specialty biologic products combines innovations in biology with medical technologies. We were among the first companies to achieve commercial success in the complex field of cell therapies with treatments that use tissue engineering to regenerate skin and healthy knee cartilage. We currently market two U.S. Food and Drug Administration (“FDA”) approved autologous cell therapy products and one FDA-approved specialty biologic product in the U.S. MACI® is an autologous cellularized scaffold product indicated for the repair of symptomatic, single or multiple full-thickness cartilage defects of the knee with or without bone involvement in adults. Epicel® is a permanent skin replacement Humanitarian Use Device (“HUD”) for the treatment of adult and pediatric patients with deep-dermal or full-thickness burns comprising greater than or equal to 30 percent of total body surface area (“TBSA”). We also hold an exclusive license from MediWound Ltd. (“MediWound”) for North American rights to NexoBrid® (anacaulase-bcdb), a topically-administered biological orphan product containing proteolytic enzymes, which is indicated for the removal of eschar in adults with deep partial thickness and/or full thickness thermal burns. Following FDA approval, we began commercial sales of NexoBrid in the U.S. during the third quarter of 2023.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Our objective is to become the leading developer in advanced therapies for the sports medicine and severe burn care markets. To achieve this objective, we intend to:</w:t>
      </w:r>
    </w:p>
    <w:p>
      <w:pPr>
        <w:spacing w:after="0" w:line="189" w:lineRule="exact"/>
        <w:rPr>
          <w:sz w:val="20"/>
          <w:szCs w:val="20"/>
          <w:color w:val="auto"/>
        </w:rPr>
      </w:pPr>
    </w:p>
    <w:p>
      <w:pPr>
        <w:jc w:val="both"/>
        <w:ind w:left="640" w:hanging="313"/>
        <w:spacing w:after="0" w:line="25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MACI revenue by increasing the number of surgeons implanting MACI and the average number of implants per surgeon, seeking to expand the clinical indications for which the MACI procedure is approved, and optimizing the ease of use of the MACI procedure for surgeons through, among other efforts, developing and potentially commercializing an arthroscopic delivery method for MACI;</w:t>
      </w:r>
    </w:p>
    <w:p>
      <w:pPr>
        <w:spacing w:after="0" w:line="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Epicel revenue by expanding the number of burn centers and surgeons consistently using Epicel;</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NexoBrid revenue by continuing the successful commercial launch of the product in the U.S. and expanding the number of burn centers, hospitals and physicians consistently using NexoBrid for the removal of eschar; and</w:t>
      </w: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positive operating income and cash flow.</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On May 11, 2023, the U.S. Department of Health and Human Services announced the expiration of the federal Public Health Emergency for COVID-19. At this juncture, the pandemic’s effects on our business and results of operations have largely moderated and we have seen a return to more normal operations. Should a resurgence of COVID-19 occur, or new virus variants emerge, it could result in additional disruptions that could impact our business and operations in the future, including U.S. hospital or surgical center staffing shortages, periodic cancellation or delay of elective MACI surgical procedures, intermittent restrictions on the ability of our personnel to travel and access customers for selling, marketing, training, case support and product development feedback, delays in approvals by regulatory bodies, delays in product development efforts, and additional government requirements or other incremental mitigation efforts that may further impact our capacity to manufacture, sell and support the use of our products.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a discussion of additional risks associated with the COVID-19 pandemic and potential other future health emergencies, please see Part I, Item 1A.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 in Ukraine</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ongoing war between Russia and Ukraine and the related sanctions and other penalties imposed by countries across the globe against Russia are continuing to create substantial uncertainty in the global economy and have contributed to heightened inflation and supply chain disruptions. While we do not have operations in Russia or Ukraine and do not have exposure to distributors, or third-party service providers in Russia or Ukraine, we are unable to predict the ultimate impact that these actions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will have on the global economy or on our financial condition, results of operations, and cash flows as of the date of these consolidated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 in Israel and Gaza</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 May 2019, we entered into exclusive license and supply agreements with MediWound, under which MediWound manufactures and supplies NexoBrid to the U.S. market on a unit price basis. MediWound develops and manufactures NexoBrid in part, at its facilities in Yavne, Israel.</w:t>
      </w:r>
    </w:p>
    <w:p>
      <w:pPr>
        <w:spacing w:after="0" w:line="189" w:lineRule="exact"/>
        <w:rPr>
          <w:sz w:val="20"/>
          <w:szCs w:val="20"/>
          <w:color w:val="auto"/>
        </w:rPr>
      </w:pPr>
    </w:p>
    <w:p>
      <w:pPr>
        <w:jc w:val="both"/>
        <w:ind w:firstLine="240"/>
        <w:spacing w:after="0" w:line="273" w:lineRule="auto"/>
        <w:rPr>
          <w:sz w:val="20"/>
          <w:szCs w:val="20"/>
          <w:color w:val="auto"/>
        </w:rPr>
      </w:pPr>
      <w:r>
        <w:rPr>
          <w:rFonts w:ascii="Times New Roman" w:cs="Times New Roman" w:eastAsia="Times New Roman" w:hAnsi="Times New Roman"/>
          <w:sz w:val="17"/>
          <w:szCs w:val="17"/>
          <w:color w:val="auto"/>
        </w:rPr>
        <w:t>We continue to monitor the ongoing conflict in Israel and are in close communication with MediWound leadership. MediWound’s NexoBrid manufacturing operations are continuing and, as of the date of this disclosure, MediWound does not anticipate a disruption to its ongoing supply of commercial NexoBrid to the United States. To the extent the war between Israel and Hamas intensifies or expands to include additional countries or militant groups in the region and MediWound’s facilities in Israel are damaged or destroyed, travel to and from Israel is halted or inhibited, or significant key MediWound operational personnel are called to military service, MediWound’s ability to continue to supply NexoBrid to the U.S. market could be disrupted.</w:t>
      </w:r>
    </w:p>
    <w:p>
      <w:pPr>
        <w:spacing w:after="0" w:line="1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a discussion of additional risks associated with the ongoing conflict in Israel, please see Part I, Item 1A. “Risk Factors”.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have a cell manufacturing facility in Cambridge, Massachusetts, which is used for U.S. manufacturing and distribution of MACI and Epicel. The manufacturing process for NexoBrid is conducted by MediWound, primarily at manufacturing locations in Israel. Certain raw materials utilized in NexoBrid’s manufacture, including the supply of the active ingredient bromelain are obtained from Taiwan.</w:t>
      </w:r>
    </w:p>
    <w:p>
      <w:pPr>
        <w:spacing w:after="0" w:line="20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On July 1, 2023, we renewed our long-term supply agreement with Matricel GmbH (“Matricel”) for the supply of ACI-Maix collagen membranes used in the manufacture of MACI (the “Matricel Supply Agreement”). In the event Matricel is unable to supply the membranes, we may license the technology and procure the membranes from another source. The Matricel Supply Agreement provides that Matricel shall supply the ACI-Maix membranes exclusively to us during the term of the agreement. The Matricel Supply Agreement is effective until December 31, 2030, with an option to extend its term for three additional years to December 31, 2033. Thereafter, the Matricel Supply Agreement may be renewed for additional three-year periods.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24"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Our current marketed products include two FDA-approved autologous cell therapies and one FDA-approved specialty biologic product. MACI is a third-generation autologous cellularized scaffold product indicated for the repair of symptomatic, single or multiple full-thickness cartilage defects of the knee with or without bone involvement in adults; and Epicel is a permanent skin replacement for the treatment of adult and pediatric patients with deep-dermal or full-thickness burns comprising greater than or equal to 30 percent TBSA. Both autologous cell therapy products are currently manufactured and marketed in the U.S. NexoBrid is a topically-administered biological orphan product containing proteolytic enzymes that is indicated for eschar removal in adults with deep partial-thickness and/or full-thickness burns. We hold exclusive license and supply agreements with MediWound to commercialize NexoBrid in North America.</w:t>
      </w:r>
    </w:p>
    <w:p>
      <w:pPr>
        <w:spacing w:after="0" w:line="2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MACI</w:t>
      </w:r>
    </w:p>
    <w:p>
      <w:pPr>
        <w:spacing w:after="0" w:line="2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Background of Cartilage Defects</w:t>
      </w:r>
    </w:p>
    <w:p>
      <w:pPr>
        <w:spacing w:after="0" w:line="22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Damage to cartilage in the knee can occur from acute or repetitive trauma from playing sports, exercising, work-related physical demands, or performing everyday activities. When damaged, cartilage in the knee does not usually heal on its own. If left untreated, cartilage defects can progress and lead to degenerative joint disease, osteoarthritis and potentially require total knee replacement, which is a poor option for younger and more active patients.</w:t>
      </w:r>
    </w:p>
    <w:p>
      <w:pPr>
        <w:spacing w:after="0" w:line="17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Carticel was the first FDA-approved autologous cartilage repair product for the repair of symptomatic cartilage defects and was indicated for the repair of symptomatic cartilage defects of the femoral condyle (medial, lateral or trochlea) caused by acute or repetitive trauma, in patients who have had an inadequate response to a prior arthroscopic or other surgical repair procedure such as debridement (the removal of damaged or defective cartilage), microfracture (the creation of tiny fractures in the bone to encourage new cartilage), drilling/abrasion arthroplasty, or osteochondral allograft/autograft. Carticel received a BLA approval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1997, and was marketed in the U.S. by Vericel through the second quarter of 2017. The FDA approved MACI on December 13, 2016.</w:t>
      </w:r>
    </w:p>
    <w:p>
      <w:pPr>
        <w:spacing w:after="0" w:line="247" w:lineRule="exact"/>
        <w:rPr>
          <w:sz w:val="20"/>
          <w:szCs w:val="20"/>
          <w:color w:val="auto"/>
        </w:rPr>
      </w:pPr>
    </w:p>
    <w:p>
      <w:pPr>
        <w:jc w:val="both"/>
        <w:ind w:firstLine="240"/>
        <w:spacing w:after="0" w:line="270" w:lineRule="auto"/>
        <w:rPr>
          <w:sz w:val="20"/>
          <w:szCs w:val="20"/>
          <w:color w:val="auto"/>
        </w:rPr>
      </w:pPr>
      <w:r>
        <w:rPr>
          <w:rFonts w:ascii="Times New Roman" w:cs="Times New Roman" w:eastAsia="Times New Roman" w:hAnsi="Times New Roman"/>
          <w:sz w:val="18"/>
          <w:szCs w:val="18"/>
          <w:color w:val="auto"/>
        </w:rPr>
        <w:t>MACI is an autologous cellular scaffold product consisting of autologous cultured chondrocytes seeded onto a resorbable Type I/III porcine-derived collagen membrane. Autologous cultured chondrocytes are human-derived cells which are obtained from a sample of the patient’s own cartilage for the</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manufacture of MACI. An orthopedic surgeon obtains the sample by taking a cartilage biopsy during an initial arthroscopic procedure. We isolate the patient’s chondrocytes (the cells that produce cartilage) from the biopsy and expand those cells in a manufacturing process compliant with current Good Manufacturing Practices (“cGMP”). The expanded cells are then uniformly seeded onto a resorbable collagen membrane using a proprietary process prior to shipment. After receipt by the surgeon, MACI is implanted into the cartilage defect(s). A key driver of ACI’s therapeutic advantage relative to other approaches, such as microfracture, is that autologous chondrocytes have the potential to produce the hyaline-like cartilage that is naturally present in the knee, rather than fibrous cartilage, which lacks the durability and wear characteristics of hyaline cartilage. Unlike Carticel, which was a cell suspension and required a membrane to be sutured in place to confine the cell suspension to the defect area, MACI is comprised of cells uniformly seeded on a collagen membrane resulting in a surgery that is simpler than that with Carticel. MACI may be implanted through a smaller incision or mini arthrotomy for focal defects. By using specialized instruments, MACI is simply trimmed by the surgeon to the size of the defect, allowing for a precise fit, and fixed to the bone with an off-the-shelf surgical fibrin sealant. MACI has expanded the ACI market since MACI shares the efficacy advantages of Carticel, while being less invasive, having a shorter procedure time, and eliminating the need for a periosteal harvest and suture fixation of the periosteal patch. In addition, MACI is indicated for a broader range of cartilage defects of the knee, ensures more uniform distribution of the cells in the cartilage defect, and is supported by Phase 3 clinical data demonstrating a statistically significant improvement in pain and function scores compared to microfracture.</w:t>
      </w:r>
    </w:p>
    <w:p>
      <w:pPr>
        <w:spacing w:after="0" w:line="22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pivotal clinical trial supporting MACI registration in Europe and approval in the U.S., the Superiority of MACI Implant versus Microfracture Treatment in patients with symptomatic articular cartilage defects in the knee (“SUMMIT”) trial, was completed in 2012. Analysis of this 144-patient study demonstrated at Week 104 a statistically significant greater improvement in the co-primary endpoint of pain and function for those patients treated with MACI compared to microfracture.</w:t>
      </w:r>
    </w:p>
    <w:p>
      <w:pPr>
        <w:spacing w:after="0" w:line="208"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7"/>
          <w:szCs w:val="17"/>
          <w:color w:val="auto"/>
        </w:rPr>
        <w:t>MACI became commercially available in the European Union (the “EU”) in 2001 and in Australia in 2002, prior to promulgation of regulations requiring marketing authorizations for cell therapies in those markets. MACI received marketing authorization in Europe in June 2013, by meeting the requirements of the Advanced Therapy and Medicinal Product (“ATMP”) guidelines based on the results of the SUMMIT trial in which MACI was manufactured at, and supplied from, our Cambridge, Massachusetts site. We suspended the marketing of MACI in Europe in September 2014, primarily due to an unfavorable pricing environment. Lifting of the suspension would have required the registration of a new manufacturing facility in Europe prior to the five-year renewal deadline of June 2018, which was not feasible. Consequently, the European manufacturing authorization for MACI expired by its terms at the end of June 2018. Australian operations and the commercialization of MACI in that country was discontinued prior to our acquisition of the product in 2014.</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MACI</w:t>
      </w:r>
    </w:p>
    <w:p>
      <w:pPr>
        <w:spacing w:after="0" w:line="224"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Our target audiences are orthopedic surgeons who self-identify and/or have formal specialty training in sports medicine, and a subpopulation of general orthopedic surgeons who perform a high volume of cartilage repair procedures involving the knee. As of the date of this report, our MACI commercial team consists of Joint Restoration Territory Managers that regularly engage with our target audience. The team is divided into geographic regions, each managed by a Regional Manager and led by a Vice President of National MACI Sales. Most private payers have a medical policy that covers treatment with MACI, with the top 30 largest commercial payers having a formal medical policy for MACI or ACI in general. With respect to private commercial payers that have not yet approved a medical policy for MACI, we often obtain approval on a case-by-case basis.</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estimate that approximately 750,000 patients undergo cartilage repair procedures of the knee annually in the U.S. Of these, approximately 315,000 patients are consistent with the current MACI label. Based on defect characteristics, doctors that have implanted MACI consider approximately 125,000 of these patients clinically appropriate for MACI. Approximately 60,000 of these eligible patients have larger lesions and are likely to secure insurance authorization for MACI.</w:t>
      </w:r>
    </w:p>
    <w:p>
      <w:pPr>
        <w:spacing w:after="0" w:line="20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As a result of the uncertainty and other impacts of the COVID-19 pandemic and the resulting shifts of timing in some revenue, our historically observable seasonality of MACI revenues has been partially impacted. At this juncture the pandemic’s effects on our business and results of operations have largely moderated, although there continues to be a level of uncertainty whether MACI seasonality will fully return to pre-pandemic patterns. In the last five years through 2023, MACI sales volumes from the first through the fourth quarter on average represented 20% (18%-22% range), 22% (16%-24% range), 23%</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(21%-26% range) and 35% (33%-38% range) respectively, of total annual volumes. Historically, MACI orders are normally stronger in the fourth quarter due to several factors including the satisfaction by patients of insurance deductible limits and the time of year patients prefer to start rehabilitation.</w:t>
      </w:r>
    </w:p>
    <w:p>
      <w:pPr>
        <w:spacing w:after="0" w:line="189"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Seasonal sales patterns and other variations related to our revenue recognition may cause significant fluctuations in our results of operations and cash flows. We expect to continue to experience this seasonality effect in subsequent years.</w:t>
      </w:r>
    </w:p>
    <w:p>
      <w:pPr>
        <w:spacing w:after="0" w:line="189"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As discussed more fully above, MACI is currently implanted into the patient’s cartilage defect through an open surgical procedure. We are currently focused on the arthroscopic delivery of MACI to the cartilage defect – a procedure in which a surgeon can evaluate, prepare and treat the cartilage defect under direct arthroscopic visualization using specialized instruments delivered through a number of smaller incisions or portals. The arthroscopic delivery of MACI could increase the ease of MACI’s use for physicians and reduce both the length of the procedure as well as procedure-induced trauma, ultimately resulting in a reduction of a patient’s post-operative pain and accelerating a patient’s recovery. We have designed and are currently developing novel and specialized instruments to be used in and help facilitate such a procedure. We discussed with the FDA a non-clinical regulatory strategy to support the potential inclusion of arthroscopic delivery in MACI’s approved labeling. Specifically, following a Type C meeting with the FDA, we submitted a protocol for a MACI arthroscopic delivery human factors validation study, which we conducted and completed during the third quarter of 2023. The FDA is currently reviewing the data generated during the human factors validation study in the form of a prior approval supplement, which seeks to add instructions for arthroscopic delivery of MACI to the product’s approved labeling. We anticipate the commercial launch of the MACI arthroscopic delivery program during the third quarter of 2024.</w:t>
      </w:r>
    </w:p>
    <w:p>
      <w:pPr>
        <w:spacing w:after="0" w:line="217"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We also are evaluating the feasibility and potential market opportunity involved in delivering MACI treatment to patients suffering from cartilage damage in the ankle. We believe that this potential lifecycle enhancement and indication expansion for MACI will require conducting an additional randomized clinical trial concerning the product’s use in the ankle and we are on track to initiate a MACI Ankle clinical trial beginning in 2025 and, if approved, we believe MACI’s expansion into the ankle will be a significant longer-term growth driver for the product, beginning in the latter half of the decade.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Epicel</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Epicel is a permanent skin replacement for deep-dermal or full-thickness burns comprising greater than or equal to 30 percent of TBSA. The extent of the skin surface that the burn affects is usually referred to as a percent of TBSA. Epicel is currently the only FDA-approved cultured epidermal autograft product available for large total surface area burns in both adult and pediatric patients.</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Epicel is produced by isolating and expanding keratinocytes, which are the predominant cell type in the epidermis or outer layer of the skin, and which are originally obtained by taking of a small biopsy of a patient’s healthy skin. Epicel is an important treatment option for patients with severe burns because these patients are generally understood to need a keratinocyte-based epithelium, and because of the severity and extent of their burns, these patients generally have very little healthy skin remaining on their bodies from which to obtain keratinocyte-based epithelium for autografting.</w:t>
      </w:r>
    </w:p>
    <w:p>
      <w:pPr>
        <w:spacing w:after="0" w:line="208"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Epicel is a cell-based product that is regulated by the Center for Biologics Evaluation and Research (“CBER”) of the FDA under medical device authorities. Epicel was designated as a HUD in 1998 and a Humanitarian Device Exemption (“HDE”) application for the product was submitted in 1999. HUDs are devices that are intended for diseases or conditions that affect fewer than 8,000 individuals annually in the U.S., and certain HUDs are restricted by the amount which a manufacturer may charge for its use. Epicel is not price-restricted in this manner because on February 18, 2016, the FDA approved our HDE supplement to revise the labeled indications of use for Epicel to specifically include pediatric patients, thus allowing Epicel to be sold for profit. The revised product label also now specifies that the probable benefit of Epicel, mainly related to survival, was demonstrated in two Epicel clinical experience databases and a physician-sponsored study comparing outcomes in patients with large burns treated with Epicel relative to standard care.</w:t>
      </w:r>
    </w:p>
    <w:p>
      <w:pPr>
        <w:spacing w:after="0" w:line="213"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As of the date of this report, our burn care field force consists of individual sales and clinical representatives that regularly engage with our target audience. The team is divided into geographic regions, each managed by a Regional Manager and led by a Vice President of National Burn Care Sales.</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Epicel</w:t>
      </w:r>
    </w:p>
    <w:p>
      <w:pPr>
        <w:spacing w:after="0" w:line="224"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Each year in the U.S., more than 40,000 people are hospitalized for burns. Approximately 1,500 of these patients are treated for burns covering more than 30% TBSA, the labeled indication for Epicel. Currently, the mortality rate for this group is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approximately 34%, partially due to the inability to quickly close wounds because of the lack of remaining healthy tissue from which to harvest autografts. Although age can vary, the typical Epicel patient is young and has suffered full-thickness burns due to a wide variety of occupational, household or vehicular accidents. Many of the most severely burned patients are medivac transported to one of the approximately 140 specialized burn centers across the U.S. While the average acute care hospital has less than three admissions for burns annually, these specialized burn centers average over 200 admissions per year.</w:t>
      </w:r>
    </w:p>
    <w:p>
      <w:pPr>
        <w:spacing w:after="0" w:line="19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Relative to clinical need, we believe Epicel has been underutilized by burn centers due to the lack of a consistent promotional and educational effort prior to our acquisition of the product. We expect Epicel’s utility to continue to grow as commercial and medical efforts are appropriately dedicated to the product and the burn centers that use it to treat patients.</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Due to the low incidence and sporadic nature of severe burns, Epicel revenue has inherent variability from quarter to quarter and does not exhibit significant seasonality. Over the past five years, a single quarter has ranged from as high as 37% to as low as 17% of annual volumes. Seasonal sales patterns and other variations related to our revenue recognition may cause significant fluctuations in our results of operations and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NexoBrid</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portfolio of commercial-stage products now includes NexoBrid (anacaulase-bcdb), a topically-administered biological product containing proteolytic enzymes. The FDA approved NexoBrid on December 28, 2022, and the product is indicated for the removal of eschar in adults with deep partial-thickness and/or full thickness thermal burns. Following NexoBrid’s approval we immediately began cross-functional commercial launch activities for the product, including education, training, and engagement activities. We began U.S. commercial sales of NexoBrid in September 2023.</w:t>
      </w:r>
    </w:p>
    <w:p>
      <w:pPr>
        <w:spacing w:after="0" w:line="208" w:lineRule="exact"/>
        <w:rPr>
          <w:sz w:val="20"/>
          <w:szCs w:val="20"/>
          <w:color w:val="auto"/>
        </w:rPr>
      </w:pPr>
    </w:p>
    <w:p>
      <w:pPr>
        <w:jc w:val="both"/>
        <w:ind w:firstLine="240"/>
        <w:spacing w:after="0" w:line="268" w:lineRule="auto"/>
        <w:rPr>
          <w:sz w:val="20"/>
          <w:szCs w:val="20"/>
          <w:color w:val="auto"/>
        </w:rPr>
      </w:pPr>
      <w:r>
        <w:rPr>
          <w:rFonts w:ascii="Times New Roman" w:cs="Times New Roman" w:eastAsia="Times New Roman" w:hAnsi="Times New Roman"/>
          <w:sz w:val="17"/>
          <w:szCs w:val="17"/>
          <w:color w:val="auto"/>
        </w:rPr>
        <w:t>The treatment pathway for burn patients is generally determined by the ultimate size and depth of a patient’s burn injury. Patients with full-thickness burn injuries of any size and partial-thickness burn injuries greater than 10% TBSA are most often transferred to specialized burn centers. These types of burn injuries, which damage the epidermal and dermal layers of the skin, require removal of the damaged tissue, or eschar, followed by grafting of the wound area to achieve closure of the wound. Early eschar removal and burn assessment are critical first steps in the treatment of burn patients. The early removal of eschar can help reduce inflammation, slow or stop burn progression and reduce the potential for infection and sepsis. Surgical excision of eschar, which involves slicing away the burn tissue until healthy tissue is reached, currently is the standard of care for the removal of eschar. There are limitations to this procedure, however, in that surgical excision is non-selective and can cause pain, blood loss and loss of healthy tissue. Currently, there also exist certain non-surgical approaches for the removal of eschar, which have limited efficacy and which have not been shown to reduce the need for surgical eschar removal.</w:t>
      </w:r>
    </w:p>
    <w:p>
      <w:pPr>
        <w:spacing w:after="0" w:line="20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In treating patients with deep partial-thickness and/or full thickness burns, NexoBrid works to selectively degrade eschar over the course of approximately four hours while preserving viable tissue. NexoBrid can be administered to an area of up to 20% body surface area, in two separate applications, at the patient’s bedside through a series of steps. First, pain management as practiced for extensive dressing changes of burn wounds is administered, the wound is cleaned, a dressing soaked with antibacterial solution is applied to the treatment area and a petrolatum ointment barrier is created. The NexoBrid lyophilized powder is then mixed with a gel vehicle and applied to the wound. After a film dressing is applied, NexoBrid is left in place for four hours, after which the dissolved eschar is removed by scraping it away with a sterile blunt-edged instrument.</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NexoBrid</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NexoBrid is approved in the European Union (“EU”) and other international markets and has been designated as an orphan biologic in the U.S., EU and other international markets. NexoBrid has the potential to change the standard of care for eschar removal with respect to hospitalized burn patients and treat a significant addressable market in the U.S. With respect to NexoBrid, of the approximately 40,000 people that are hospitalized in the U.S. each year for burn-related injuries, the majority, over 30,000, have thermal burns and will likely require some level of eschar removal. NexoBrid’s FDA approval expands our burn care franchise’s total addressable market, which will permit us to treat a significantly larger segment of hospitalized burn patients than with Epicel. The expansion of our target addressable market supports a broader commercial footprint, and we believe that this may help drive both increased NexoBrid use as well as increased Epicel awareness throughout the burn care space. The commercial launch of NexoBrid is well underway.</w:t>
      </w:r>
    </w:p>
    <w:p>
      <w:pPr>
        <w:spacing w:after="0" w:line="21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manufacturing process for NexoBrid is conducted by MediWound, primarily at manufacturing locations in Israel. Certain raw materials utilized in NexoBrid’s manufacture, including the supply of the active ingredient bromelain, are obtained from Taiwan.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Pursuant to the terms of our existing license agreement, following the FDA approval of NexoBrid, MediWound transferred the BLA to Vericel effective February 20, 2023. MediWound and Vericel, under the supervision of a Central Steering Committee comprised of members of both companies will continue to guide development of NexoBrid in North America, to include the submission of a supplemental BLA to the FDA seeking to expand the NexoBrid indication to include pediatric patients, which the FDA has accepted for filing and consideration.</w:t>
      </w:r>
    </w:p>
    <w:p>
      <w:pPr>
        <w:spacing w:after="0" w:line="208"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Additionally, under our license agreement with MediWound, NexoBrid has been manufactured for the U.S. Biomedical Advanced Research and Development Authority (“BARDA”) under an emergency use authorization since 2020. BARDA has procured quantities of NexoBrid from MediWound, for use as a medical countermeasure in the event of a mass casualty emergency in the U.S. involving thermal burns. The initial, quarterly, procurement of NexoBrid by BARDA under its agreement with MediWound completed during the third quarter of 2022. We recognized revenue based on a percentage of gross profits for sales of NexoBrid to BARDA upon delivery, at which time BARDA was in control of the product. As of February 29, 2024, the Company did not hold a direct contract or distribution agreement with BARDA, or take title to the product procured by BARDA.</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On May 9, 2023, MediWound announced BARDA’s award of additional funding under the parties’ existing agreement, $3 million of which will support the replacement of NexoBrid, previously procured for emergency response preparedness, which has since expired. Pursuant to the terms of the Company’s license agreement with MediWound, the Company would recognize revenue based on a percentage of gross profits, minus a percentage of net sales, on any sales of NexoBrid directly to BARDA upon delivery, pursuant to this additional award.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Cell Manufacturing and Cell Production Components</w:t>
      </w:r>
    </w:p>
    <w:p>
      <w:pPr>
        <w:spacing w:after="0" w:line="22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cell-manufacturing facility is located in Cambridge, Massachusetts, and is used for the U.S. manufacturing and distribution of MACI and Epicel. The Cambridge facility also houses our research and development function, which is responsible for process development, release assay development, and technology transfers between sites and departments.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w:t>
      </w:r>
    </w:p>
    <w:p>
      <w:pPr>
        <w:spacing w:after="0" w:line="224"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bulk of our ongoing research and development activities are focused on exploring methods that improve our ability to efficiently manufacture high quality cell therapy products for patients. We have performed an in-depth analysis of the cell culture processes used in the manufacturing of Epicel and MACI and have identified several areas for potential improvement. Therefore, our research and development program is focused on the many facets of process development for all of our products including, but not limited to, tissue procurement and processing, cell culture surface and media modification, and other process efficiencies.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Rights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success depends in part on our ability, and the ability of our future licensors, to obtain patent protection for our products and processes.</w:t>
      </w:r>
    </w:p>
    <w:p>
      <w:pPr>
        <w:spacing w:after="0" w:line="247"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As part of the acquisition of the Cell Therapy and Regenerative Medicine (“CTRM”) business from Sanofi, we acquired a multinational intellectual property estate, which includes patents and patent applications directed to chondrocyte implants and technologies related to the determination of the presence of chondrocytes in the cell cultures used to produce the chondrocyte implants. Although we do not own any patents or patent applications relating to Epicel, many of the processes and techniques are trade secrets, and would be difficult to replicate without significant investment and time. We own issued patents directed to methods of determining the presence of chondrocytes in cell cultures used to produce both MACI and Carticel, which are scheduled to expire October 2029 in the U.S. and in April 2028 abroad. We own one issued patent directed to compositions and methods for repairing cartilage defects, scheduled to expire in the U.S. in February 2039. We have one issued patent in the U.S. directed to a device related to MACI that is set to expire in November 2033, and one issued patent in the EU set to expire in November 2034. We own one issued patent directed to methods and devices for repairing cartilage defects via arthroscopic MACI, scheduled to expire in the U.S. in March 2043.</w:t>
      </w:r>
    </w:p>
    <w:p>
      <w:pPr>
        <w:spacing w:after="0" w:line="21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As a biologic, MACI is entitled to twelve years of data exclusivity until December 13, 2028, calculated from its date of approval. When these patents and data exclusivity expire, our opportunity to establish or maintain product revenue could be substantially reduced.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Since 2019, we have held exclusive license and supply agreements with MediWound to commercialize NexoBrid in North America. We will need to continue to comply with the terms of such agreements in order to maintain our rights to such patents as we further commercialize NexoBrid in 2024.</w:t>
      </w:r>
    </w:p>
    <w:p>
      <w:pPr>
        <w:spacing w:after="0" w:line="18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Our efforts to secure our proprietary rights also include our reliance on trade secrets and know-how, which we seek to protect, in part, by confidentiality agreements. It is our policy to require our employees, consultants, contractors, manufacturers, outside scientific collaborators, sponsored researchers and other advisors to execute confidentiality agreements upon the commencement of employment or consulting relationships with us. These agreements provide that all confidential information developed or made known to the individual during the course of the individual’s relationship with us is to be kept confidential and not disclosed to third parties except in specific limited circumstances. We also require signed confidentiality or material transfer agreements from any company that is to receive our confidential information. In the case of employees, consultants and contractors, the agreements generally provide that all inventions conceived by the individual while rendering services to us shall be assigned to us as the exclusive property of Vericel.</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See “Government Regulation - Product Approval” and “Risk Factors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Risks Related to Intellectual Property,” below, for additional information.</w:t>
      </w:r>
    </w:p>
    <w:p>
      <w:pPr>
        <w:spacing w:after="0" w:line="235" w:lineRule="exact"/>
        <w:rPr>
          <w:sz w:val="20"/>
          <w:szCs w:val="20"/>
          <w:color w:val="auto"/>
        </w:rPr>
      </w:pPr>
    </w:p>
    <w:p>
      <w:pPr>
        <w:jc w:val="both"/>
        <w:ind w:right="200" w:firstLine="240"/>
        <w:spacing w:after="0" w:line="246" w:lineRule="auto"/>
        <w:rPr>
          <w:sz w:val="20"/>
          <w:szCs w:val="20"/>
          <w:color w:val="auto"/>
        </w:rPr>
      </w:pPr>
      <w:r>
        <w:rPr>
          <w:rFonts w:ascii="Times New Roman" w:cs="Times New Roman" w:eastAsia="Times New Roman" w:hAnsi="Times New Roman"/>
          <w:sz w:val="18"/>
          <w:szCs w:val="18"/>
          <w:color w:val="auto"/>
        </w:rPr>
        <w:t>We also own a broadly filed trademark portfolio with registrations for MACI and Epicel, and additional registrations and applications for various marks related to those two products. MediWound has additionally registered trademarks with respect to NexoBrid, which we have licensed as part of our License Agreement with MediWound.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4"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MACI, Epicel and NexoBrid are specialty products with focused physician and institutional call points. We have two sales teams, one dedicated to MACI and a Burn Care team focused on both Epicel and NexoBrid. The MACI sales organization is comprised of individual Joint Restoration Territory Managers, which engage with our target audience. The team is divided into geographic regions, each managed by a Regional Manager and led by a Vice President of National MACI Sales. The current target audience is a concentrated (approximately 5,000) set of sports medicine and general orthopedic surgeons and their staffs, although if the potential expansion of the MACI label to include the arthroscopic delivery of MACI is successful, we expect that audience could expand to approximately 7,000 sports medicine and general orthopedic surgeons and their staffs.</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Most private payers have a medical policy that covers treatment with MACI with the top 30 largest commercial payers having a formal medical policy for MACI or ACI in general. Even for private payers that have not yet approved a medical policy for MACI, for medically appropriate cases, we often obtain approval on a case-by-case basis.</w:t>
      </w:r>
    </w:p>
    <w:p>
      <w:pPr>
        <w:spacing w:after="0" w:line="20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We contract with two specialty pharmacies, Orsini Pharmaceutical Services, Inc. (“Orsini”) and AllCare Plus Pharmacy, Inc. (“AllCare”) to distribute MACI in a manner in which we retain the credit and collection risk from the end customer. We pay each specialty pharmacy a fee in each instance when it dispenses MACI for use in treating a patient. Both Orsini and AllCare perform collection activities to collect payment from customers. In addition, we sell MACI directly to hospitals pursuant to an agreed upon purchase order and to a distributor, DMS Pharmaceutical Group, Inc. (“DMS”) at a contracted rate for the treatment of patients at military facilities throughout the U.S. We engage a third party contractor to provide services in connection with a patient support program to manage patient cases and to ensure that complete and accurate billing information is provided to insurers and hospitals.</w:t>
      </w:r>
    </w:p>
    <w:p>
      <w:pPr>
        <w:spacing w:after="0" w:line="21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Following the approval and commercial launch of NexoBrid, we have expanded the burn care commercial team to include both account management and clinical specialist professionals. The burn care franchise is divided into three geographic regions, each led by a Regional Manager, and reporting to a Vice President of National Burn Care Sales. There are approximately 140 burn centers in the U.S., and a subset of these institutions regularly treat patients suffering from large TBSA burns. We sell Epicel directly to hospitals and burn centers based on contracted rates stated in an approved contract or an applicable purchase order with the hospital. We sell NexoBrid to specialty distributors. These customers subsequently resell NexoBrid to hospitals and burn centers.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research and development activities and the manufacturing and marketing of our products are subject to the laws and regulations of governmental authorities in the U.S. and other countries in which our products may be marketed. Specifically, in the U.S., the FDA regulates drugs, biologics and medical devices and requires new product approvals or clearances to assure the safety and effectiveness of these products. Governments in other countries have similar requirements for testing and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marketing. In the U.S., in addition to meeting FDA regulations, we are also subject to other federal laws, such as the Occupational Safety and Health Act and the Environmental Protection Act, as well as certain state laws.</w:t>
      </w:r>
    </w:p>
    <w:p>
      <w:pPr>
        <w:spacing w:after="0" w:line="189"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Some human cell or tissue products that are intended for implantation, transplantation, infusion, or transfer into a human recipient are regulated solely as human cell, tissue, and cellular and tissue-based products (“HCT/Ps”) and do not require the FDA’s premarket review. If these cell or tissue products do not meet the FDA’s requirements for regulation solely as an HCT/P, they require FDA premarket review and marketing authorization. The types of marketing authorizations required for non HCT/P cell therapy products have evolved since cell therapy products were initially introduced. Epicel was approved by FDA’s Center for Devices and Radiological Health (“CDRH”), as an HDE medical device in 2007, but now is regulated by CBER under the same medical device regulations. MACI, approved in 2016, is regulated by CBER as a combination cell therapy/device product and required an approved BLA to be marketed in the U.S. NexoBrid is regulated by FDA’s Center for Drug Evaluation and Research (“CDER”) as a botanical protein biologic and the BLA associated with it was approved by the FDA on December 28, 2022, paving the way for marketing and commercialization. Commercial production of these products needs to occur in FDA-registered facilities in compliance with cGMP requirements for biologics.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Regulatory Process</w:t>
      </w:r>
    </w:p>
    <w:p>
      <w:pPr>
        <w:spacing w:after="0" w:line="22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FDA regulates biologics under the Federal Food, Drug, and Cosmetic Act (“FFDCA”) and the Public Health Service Act (“PHSA”), and their implementing regulations. Obtaining approval of a BLA for a new biological product is a lengthy process, leading from the development of a new product through preclinical and clinical testing. This process takes several years and requires expenditure of significant resources. There can be no assurance that our current or future product candidates will ultimately receive approval.</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FFDCA, PHSA, and other federal and state statutes and regulations govern the research, testing, manufacture, safety, labeling, storage, record-keeping, approval, distribution, use, adverse event reporting, and advertising and promotion of our products. Noncompliance with applicable requirements can result in inspectional observations, FDA warning letters, civil penalties, recalls, injunctions or seizures of products, refusal of the government to approve our product approval applications or to allow us to enter into government supply contracts, withdrawal of previously approved applications and criminal prosecution.</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Product Approval</w:t>
      </w:r>
    </w:p>
    <w:p>
      <w:pPr>
        <w:spacing w:after="0" w:line="251" w:lineRule="exact"/>
        <w:rPr>
          <w:sz w:val="20"/>
          <w:szCs w:val="20"/>
          <w:color w:val="auto"/>
        </w:rPr>
      </w:pPr>
    </w:p>
    <w:p>
      <w:pPr>
        <w:jc w:val="both"/>
        <w:ind w:firstLine="240"/>
        <w:spacing w:after="0" w:line="268" w:lineRule="auto"/>
        <w:rPr>
          <w:sz w:val="20"/>
          <w:szCs w:val="20"/>
          <w:color w:val="auto"/>
        </w:rPr>
      </w:pPr>
      <w:r>
        <w:rPr>
          <w:rFonts w:ascii="Times New Roman" w:cs="Times New Roman" w:eastAsia="Times New Roman" w:hAnsi="Times New Roman"/>
          <w:sz w:val="17"/>
          <w:szCs w:val="17"/>
          <w:color w:val="auto"/>
        </w:rPr>
        <w:t>In order to obtain an FDA license for, or approval of, a new biological product, sponsors must submit proof of safety, purity and potency, or effectiveness. In most cases, such proof entails extensive nonclinical (also known as preclinical), studies in animal models and well-controlled clinical trials in human subjects. The testing, preparation of necessary applications and processing of those applications by the FDA is expensive, can take several years to complete, and can have uncertain outcomes. The FDA regulatory review and approval process is complex and can result in requests for additional data, resulting in increased development costs, and time to market delays, or could preclude us altogether from bringing to market new products. The FDA may also require post-marketing studies and risk evaluation and mitigation strategies (“REMS”) as conditions of approval. These requirements, if imposed, add to the cost of regulatory compliance and the cost of selling, due to complex distribution and restricted commercial operations. Product approvals may be withdrawn if compliance with applicable regulations is not maintained or if safety issues are identified during routine safety monitoring following commercialization.</w:t>
      </w:r>
    </w:p>
    <w:p>
      <w:pPr>
        <w:spacing w:after="0" w:line="202"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7"/>
          <w:szCs w:val="17"/>
          <w:color w:val="auto"/>
        </w:rPr>
        <w:t>Adequate and well-controlled clinical studies are required by the FDA for approval of a BLA. To conduct a clinical trial in the U.S., the study sponsor is required to submit an Investigational New Drug (“IND”) application, including the study protocols, prior to commencing human clinical trials. The submission must be supported by data, typically including the results of nonclinical, manufacturing and laboratory testing. The conduct of the nonclinical tests must comply with Good Laboratory Practices, as well as applicable cGMP requirements. Long-term nonclinical testing, such as animal reproductive toxicity and carcinogenicity studies, is conducted if warranted and its results are submitted in connection with the IND to support clinical investigations conducted to support a future BLA. Following the initial submission of the IND, the FDA has 30 days to review the application and raise safety and other clinical trial issues. If questions or objections are not raised within that period, the clinical trial of the investigational product may commence according to the protocol submitted to the FDA and following Institutional Review Board (“IRB”) approvals for each of the clinical sites where the study will be conducted. Protocol amendments need to be submitted and approved by the IRB and/or FDA prior to implementation. Clinical studies can also be conducted outside of the U.S. with or without a U.S. IND. However, a clinical trial application (“CTA”) or IND is required to be submitted to the local competent regulatory authority to begin conducting human clinical trials. The CTA has similar data requirements to those of an IND including the need for IRB and/or Ethics Committee approvals for investigational protocols. We discussed with the FDA a non-clinical regulatory strategy to support the potential inclusion of arthroscopic delivery in MACI’s approved labeling. Specifically, following a Type C meeting with the FDA, we submitted a protocol for a MACI</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arthroscopic delivery human factors validation study, which we conducted and completed during the third quarter of 2023. The FDA subsequently accepted for filing a prior approval supplement seeking to add instructions for arthroscopic delivery of MACI to the product’s approved labeling. The FDA is currently reviewing that submission, and we anticipate the potential commercial launch of the MACI arthroscopic delivery program during the third quarter of 2024.</w:t>
      </w:r>
    </w:p>
    <w:p>
      <w:pPr>
        <w:spacing w:after="0" w:line="187"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MACI and NexoBrid are regulated by the FDA as biologics. For products that are regulated as biologics, the FDA requires: (i) nonclinical animal testing to establish a safety profile and/or a starting dose for initiation of clinical trials in humans; (ii) submission to the FDA of an IND application, which must become effective prior to the initiation of human clinical trials; (iii) adequate and well-controlled clinical trials to demonstrate the safety, purity and potency, or effectiveness, of the product for its intended use; (iv) submission to the FDA of a BLA; and (v) review and approval of the BLA, including pre-license inspections conducted by FDA of the facilities that manufacture the biological product or components of the biological product.</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 sometimes overlap:</w:t>
      </w:r>
    </w:p>
    <w:p>
      <w:pPr>
        <w:spacing w:after="0" w:line="247" w:lineRule="exact"/>
        <w:rPr>
          <w:sz w:val="20"/>
          <w:szCs w:val="20"/>
          <w:color w:val="auto"/>
        </w:rPr>
      </w:pPr>
    </w:p>
    <w:p>
      <w:pPr>
        <w:ind w:left="640" w:hanging="313"/>
        <w:spacing w:after="0" w:line="27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1—The biological product is initially tested for safety and tolerability. The initial human testing is generally conducted in healthy patients. These trials may also provide early evidence of effectiveness.</w:t>
      </w:r>
    </w:p>
    <w:p>
      <w:pPr>
        <w:spacing w:after="0" w:line="189"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2—These trials are conducted in a limited number of subjects in the target population to determine a safe and effective dosage to evaluate in Phase 3 and to identify possibly related adverse effects and safety risks. Multiple Phase 2 clinical trials may be conducted by the sponsor to obtain information prior to beginning larger and more expensive Phase 3 clinical trials.</w:t>
      </w:r>
    </w:p>
    <w:p>
      <w:pPr>
        <w:spacing w:after="0" w:line="202" w:lineRule="exact"/>
        <w:rPr>
          <w:rFonts w:ascii="Times New Roman" w:cs="Times New Roman" w:eastAsia="Times New Roman" w:hAnsi="Times New Roman"/>
          <w:sz w:val="18"/>
          <w:szCs w:val="18"/>
          <w:color w:val="auto"/>
        </w:rPr>
      </w:pPr>
    </w:p>
    <w:p>
      <w:pPr>
        <w:jc w:val="both"/>
        <w:ind w:left="640" w:hanging="313"/>
        <w:spacing w:after="0" w:line="25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3—Phase 3 trials are undertaken to provide evidence of clinical efficacy and to further evaluate dosage, potency, and safety in an expanded patient population at multiple clinical trial sites. Phase 3 studies are performed after preliminary evidence suggesting effectiveness of the product has been obtained and they are intended to establish the overall benefit-risk relationship of the investigational product, and provide an adequate basis for product approval and labeling.</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trials may be required by the FDA as a condition of approval to generate additional information and data from the treatment of patients in the intended therapeutic indication, particularly for long-term safety follow-up. The FDA has express statutory authority to require post-market clinical trials to address safety issues. All of these trials must be conducted in accordance with good clinical practice (“GCP”) requirements in order protect the health and safety of human subjects and for the data to be considered reliable for regulatory purposes.</w:t>
      </w:r>
    </w:p>
    <w:p>
      <w:pPr>
        <w:spacing w:after="0" w:line="21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IND. Written IND safety reports must be promptly submitted to the FDA and the investigators for serious and unexpected adverse events; any findings from other studies, testing in laboratory animals or in vitro testing that suggests a significant risk for human subjects; or any clinically important increase in the rate of a serious suspected adverse reactions over that listed in the protocol or investigator’s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21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Phase 1, Phase 2, and Phase 3 clinical trials may not be completed successfully or within any specified period, or at all. Regulatory authorities, a data safety monitoring board or the sponsor may suspend a clinical trial at any time on various grounds, including a finding that the participants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208"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8"/>
          <w:szCs w:val="18"/>
          <w:color w:val="auto"/>
        </w:rPr>
        <w:t>An unapproved drug being studied in clinical trials may be made available to individual patients who are not enrolled in the trial in certain circumstances. Pursuant to the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Century Cures Act, or Cures Act, which was signed into law in December 2016, the manufacturer of an unapproved, investigational drug for a serious disease or condition is required to make public and readily available, such as by posting on its website, its policy on evaluating and responding to requests for individual patient access to such investigational drug. This requirement applies upon initiation of a Phase 2 or Phase 3 trial of the investigational drug.</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the use of biological products, the Public Health Service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1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After completion of the required clinical testing, a BLA is prepared and submitted to the FDA. FDA review and approval of the BLA is required before the marketing of the product may begin in the U.S. The BLA must include the results of all nonclinical, clinical, and other testing, as well as a compilation of data relating to the quality and manufacture of the product, including, chemistry, manufacturing, and controls (“CMC”) information demonstrating the safety, purity and potency, or efficacy, of the product. The cost of preparing and submitting a BLA is substantial. Under federal law, the submission of most BLAs is subject to an application user fee, as well as an annual prescription drug product program user fee, which may total several million dollars; these fees generally are increased annually.</w:t>
      </w:r>
    </w:p>
    <w:p>
      <w:pPr>
        <w:spacing w:after="0" w:line="21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FDA has 60 days from its receipt of a BLA to determine whether the application will be accepted for filing based on the agency’s threshold determination that the application is sufficiently complete to permit substantive review. Once the application is accepted for filing, the FDA begins an in-depth review. The FDA has agreed to certain performance goals in its review of BLAs, including to review 90 percent of standard BLAs within 10 months from the date the application is accepted for filing. Although the FDA often meets its user fee performance goals, the FDA can extend these timelines as warranted. The FDA usually refers applications for novel biologics, or biologics which present difficult questions of safety or efficacy, to an advisory committee (typically a panel that includes clinicians and other experts) for review, evaluation, and a recommendation as to whether the application should be approved. The FDA is not bound by the recommendation of the advisory committee, but it generally follows such recommendations. Before approving a BLA, the FDA will typically inspect one, or more, clinical sites to assure compliance with GCPs. Additionally, the FDA typically will inspect the facility or facilities at which the biologic is manufactured as part of a pre-license inspection. The FDA will not approve the product unless it verifies that compliance with cGMP requirements is satisfactory and that the BLA contains data that provides substantial evidence that the biologic is safe, pure, and potent, or effective, for its intended use.</w:t>
      </w:r>
    </w:p>
    <w:p>
      <w:pPr>
        <w:spacing w:after="0" w:line="217"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For certain products, the FDA also will not approve the product if the manufacturer is not in compliance with Good Tissue Practice (“GTP”) requirements. GTP requirements are set forth in the FDA regulations that govern the methods used in, and the facilities and controls used for, the manufacture of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To assure compliance with cGMP, GTP and GCP requirements, an applicant must expend significant time, money, and effort in the areas of training, record keeping, production, and quality control.</w:t>
      </w:r>
    </w:p>
    <w:p>
      <w:pPr>
        <w:spacing w:after="0" w:line="21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After the FDA evaluates the BLA and the manufacturing facilities, it issues either an approval letter or a complete response letter. A complete response letter means that the BLA will not be approved in its present form and generally outlines the deficiencies in the submission. Complete responses may require substantial additional testing, or information, in order for the FDA to reconsider the application. If and when those deficiencies have been addressed to the FDA’s satisfaction, the FDA will issue an approval letter. The agency generally will review such resubmissions within two or six months, depending on the type of information included in the resubmission. The FDA’s approval is never guaranteed, and the agency may refuse to approve a BLA if regulatory requirements are not satisfied.</w:t>
      </w:r>
    </w:p>
    <w:p>
      <w:pPr>
        <w:spacing w:after="0" w:line="21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An approval letter authorizes commercial marketing of the biologic with specific prescribing information for specific indications. The approval of a biologic may be significantly more limited than requested in the application, including limitations on the specific diseases and dosages or the indications for use, which could restrict the commercial value of the product. The FDA may also require that certain contraindications, warnings, or precautions be included in the product labeling. In addition, as a condition of BLA approval, the FDA may require a REMS to help ensure that the benefits of the biologic outweigh potential risks. A REMS can include medication guides, communication plans for healthcare professionals, and elements to assure safe use (“ETASU”). ETASU can include, but are not limited to, special training or certification for prescribing or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dispensing, distribution controls, dispensing only under certain circumstances, special monitoring, and the use of patient registries. The requirement for a REMS (or use of a companion diagnostic with a biologic) can materially affect the potential market and profitability of the biologic. Moreover, product approval may require, as a condition of approval, substantial post-approval testing and surveillance to monitor the biologic’s safety or efficacy. Once granted, product approvals may be withdrawn if compliance with regulatory requirements and standards is not maintained, or problems are identified following initial marketing.</w:t>
      </w:r>
    </w:p>
    <w:p>
      <w:pPr>
        <w:spacing w:after="0" w:line="21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Facilities manufacturing biological products for commercial distribution must be registered with the FDA. In addition to describing the preclinical studies and clinical trials of the biologic product, the BLA includes a description of the facilities, equipment and personnel involved in the manufacturing process. A biologics license, which is the product’s approval, is granted on the basis of inspections of the facilities where the product is manufactured. The primary focus of such inspections is compliance with cGMPs and the facility’s ability to consistently manufacture the product in the facility in accordance with the BLA. If the FDA finds the results of the inspection to be unsatisfactory, it may decline to approve the BLA, resulting in a delay in production and commercialization of products.</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Combination Products in the U.S.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Certain products may be comprised of components that would normally be regulated under different types of regulatory requirements and frequently by different centers at the FDA. These products are known as combination products. Specifically, under regulations issued by the FDA, a combination product may be:</w:t>
      </w:r>
    </w:p>
    <w:p>
      <w:pPr>
        <w:spacing w:after="0" w:line="203" w:lineRule="exact"/>
        <w:rPr>
          <w:sz w:val="20"/>
          <w:szCs w:val="20"/>
          <w:color w:val="auto"/>
        </w:rPr>
      </w:pPr>
    </w:p>
    <w:p>
      <w:pPr>
        <w:ind w:left="640" w:hanging="313"/>
        <w:spacing w:after="0" w:line="27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comprised of two or more regulated components that are physically, chemically, or otherwise combined or mixed and produced as a single entity;</w:t>
      </w:r>
    </w:p>
    <w:p>
      <w:pPr>
        <w:spacing w:after="0" w:line="189"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separate products packaged together in a single package or as a unit and comprised of drug and device products, device and biological products, or biological and drug products;</w:t>
      </w:r>
    </w:p>
    <w:p>
      <w:pPr>
        <w:spacing w:after="0" w:line="189" w:lineRule="exact"/>
        <w:rPr>
          <w:rFonts w:ascii="Times New Roman" w:cs="Times New Roman" w:eastAsia="Times New Roman" w:hAnsi="Times New Roman"/>
          <w:sz w:val="18"/>
          <w:szCs w:val="18"/>
          <w:color w:val="auto"/>
        </w:rPr>
      </w:pPr>
    </w:p>
    <w:p>
      <w:pPr>
        <w:jc w:val="both"/>
        <w:ind w:left="640" w:hanging="313"/>
        <w:spacing w:after="0" w:line="25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drug or device or biological product packaged separately that according to its investigational plan or proposed labeling is intended for use only with an approved, individually specified drug, or device, or biological product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207"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18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Under the FFDCA, the FDA is charged with assigning a center with primary jurisdiction, or a lead center, for review of a combination product. That determination is based on the “primary mode of action” of the combination product. Thus, if the primary mode of action of a device-biologic combination product is attributable to the biologic product, the FDA center responsible for premarket review of the biologic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231F20"/>
        </w:rPr>
        <w:t>Accelerated Approval for Regenerative Advanced Therapies</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As part of the Cures Act, Congress amended the FFDCA to create an accelerated approval pathway for regenerative advanced therapies, which include cell therapies, therapeutic tissue engineering products, human cell and tissue products, and combination products using any such therapies or products. Regenerative advanced therapies do not include those HCT/Ps regulated solely under section 361 of the PHSA and 21 CFR Part 1271. The new program is intended to facilitate efficient development and expedite review of regenerative advanced therapies, which are intended to treat, modify, reverse, or cure a serious or life-threatening disease or condition. A sponsor may request that the FDA designate a drug as a regenerative advanced therapy concurrently with or at any time after submission of an IND. The FDA has 60 calendar days to determine whether the drug meets the criteria, including whether there is preliminary clinical evidence indicating that the drug has the potential to address unmet medical needs for a serious or life-threatening disease or condition. A new drug application or BLA</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for a regenerative advanced therapy may be eligible for priority </w:t>
      </w:r>
      <w:r>
        <w:rPr>
          <w:rFonts w:ascii="Times New Roman" w:cs="Times New Roman" w:eastAsia="Times New Roman" w:hAnsi="Times New Roman"/>
          <w:sz w:val="18"/>
          <w:szCs w:val="18"/>
          <w:color w:val="231F20"/>
        </w:rPr>
        <w:t>review or accelerated approval through surrogate or intermediate endpoints reasonably likely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predict long-term clinical benefit, or reliance upon data obtained from a meaningful number of sites. Therapies with a Regenerative Medicine Advanced Therapy (“RMAT”) designation will be eligible for accelerated approval through reliance on:</w:t>
      </w:r>
    </w:p>
    <w:p>
      <w:pPr>
        <w:spacing w:after="0" w:line="203" w:lineRule="exact"/>
        <w:rPr>
          <w:sz w:val="20"/>
          <w:szCs w:val="20"/>
          <w:color w:val="auto"/>
        </w:rPr>
      </w:pPr>
    </w:p>
    <w:p>
      <w:pPr>
        <w:ind w:left="460" w:hanging="213"/>
        <w:spacing w:after="0"/>
        <w:tabs>
          <w:tab w:leader="none" w:pos="46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Surrogate or intermediate endpoints reasonably likely to predict long-term clinical benefit; or</w:t>
      </w:r>
    </w:p>
    <w:p>
      <w:pPr>
        <w:spacing w:after="0" w:line="246" w:lineRule="exact"/>
        <w:rPr>
          <w:rFonts w:ascii="Times New Roman" w:cs="Times New Roman" w:eastAsia="Times New Roman" w:hAnsi="Times New Roman"/>
          <w:sz w:val="18"/>
          <w:szCs w:val="18"/>
          <w:color w:val="231F20"/>
        </w:rPr>
      </w:pPr>
    </w:p>
    <w:p>
      <w:pPr>
        <w:ind w:left="540" w:hanging="253"/>
        <w:spacing w:after="0"/>
        <w:tabs>
          <w:tab w:leader="none" w:pos="540" w:val="left"/>
        </w:tabs>
        <w:numPr>
          <w:ilvl w:val="1"/>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Data obtained from a meaningful number of sites, including through expansion to additional sites, as appropriate.</w:t>
      </w:r>
    </w:p>
    <w:p>
      <w:pPr>
        <w:spacing w:after="0" w:line="247" w:lineRule="exact"/>
        <w:rPr>
          <w:sz w:val="20"/>
          <w:szCs w:val="20"/>
          <w:color w:val="auto"/>
        </w:rPr>
      </w:pPr>
    </w:p>
    <w:p>
      <w:pPr>
        <w:ind w:left="80" w:firstLine="200"/>
        <w:spacing w:after="0" w:line="277" w:lineRule="auto"/>
        <w:rPr>
          <w:sz w:val="20"/>
          <w:szCs w:val="20"/>
          <w:color w:val="auto"/>
        </w:rPr>
      </w:pPr>
      <w:r>
        <w:rPr>
          <w:rFonts w:ascii="Times New Roman" w:cs="Times New Roman" w:eastAsia="Times New Roman" w:hAnsi="Times New Roman"/>
          <w:sz w:val="18"/>
          <w:szCs w:val="18"/>
          <w:color w:val="231F20"/>
        </w:rPr>
        <w:t>Another benefit of RMAT designation is that it creates the option to meet post-approval requirements without having to conduct the standard, controlled clinical trial. Instead, post-approval requirements can be met through:</w:t>
      </w:r>
    </w:p>
    <w:p>
      <w:pPr>
        <w:spacing w:after="0" w:line="189" w:lineRule="exact"/>
        <w:rPr>
          <w:sz w:val="20"/>
          <w:szCs w:val="20"/>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Clinical evidence, clinical studies, patient registries, or other sources of real-world evidence, such as electronic health records;</w:t>
      </w:r>
    </w:p>
    <w:p>
      <w:pPr>
        <w:spacing w:after="0" w:line="246" w:lineRule="exact"/>
        <w:rPr>
          <w:rFonts w:ascii="Times New Roman" w:cs="Times New Roman" w:eastAsia="Times New Roman" w:hAnsi="Times New Roman"/>
          <w:sz w:val="18"/>
          <w:szCs w:val="18"/>
          <w:color w:val="231F20"/>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collection of larger confirmatory data sets; or</w:t>
      </w:r>
    </w:p>
    <w:p>
      <w:pPr>
        <w:spacing w:after="0" w:line="246" w:lineRule="exact"/>
        <w:rPr>
          <w:rFonts w:ascii="Times New Roman" w:cs="Times New Roman" w:eastAsia="Times New Roman" w:hAnsi="Times New Roman"/>
          <w:sz w:val="18"/>
          <w:szCs w:val="18"/>
          <w:color w:val="231F20"/>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Post-approval monitoring of all patients treated with such therapy prior to approval of the therapy.</w:t>
      </w:r>
    </w:p>
    <w:p>
      <w:pPr>
        <w:spacing w:after="0" w:line="247"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231F20"/>
        </w:rPr>
        <w:t>Finally, the designation also includes early interactions with the FDA to discuss any potential surrogate or intermediate endpoint to be used to support accelerated approval.</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Humanitarian Device Exemption</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Unless an exemption applies, each medical device commercially distributed in the U.S. requires either a substantial equivalence determination under a premarket notification submission pursuant to Section 510(k) of the FFDCA, or approval of a premarket approval application (“PMA”) application. The FDA provides an incentive for the development of certain devices intended to benefit patients by treating or diagnosing a disease or condition that affects or is manifested in not more than 8,000 individuals in the U.S. per year. These devices receive a HUD designation and may be eligible for marketing approval under an HDE application. An HDE application is a premarket approval application that seeks an exemption from the effectiveness requirement that would otherwise apply to the application. FDA approval of an HDE application authorizes the applicant to market the device.</w:t>
      </w:r>
    </w:p>
    <w:p>
      <w:pPr>
        <w:spacing w:after="0" w:line="21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To obtain marketing approval for a HUD, an HDE application is submitted to the FDA. An HDE application is similar in both form and content to a PMA application in that the applicant must demonstrate a reasonable assurance of safety, but in an HDE application, the applicant seeks an exemption from the PMA requirement to demonstrate reasonable assurance of effectiveness. An HDE application is not required to contain the results of scientifically valid clinical investigations demonstrating that the device is effective for its intended purpose. The application, however, must contain sufficient information for the FDA to determine that the device does not pose an unreasonable or significant risk of illness or injury, and that the probable benefit to health outweighs the risk of injury or illness from its use, taking into account the probable risks and benefits of currently available devices or alternative forms of treatment. Additionally, the applicant must demonstrate that no comparable devices are available to treat or diagnose the disease or condition, and that they could not otherwise bring the device to market.</w:t>
      </w:r>
    </w:p>
    <w:p>
      <w:pPr>
        <w:spacing w:after="0" w:line="216"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Except in certain circumstances, HUDs approved under an HDE cannot be sold for profit, i.e. for an amount that exceeds the costs of research and development, fabrication, and distribution of the device. Under the current HDE provision, as amended by the Food and Drug Administration Safety and Innovation Act (the “FDASIA”), a device is eligible to be sold for profit after receiving HDE approval if the device is intended for the treatment or diagnosis of a disease or condition that occurs in pediatric patients or in a pediatric subpopulation, and such device is labeled for use in pediatric patients or in a pediatric subpopulation in which the disease or condition occurs; or is intended for the treatment or diagnosis of a disease or condition that does not occur in pediatric patients or that occurs in pediatric patients in such numbers that the development of the device for such patients is impossible, highly impracticable, or unsafe. If the FDA determines that a HUD meets the eligibility criteria, the HUD is permitted to be sold for profit after receiving HDE approval so long as the number of devices distributed in any calendar year does not exceed the FDA-determined Annual Distribution Number (“ADN”) for the device. The holder of the HDE must immediately notify the FDA if the number of devices distributed during a calendar year exceeds the ADN. The ADN is determined by the FDA (i) when the agency approves the original HDE application, or (ii) when the agency approves an HDE supplement for an HDE approved before the enactment of FDASIA if the HDE holder seeks a determination based upon the profit-making eligibility criteria, and the FDA determines that the HUD meets the eligibility criteria.</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FDA Post-Approval Requirements</w:t>
      </w:r>
    </w:p>
    <w:p>
      <w:pPr>
        <w:spacing w:after="0" w:line="22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Maintaining substantial compliance with applicable federal, state, local, and foreign statutes and regulations requires the expenditure of substantial time and financial resources. Rigorous and extensive FDA regulation of biological products and devices continues after approval, particularly with respect to cGMPs. We will rely, and expect to continue to rely, on third parties to manufacture or supply certain components, equipment, disposable devices, testing and other materials used in our manufacturing process for any products that we commercialize or may commercialize. With respect to NexoBrid, we will rely on MediWound to source supplies for the manufacture and to manufacture the product to support our commercialization efforts in the U.S. Manufacturers of our products are required to comply with applicable cGMP requirements, including quality control, quality assurance and maintenance of records and documentation. We cannot be certain that we, MediWound, or our present or future suppliers will be able to comply with the cGMP requirements and other FDA regulatory requirements. Other post-approval requirements applicable to biological products include the reporting of cGMP deviations that may affect the identity, potency, purity and overall safety of a distributed product, record-keeping requirements, monitoring and reporting of adverse effects, reporting updated safety and efficacy information, periodic reporting requirements and complying with electronic record and signature requirements. Similarly, there are a number of post-marketing requirements for devices, including: 1) medical device reporting regulations that require manufacturers to report to the FDA if a device may have caused or contributed to a death or serious injury or malfunctioned in a way that would likely cause or contribute to a death or serious injury if it were to recur; and 2) corrections and removal reporting regulations that require manufacturers to report to the FDA field corrections and product recalls or removals if undertaken to reduce a risk to health posed by the device or to remedy a violation of the FFDCA that may present a risk to health. Additionally, devices must comply with the cGMP requirements that are set forth in the FDA’s Quality System Regulation (“QSR”), including complaint handling and corrective and preventative actions.</w:t>
      </w:r>
    </w:p>
    <w:p>
      <w:pPr>
        <w:spacing w:after="0" w:line="220"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After a BLA is approved, the biological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After approval of biologics, manufacturers must address any safety issues that arise, may be required to recall products or halt manufacturing, and are subject to periodic inspection after approval.</w:t>
      </w:r>
    </w:p>
    <w:p>
      <w:pPr>
        <w:spacing w:after="0" w:line="21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Discovery of previously unknown problems or the failure to comply with the applicable regulatory requirements, by us or our suppliers, may result in restrictions on the marketing of a product or withdrawal of the product from the market as well as possible civil or criminal sanctions and adverse publicity. FDA sanctions could include refusal to approve pending applications, license revocation,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other civil or criminal penalties. Any agency or judicial enforcement action could have a material adverse effect on us.</w:t>
      </w:r>
    </w:p>
    <w:p>
      <w:pPr>
        <w:spacing w:after="0" w:line="21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Biological product and medical device manufacturers and other entities involved in the manufacture and distribution of approved biological products and devices are required to register their facilities with the FDA and certain state agencies and they are subject to periodic unannounced inspections by the FDA and certain state agencies for compliance with cGMP and other laws.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with certain exceptions. For product(s) manufactured outside the U.S., failure to comply with applicable regulatory requirements, including cGMPs, could result in FDA placing the manufacturing facility on an import alert, meaning that the product(s) cannot be imported into the U.S. until the non-compliance with regulatory requirements is corrected to FDA’s satisfaction.</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Pediatric Research Equity Act</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Under the Pediatric Research Equity Act (“PREA”), a BLA or BLA supplement claiming a new indication must contain data to assess the safety and effectiveness of the biological product for the claimed indications in all relevant pediatric subpopulations and to support dosing and administration for each pediatric subpopulation for which the product is safe and effective, for a new product, new indication, or new dosage form. The intent of PREA is to compel sponsors whose products have pediatric applicability to study those products in pediatric populations, rather than ignoring pediatric indications in favor</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of adult indications that could be more economically desirable. Even so, the FDA may grant deferrals for submission of pediatric data or full or partial waivers. By its terms, PREA does not apply to any biological product for an indication for which orphan designation has been granted, unless the FDA issues regulations saying otherwise. Because the FDA has not issued any such regulations, submission of a pediatric assessment is not required for an application to market a product for an orphan-designated indication, and waivers are not needed at this time. However, if only one indication for a product has orphan designation, a pediatric assessment may still be required for any applications to market that same product for the non-orphan indication(s).</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the use of our current or future product candidates, some of our U.S. patents may be eligible for limited patent term extension under the Drug Price Competition and Patent Term Restoration Act of 1984, commonly referred to as the Hatch-Waxman Amendments. Patent term restoration can compensate for time lost during product development and the regulatory review process by returning up to five years of patent life for a patent that covers a new product or its use. However, patent term restoration cannot extend the remaining term of a patent beyond a total of 14 years from the product’s approval date. The period of patent term restoration is generally one-half the time between the effective date of an IND (falling after issuance of the patent) and the submission date of a BLA, plus the time between the submission date of the BLA and the approval of that application, except that the review period is reduced by any time during which the applicant failed to exercise due diligence in seeking approval of the application. Only one patent applicable to an approved biological product is eligible for the extension, and the application for the extension must be submitted prior to the expiration of the patent. The application for patent term extension is subject to approval by the U.S. Patent and Trademark Office, or PTO, in consultation with the FDA.</w:t>
      </w:r>
    </w:p>
    <w:p>
      <w:pPr>
        <w:spacing w:after="0" w:line="21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 biological product can obtain pediatric market exclusivity in the U.S. This six-month exclusivity, which runs from the end of other exclusivity protection or patent term, may be granted based on the voluntary completion of a pediatric study in accordance with an FDA-issued “Written Request” for such a study.</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Biosimilars</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Patient Protection and Affordable Care Act (“ACA”), includes the Biologics Price Competition and Innovation Act of 2009. That Act created an approval pathway authorizing the FDA to approve biosimilars and interchangeable biosimilars. Biosimilars are biological products which are “highly similar” to a previously approved biologic product or “reference product” and for which there are no clinically meaningful differences between the biosimilar product and the reference product in terms of safety, purity, and potency as shown through analytical studies, animal studies and a clinical study or studies. For the FDA to approve a biosimilar product as interchangeable with the reference product, the agency must find that the biosimilar product can be expected to produce the same clinical results as the reference product and, for products administered multiple times, the biosimilar and the reference product may be switched after one has been previously administered without increasing safety risks or risks of diminished efficacy relative to exclusive use of the reference biologic. A reference biologic is granted 12 years of exclusivity from the time of first licensure of the reference product.</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FDA closely regulates the post-approval marketing and promotion of biologics and devices including regulating through standards and regulations for direct-to-consumer advertising and promotional activities involving the internet. The agency also prohibits the off-label promotion of biologics and devices and provides guidance on industry-sponsored scientific and educational activities to ensure that these activities are not promotional. Any claims we make for our products in advertising or promotion must be appropriately balanced with important safety information and otherwise adequately substantiated. A company’s failure to comply with these requirements can result in adverse publicity and significant penalties, including the issuance of untitled or warning letters directing a company to correct deviations from FDA standards, a requirement to issue corrective advertising, FDA pre-clearance of future advertising and promotional materials, injunctions, and federal and state civil and criminal investigations and prosecutions.</w:t>
      </w:r>
    </w:p>
    <w:p>
      <w:pPr>
        <w:spacing w:after="0" w:line="21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While doctors are free to prescribe any product approved by the FDA for use, a company can only make claims relating to safety and effectiveness of a biological product or device that are consistent with the FDA approval or clearance, and the company is allowed to actively market and promote a biological product or device only for the particular use and treatment approved or cleared by the FDA. For BLAs, changes to some of the conditions established in an approved application, including changes in indications, labeling, or manufacturing processes or facilities, require submission of a new BLA or BLA supplement and FDA approval of the same before the change can be implemented. A BLA supplement for a new indication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typically requires clinical data similar to that in the original application, and the FDA uses the same procedures and actions in reviewing BLA supplements as it does in reviewing BLAs. Similarly, changes to approved or cleared devices may require FDA’s premarket review.</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251" w:lineRule="exact"/>
        <w:rPr>
          <w:sz w:val="20"/>
          <w:szCs w:val="20"/>
          <w:color w:val="auto"/>
        </w:rPr>
      </w:pPr>
    </w:p>
    <w:p>
      <w:pPr>
        <w:jc w:val="both"/>
        <w:ind w:firstLine="240"/>
        <w:spacing w:after="0" w:line="271" w:lineRule="auto"/>
        <w:rPr>
          <w:sz w:val="20"/>
          <w:szCs w:val="20"/>
          <w:color w:val="auto"/>
        </w:rPr>
      </w:pPr>
      <w:r>
        <w:rPr>
          <w:rFonts w:ascii="Times New Roman" w:cs="Times New Roman" w:eastAsia="Times New Roman" w:hAnsi="Times New Roman"/>
          <w:sz w:val="17"/>
          <w:szCs w:val="17"/>
          <w:color w:val="auto"/>
        </w:rPr>
        <w:t>Under the Orphan Drug Act, the FDA may grant orphan designation to drugs or biologics intended to treat a rare disease or condition, generally a disease or condition that affects fewer than 200,000 individuals in the U.S., or affects more than 200,000 individuals in the U.S. and for which there is no reasonable expectation that the cost of developing and making available the drug or biologic in the U.S. for such disease or condition will be recovered from sales in the U.S. of such drug or biologic. Orphan drug designation must be requested by the BLA sponsor and granted by the FDA before the application is submitted. Among the other benefits, orphan drug designation provides opportunities for grant funding towards clinical trial costs, tax credits for certain research and a</w:t>
      </w:r>
    </w:p>
    <w:p>
      <w:pPr>
        <w:spacing w:after="0" w:line="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waiver of the BLA application user fee. After the FDA grants orphan drug designation, the generic identity of the biologic and its potential orphan use are disclosed publicly by the FDA. Orphan drug designation does not necessarily convey any advantage in, or shorten the duration of, the regulatory review and approval process. The first BLA applicant to receive FDA approval for a particular product to treat a particular disease with FDA orphan drug designation is entitled to a seven-year exclusive marketing period in the U.S.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 if the FDA finds that the holder of the orphan exclusivity has not shown that it can assure the availability of sufficient quantities of the orphan product to meet the needs of patients with the disease or condition for which the biologic was designated. Orphan drug exclusivity, which would most likely run concurrently with the marketing exclusivity, if any, received from the time of first licensure of a reference product, does not prevent the FDA from approving a different biologic for the same disease or condition, or the same biologic for a different disease or condition.</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251"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7"/>
          <w:szCs w:val="17"/>
          <w:color w:val="auto"/>
        </w:rPr>
        <w:t>In the U.S., the research, manufacturing, distribution, sale and promotion of biological products and devices are subject to regulation by various federal, state, and local authorities, including (in addition to the FDA), the Centers for Medicare &amp; Medicaid Services, other divisions of the U.S. Department of Health and Human Services (e.g., the Office of Inspector General), the U.S. Department of Justice, state Attorneys General, and other federal, state, and local government agencies. For example, sales, marketing, and scientific/educational grant programs must comply with the FFDCA, the Anti-Kickback Statute, as amended, the False Claims Act, as amended, the privacy regulations promulgated under the Health Insurance Portability and Accountability Act, or HIPAA, and similar state laws.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20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As noted above, in the U.S., we are subject to complex laws and regulations pertaining to healthcare “fraud and abuse,” including, but not limited to, the federal Anti-Kickback Statute, the federal False Claims Act, and other state and federal laws and regulations. The Anti-Kickback Statute makes it illegal for any person, including a medical device or biological product manufacturer (or a party acting on its behalf) to knowingly and willfully solicit, receive, offer, or pay any remuneration that is intended to induce the referral of business, including the purchase or order of an item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many states have adopted laws similar to the Anti-Kickback Statute. Some of these state prohibitions apply to the referral of patients for healthcare services reimbursed by any insurer, not just federal healthcare programs like Medicare and Medicaid. Due to the breadth of these federal and state anti-kickback laws and the potential for additional legal or regulatory change in this area, it is possible that our sales and marketing practices and/or our relationships with physicians might be challenged under anti-kickback laws, which could harm us. Because we commercialize products that could be reimbursed under a federal healthcare program and other governmental healthcare programs, we have developed and maintain a comprehensive compliance program that establishes internal controls to facilitate adherence to the rules and program requirements to which we are subject.</w:t>
      </w:r>
    </w:p>
    <w:p>
      <w:pPr>
        <w:spacing w:after="0" w:line="215"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federal False Claims Act prohibits anyone from, among other things, knowingly presenting, or causing to be presented, for payment by federal programs (including Medicare and Medicaid) claims for items or services, including for medical devices or biological products, that are false or fraudulent. Although we would not submit claims directly to payers, manufacturers can be held liable under these laws if they are deemed to “cause” the submission of false or fraudulent claims by, for example, providing inaccurate billing or coding information to customers or promoting a product for off-label uses. In addition, our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prosecuted under the federal False Claims Act in connection with their off-label promotion of drugs. Penalties for a False Claims Act violation include three times the actual damages sustained by the government, plus mandatory civil penalties of between $13,946 and $27,894 for each separate false claim, the potential for exclusion from participation in federal healthcare programs, and penalties associated with various federal criminal statutes (although the federal False Claims Act is a civil statute, conduct that results in a False Claims Act violation may also implicate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213"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213"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including the Final Omnibus Rule published in January 2013, imposes requirements on certain covered healthcare providers, health plans, and healthcare clearinghouses as well as their respective business associates, independent contractors, or agents that perform services involving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213"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There are also an increasing number of state laws that require manufacturers to make reports to states on pricing and marketing information. In addition, a provision of the ACA, referred to as the Sunshine Act, requires biological product manufacturers to track and report to the federal government certain payments or other transfers of value made to physicians (defined to include doctors, dentists, optometrists, podiatrists, and chiropractors) and teaching hospitals in the previous calendar year. Effective January 1, 2022, these reporting obligations extend to include transfers of value made to certain non-physician providers (physician assistants, nurse practitioners, clinical nurse specialists, certified registered nurse anesthetists and anesthesiologist assistants, and certified nurse midwives).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federal authorities.</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Regulation</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addition to regulations in the U.S., a variety of foreign regulations govern clinical trials, commercial sales, and distribution of product candidates. The marketing authorization approval process and requirements vary from country to country, and the review timelines may be longer or shorter than that required for FDA approval.</w:t>
      </w:r>
    </w:p>
    <w:p>
      <w:pPr>
        <w:spacing w:after="0" w:line="20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EU pharmaceutical legislation requires a Marketing Authorization Holder (“MAH”) in the EU to comply with the Pediatric Investigational Plan (“PIP”) that is in place as a post-authorization commitment agreed to with the Pediatric Committee (“PDCO”) within the European Medicines Agency (“EMA”) to undergo an initial license renewal procedure within five years after initial market authorization. Our license to market MACI in the EU was suspended due to closure of a European manufacturing facility. Renewal of the license would have required the registration, qualification, and approval of an EU-compliant cGMP manufacturing facility before the end of the applicable renewal period in June 2018. However, we did not take such actions prior to expiration, and therefore the EU marketing authorization for MACI expired in June 2018.</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and Reimbursement</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the U.S. and other countries, sales of any products for which we receive regulatory approval for commercial sale will depend in part on the availability of reimbursement from third-party payers, including government health administrative authorities, managed care providers, private health insurers, and other organizations. Third-party payers are increasingly examining the medical necessity and cost effectiveness of medical products and services in addition to safety and efficacy and, accordingly, significant uncertainty exists as to the reimbursement status of newly approved therapeutics. Factors that payers consider in determining reimbursement are based on whether the product is (i) a covered benefit under its health plan; (ii) safe, effective, and medically necessary; (iii) appropriate for the specific patient; (iv) cost-effective; and (v) neither experimental nor investigational. Third-party reimbursement adequate to enable us to realize an appropriate return on our investment in research and product development may not be available for our products. Further, one payer’s determination to provide coverage for a product does not assure that other payers will also provide coverage and reimbursement for the product and the level of coverage and reimbursement can differ significantly from payer to payer.</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both the U.S. and certain foreign jurisdictions, there have been, and continue to be, a number of legislative and regulatory changes to the health care system. Among policy makers and payers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 In particular, on August 16, 2022, President Biden signed Public Law 117-169, commonly referred to as the Inflation Reduction Act of 2022 (“IRA”), which significantly impacts prescription drug costs and pricing. More specifically, the IRA for the first time allows the government to directly negotiate drug prices with manufacturers of certain “select drugs,” creates inflation rebates for Medicare drugs whose price increases faster than the rate of inflation, benchmarked to 2021, and restructures the Medicare Prescription Drug (Part D) program in significant ways.</w:t>
      </w:r>
    </w:p>
    <w:p>
      <w:pPr>
        <w:spacing w:after="0" w:line="216"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There has been heightened governmental scrutiny in the U.S. of pharmaceutical pricing practices in light of the rising cost of prescription drugs and biologics. At a federal level, President Biden signed an Executive Order on July 9, 2021 and again on October 14, 2022, affirming the administration’s policy: (i) to support legislative reforms that would lower the prices of prescription drug and biologics, including by allowing Medicare to negotiate drug prices, by imposing inflation caps, and, by supporting the development and market entry of lower-cost generic drugs and biosimilars; (ii) to support the enactment of a public health insurance option, and (iii) to take further steps to reduce drug prices beyond the changes approved by Congress in the IRA. Among other things, the Executive Orders also direct HHS to provide a report on actions to combat excessive pricing of prescription drugs, enhance the domestic drug supply chain, reduce the price that the Federal government pays for drugs, and address price gouging in the industry. They also direct the FDA to work with states and Indian Tribes that propose to develop section 804 Importation Programs in accordance with the Medicare Prescription Drug, Improvement, and Modernization Act of 2003, and the FDA’s implementing regulations. FDA released such implementing regulations on September 24, 2020, which went into effect on November 30, 2020, providing guidance for states to build and submit importation plans for drugs from Canada. In January 2024, the FDA authorized Florida’s importation plan and is considering authorizing importation plans submitted by other states. Importation of drugs from Canada may materially and adversely affect the price we receive for any of our product candidates.</w:t>
      </w:r>
    </w:p>
    <w:p>
      <w:pPr>
        <w:spacing w:after="0" w:line="21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the U.S., individual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In some cases, state measures have been designed to encourage importation of drugs from other countries and bulk purchasing.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Environment for Cartilage Repair and Burn Treatment</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biotechnology and medical device industries are characterized by rapidly evolving technology and intense competition. Our competitors include major multinational medical device companies, pharmaceutical companies, biotechnology companies (those that process and distribute human tissue as well as human tissue-derived products or tissue banks), and stem cell companies operating in the fields of tissue engineering, regenerative medicine, orthopedics and neural medicine. Many of these companies are well-established and possess technical, research and development, financial, and sales and marketing resources significantly greater than ours. In addition, many of our smaller potential competitors have formed strategic collaborations, partnerships and other types of joint ventures with larger, well-established industry competitors that afford these companies potential research and development and commercialization advantages in the technology and therapeutic areas currently being</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pursued by us. Academic institutions, governmental agencies and other public and private research organizations are also conducting and financing research activities which may produce products directly competitive to those being commercialized by us. Moreover, many of these competitors may be able to obtain patent protection, obtain FDA and other regulatory approvals and begin commercial sales of their products before us.</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For patients diagnosed with cartilage defects, there are several treatment options, including arthroscopic debridement/chondroplasty, marrow stimulation techniques such as microfracture, osteochondral autografts or allograft derived tissue products for smaller cartilage injuries, osteochondral allografts, and autologous chondrocyte implants (e.g., MACI) for larger injuries.</w:t>
      </w:r>
    </w:p>
    <w:p>
      <w:pPr>
        <w:spacing w:after="0" w:line="203" w:lineRule="exact"/>
        <w:rPr>
          <w:sz w:val="20"/>
          <w:szCs w:val="20"/>
          <w:color w:val="auto"/>
        </w:rPr>
      </w:pPr>
    </w:p>
    <w:p>
      <w:pPr>
        <w:jc w:val="both"/>
        <w:ind w:firstLine="240"/>
        <w:spacing w:after="0" w:line="220" w:lineRule="auto"/>
        <w:rPr>
          <w:sz w:val="20"/>
          <w:szCs w:val="20"/>
          <w:color w:val="auto"/>
        </w:rPr>
      </w:pPr>
      <w:r>
        <w:rPr>
          <w:rFonts w:ascii="Times New Roman" w:cs="Times New Roman" w:eastAsia="Times New Roman" w:hAnsi="Times New Roman"/>
          <w:sz w:val="18"/>
          <w:szCs w:val="18"/>
          <w:color w:val="auto"/>
        </w:rPr>
        <w:t>The main competing treatments for MACI in the U.S. are microfracture and osteochondral allograft. Microfracture, a minimally invasive procedure that can be performed during the initial arthroscopic procedure, involves creating small fractures in the underlying bone allowing bone marrow to enter the defect. This treatment eventually forms a weaker form of cartilage known as fibrocartilage which can offer shorter term relief but is at high risk of breaking down in larger defects. This treatment is sometimes augmented with allograft derived products such as BioCartilage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(distributed by Arthrex, Inc.), Cartiform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(manufactured by Osiris Therapeutics, Inc. and distributed by Arthrex, Inc.) and Prochondrix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(distributed by Stryker Corporation). Additionally, CartiMax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(distributed by ConMed Corporation) is an allograft filler that can be used to treat certain cartilage defects. Other competitive treatments in the U.S. include a juvenile donor-derived allograft product, DeNovo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NT, marketed by Zimmer Biomet Holdings, Inc. The osteochondral allograft procedure involves the transplant of a bone and cartilage graft from a deceased donor. The donor tissue is processed by a number of tissue banks and distributed by several companies. There are multiple other cartilage repair technologies currently being studied in clinical and preclinical studies. Hyalofast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biodegradable hyaluronic acid-based scaffold used in conjunction with autologous concentrated bone marrow aspirate being developed by Anika Therapeutics, Inc. It is currently being studied in a Phase 3 trial in the U.S. that was initiated in 2015. Agili-C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non-cellular biphasic implant derived from aragonite coral which is implanted into the subchondral bone. On March 29, 2022, Agili-C received premarket approval from the FDA and is indicated for the treatment of International Cartilage Repair Society (ICRS) grade III or above knee-joint surface lesions, with a total treatable area of 1-7cm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for patients without severe osteoarthritis. Agili-C was developed by CartiHeal, a privately held company headquartered in Israel. In January 2024, Smith &amp; Nephew, plc. completed the acquisition of CartiHeal, the developer of Agili-C.</w:t>
      </w:r>
    </w:p>
    <w:p>
      <w:pPr>
        <w:spacing w:after="0" w:line="227" w:lineRule="exact"/>
        <w:rPr>
          <w:sz w:val="20"/>
          <w:szCs w:val="20"/>
          <w:color w:val="auto"/>
        </w:rPr>
      </w:pPr>
    </w:p>
    <w:p>
      <w:pPr>
        <w:jc w:val="both"/>
        <w:ind w:firstLine="240"/>
        <w:spacing w:after="0" w:line="233" w:lineRule="auto"/>
        <w:rPr>
          <w:sz w:val="20"/>
          <w:szCs w:val="20"/>
          <w:color w:val="auto"/>
        </w:rPr>
      </w:pPr>
      <w:r>
        <w:rPr>
          <w:rFonts w:ascii="Times New Roman" w:cs="Times New Roman" w:eastAsia="Times New Roman" w:hAnsi="Times New Roman"/>
          <w:sz w:val="18"/>
          <w:szCs w:val="18"/>
          <w:color w:val="auto"/>
        </w:rPr>
        <w:t>MACI is the only FDA-approved ACI product on the market in the U.S. We are aware of one other ACI product in development in the U.S. for the treatment of articular cartilage defects of the knee. In 2014, Aesculap Biologics, LLC initiated a Phase 3 trial of NOVOCART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3D, a biologic-device combination product comprised of autologous chondrocytes seeded on a collagen scaffold. The trial is still enrolling patients.</w:t>
      </w:r>
    </w:p>
    <w:p>
      <w:pPr>
        <w:spacing w:after="0" w:line="222" w:lineRule="exact"/>
        <w:rPr>
          <w:sz w:val="20"/>
          <w:szCs w:val="20"/>
          <w:color w:val="auto"/>
        </w:rPr>
      </w:pPr>
    </w:p>
    <w:p>
      <w:pPr>
        <w:jc w:val="both"/>
        <w:ind w:firstLine="240"/>
        <w:spacing w:after="0" w:line="256" w:lineRule="auto"/>
        <w:rPr>
          <w:sz w:val="20"/>
          <w:szCs w:val="20"/>
          <w:color w:val="auto"/>
        </w:rPr>
      </w:pPr>
      <w:r>
        <w:rPr>
          <w:rFonts w:ascii="Times New Roman" w:cs="Times New Roman" w:eastAsia="Times New Roman" w:hAnsi="Times New Roman"/>
          <w:sz w:val="17"/>
          <w:szCs w:val="17"/>
          <w:color w:val="auto"/>
        </w:rPr>
        <w:t>Patients who are severely burned over a substantial portion of their TBSA have few options for permanent skin coverage. When undamaged skin is available, a procedure known as meshed split-thickness auto-grafting can be considered. However, this option becomes less viable as the percentage of TBSA burn increases. Epicel is a potentially lifesaving therapy and represents the only FDA-approved option for patients with TBSA burns greater than 30%. In September 2018, the FDA-approved Avita Medical, Inc’s RECELL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System for use in partial thickness burns and in full-thickness burns in conjunction with meshed split-thickness auto-graft. The RECELL system is a device which enables the on-site preparation of an autologous epithelial cell suspension, and it is most often used to treat patients with burns covering less than 30% of the TBSA. One RECELL kit can treat an approximately 10% TBSA wound.</w:t>
      </w:r>
    </w:p>
    <w:p>
      <w:pPr>
        <w:spacing w:after="0" w:line="209"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8"/>
          <w:szCs w:val="18"/>
          <w:color w:val="auto"/>
        </w:rPr>
        <w:t>NexoBrid is the first enzymatic agent to have demonstrated rapid and consistent removal of eschar in adult patients suffering from deep partial-thickness and full-thickness thermal burns. NexoBrid has a novel mechanism of action and is the only product that specifically targets eschar or non-viable tissue, thereby preserving viable tissue and potentially minimizing the need for subsequent skin grafting in burn patients. The current standard of care for eschar removal of deep partial-thickness and full thickness burns in the U.S. is surgical excision, which can result in both viable and non-viable tissue being removed. Surgical excision involves the use of sharp instruments or hydrosurgery, through the use of the Versajet IITM Hydrosurgery System (Smith &amp; Nephew, plc.). Other non-surgical treatments include clostridial collagenase ointment (CCO/Santyl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(Smith &amp; Nephew, plc.), antimicrobial agents (silver sulfadiazine), or hydrogels. Although less invasive than surgical excision, prior to NexoBrid, non-surgical debridement agents have often been considered inefficient, can result in a lengthy sloughing period, and have the potential for the development of granulation tissue and increased infection and scarring. Other than NexoBrid, CCO is the only FDA-approved product for enzymatic eschar removal in the U.S.</w:t>
      </w:r>
    </w:p>
    <w:p>
      <w:pPr>
        <w:spacing w:after="0" w:line="22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the general area of cell-based therapies, we potentially compete with a variety of companies, most of whom are specialty medical technology/device or biotechnology companies. Some of these, such as Smith &amp; Nephew, plc, Arthrex, Inc. and Zimmer Biomet Holdings, Inc., are well-established and have substantial technical and financial resources compared to us.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However, as cell-based products are only just emerging as viable medical therapies, many of our potential competitors are smaller biotechnology and specialty medical products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are subject to various federal, state and local laws and regulations relating to the protection of the environment, human health and safety in the U.S. and in other jurisdictions in which we operate. If we violate these laws and regulations, we could be fined, criminally charged or otherwise sanctioned by regulators. Environmental laws and regulations are complex, change frequently and have become more stringent over time. The regulatory landscape continues to evolve, and we anticipate additional regulations in the near future. Laws and regulations are implemented and under consideration to mitigate the effects of climate change mainly caused by greenhouse gas emissions. Our business is not energy intensive. Therefore, we do not anticipate being subject to a cap and trade system or other mitigation measure that would materially impact our capital expenditures, operations or competitive position. We believe that our operations currently comply in all material respects with applicable environmental laws and regulations.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As of December 31, 2023, we employed approximately 314 full-time employees. A significant number of our management and professional employees have had prior experience with pharmaceutical, biotechnology or medical product companies. None of our employees are covered by collective bargaining agreements, and management considers relations with our employees to be good.</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are committed to the health and safety of our employees, patients and other partners in the healthcare community. We work to promote an environment of awareness and shared responsibility for safety and regulatory compliance throughout our organization, in order to minimize risks of injury, exposure, or business impact.</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appreciate one another’s differences and strengths and are proud to be an Equal Opportunity Employer. We value diversity of backgrounds and perspectives and our policy is that we do not discriminate based on race, religious creed, color, national origin, ancestry, physical disability, mental disability, medical condition, genetic information, marital status, sex, gender, gender identity, gender expression, age, military and veteran status, sexual orientation or any other protected characteristic as established by federal, state or local laws.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Additional information about Vericel is included on our website, www.vcel.com. Information on our website is not incorporated by reference into this Annual Report. We make available on our website free of charge our Annual Reports on Form 10-K, Quarterly Reports on Form 10-Q and Current Reports on Form 8-K as soon as reasonably practicable after those reports are filed with the Securities and Exchange Commission (“SEC”). Our reports filed with the SEC are also made available on its website at www.sec.gov. The following Corporate Governance documents are also posted on the Investor Relations section of our website: Corporate Governance Guidelines, Code of Business Conduct and Ethics, Code of Ethics for Senior Financial Officers, Insider Trading Policy, Special Trading Procedures for Insiders, Board Member Attendance at Annual Meetings Policy, Director Nominations Policy, Shareholder Communications with Directors Policy and the Charters for each of the Committees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following summary highlights some of the principal risks that could adversely affect our business, financial condition or results of operations. This summary is not complete and the risks summarized below are not the only risks we face. These risks are discussed more fully further below. These risks include, but are not limited to, the following:</w:t>
      </w:r>
    </w:p>
    <w:p>
      <w:pPr>
        <w:spacing w:after="0" w:line="203" w:lineRule="exact"/>
        <w:rPr>
          <w:sz w:val="20"/>
          <w:szCs w:val="20"/>
          <w:color w:val="auto"/>
        </w:rPr>
      </w:pPr>
    </w:p>
    <w:p>
      <w:pPr>
        <w:ind w:left="640" w:hanging="313"/>
        <w:spacing w:after="0"/>
        <w:tabs>
          <w:tab w:leader="none" w:pos="64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We may experience significant quarterly and annual fluctuations in our results of operations due to a number of factors.</w:t>
      </w:r>
    </w:p>
    <w:p>
      <w:pPr>
        <w:spacing w:after="0" w:line="25" w:lineRule="exact"/>
        <w:rPr>
          <w:rFonts w:ascii="Arial" w:cs="Arial" w:eastAsia="Arial" w:hAnsi="Arial"/>
          <w:sz w:val="18"/>
          <w:szCs w:val="18"/>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will be harmed if we are unable to effectively manage and sustain our future growth or scale our operations.</w:t>
      </w:r>
    </w:p>
    <w:p>
      <w:pPr>
        <w:spacing w:after="0" w:line="5"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other global crises have had and may have in the future a significant adverse effect on our business, financial condition, and results of operations.</w:t>
      </w: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effectively manage and sustain our future growth or scale our operations.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manage inventory in an effective and efficient manner, which could adversely affect our results of operations.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and may not achieve consistent profitability for some time or at all.</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product development programs are based on novel technologies and are inherently risky, which may decrease the chances of regulatory approval and could have a material effect on our financial condition and operating results.</w:t>
      </w:r>
    </w:p>
    <w:p>
      <w:pPr>
        <w:ind w:left="640" w:hanging="313"/>
        <w:spacing w:after="0" w:line="24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raise the required capital to develop and commercialize our future product candidates and otherwise grow and expand our business.</w:t>
      </w: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financial market conditions may exacerbate certain risks affecting our business.</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key manufacturing, quality and other management personnel and the loss of any of these individuals could harm our business.</w:t>
      </w:r>
    </w:p>
    <w:p>
      <w:pPr>
        <w:jc w:val="both"/>
        <w:ind w:left="640" w:hanging="313"/>
        <w:spacing w:after="0" w:line="24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and our responses thereto as well as other unfavorable global and regional economic conditions, geopolitical events, and military conflicts, such as repercussions from the ongoing war in Ukraine or the Israel-Hamas war. Tensions between China and Taiwan, or an escalation of hostilities in the wider Middle East, could continue to create substantial uncertainty in the global economy and contribute to heightened inflation and supply chain disruptions.</w:t>
      </w:r>
    </w:p>
    <w:p>
      <w:pPr>
        <w:spacing w:after="0" w:line="1"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manufacturing facility is destroyed or we experience any manufacturing difficulties, disruptions or delays, this could limit supply of our products or adversely affect our ability to conduct clinical trials and our business would be adversely impacted.</w:t>
      </w:r>
    </w:p>
    <w:p>
      <w:pPr>
        <w:jc w:val="both"/>
        <w:ind w:left="640" w:hanging="313"/>
        <w:spacing w:after="0" w:line="24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 parties, including for example Matricel GmbH (“Matricel”), to manufacture or supply certain components, equipment, disposable devices and other materials used in our MACI or Epicel cell manufacturing processes would impair our cell product development and commercialization.</w:t>
      </w:r>
    </w:p>
    <w:p>
      <w:pPr>
        <w:spacing w:after="0" w:line="1"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manufacturing and supply chain are subject to significant regulations, failure by our third-party manufacturers, including Matricel, to comply with the regulatory requirements set forth by the FDA with respect to our products could limit our ability to manufacture commercial products and/or result in the products being subject to restrictions or withdrawn from the market.</w:t>
      </w:r>
    </w:p>
    <w:p>
      <w:pPr>
        <w:spacing w:after="0" w:line="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the commercial success of NexoBrid in the U.S.</w:t>
      </w:r>
    </w:p>
    <w:p>
      <w:pPr>
        <w:spacing w:after="0" w:line="6"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NexoBrid in the U.S. is dependent, in part, on MediWound’s ability to timely manufacture and supply sufficient quantities of NexoBrid to meet customer demand. To the extent MediWound is unable to manufacture NexoBrid in accordance with the requirements of its BLA approval, or experiences supply chain or other disruptions, whether as a result of the ongoing Israel-Hamas war, military or other conflicts between China and Taiwan, or some other event, it could adversely affect the commercial success of NexoBrid.</w:t>
      </w:r>
    </w:p>
    <w:p>
      <w:pPr>
        <w:spacing w:after="0" w:line="1"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NexoBrid may not be approved for the treatment of severe burns in other North American markets, outside of the U.S., and NexoBrid may not be accepted in the markets where regulatory approvals have been received.</w:t>
      </w:r>
    </w:p>
    <w:p>
      <w:pPr>
        <w:jc w:val="both"/>
        <w:ind w:left="640" w:hanging="313"/>
        <w:spacing w:after="0" w:line="24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security incident could result in a loss of confidential data, give rise to remediation and other expenses, expose us to liability under HIPAA, consumer protection and privacy laws, or other common law theories, subject us to litigation and federal and state governmental inquiries, damage our reputation, and otherwise be disruptive to our business.</w:t>
      </w:r>
    </w:p>
    <w:p>
      <w:pPr>
        <w:spacing w:after="0" w:line="1"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adequate reimbursement and reimbursement rates for our products could have a material adverse effect on our financial condition and operating results.</w:t>
      </w: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and/or maintain required regulatory approvals would severely limit our ability to sell our products.</w:t>
      </w:r>
    </w:p>
    <w:p>
      <w:pPr>
        <w:spacing w:after="0" w:line="6" w:lineRule="exact"/>
        <w:rPr>
          <w:rFonts w:ascii="Times New Roman" w:cs="Times New Roman" w:eastAsia="Times New Roman" w:hAnsi="Times New Roman"/>
          <w:sz w:val="18"/>
          <w:szCs w:val="18"/>
          <w:color w:val="auto"/>
        </w:rPr>
      </w:pPr>
    </w:p>
    <w:p>
      <w:pPr>
        <w:ind w:left="640" w:right="20" w:hanging="313"/>
        <w:spacing w:after="0" w:line="25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social and governance matters (“ESG”) and any related reporting obligations may adversely impact our business, financial condition and results of operations.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40" w:hanging="313"/>
        <w:spacing w:after="0" w:line="258"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regulatory requirements that affect our products and/or future product candidates could prevent, limit or delay our ability to market or develop new product candidates.</w:t>
      </w:r>
    </w:p>
    <w:p>
      <w:pPr>
        <w:jc w:val="both"/>
        <w:ind w:left="64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products or future product candidates, including the development of an arthroscopic delivery method for MACI, and the use of MACI to treat cartilage defects in the ankle, will require regulatory approvals which could result in the delay of the change being made or, if not approved, prevent any changes from being made.</w:t>
      </w:r>
    </w:p>
    <w:p>
      <w:pPr>
        <w:spacing w:after="0" w:line="1"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federal or state agency determines that we have promoted the off-label use of our products and/or we have violated anti-kickback or other anti-bribery laws, we may be subject to various penalties, including civil or criminal penalties, and the off-label use of our products may result in injuries that lead to product liability lawsuits, which could be costly to our business.</w:t>
      </w:r>
    </w:p>
    <w:p>
      <w:pPr>
        <w:spacing w:after="0" w:line="1"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MediWound’s family of patents and proprietary rights covering NexoBrid do not provide substantial protection, our commercialization efforts with respect to NexoBrid could suffer.</w:t>
      </w: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of common stock could have an adverse effect on the market price of such shares.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35" w:lineRule="exact"/>
        <w:rPr>
          <w:sz w:val="20"/>
          <w:szCs w:val="20"/>
          <w:color w:val="auto"/>
        </w:rPr>
      </w:pPr>
    </w:p>
    <w:p>
      <w:pPr>
        <w:jc w:val="both"/>
        <w:ind w:firstLine="240"/>
        <w:spacing w:after="0" w:line="223" w:lineRule="exact"/>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that could adversely affect our business, financial condition, results of operations, cash flows, and trading price of our common stock. The risks and uncertainties described below are not the only ones we face. There may be additional risks and uncertainties that are not known to us or that we do not consider to be material at this time. If the events described in these risks occur, our business, financial condition, and results of operations would likely suffer. See “Cautionary Note Regarding Forward-Looking Statements” and the risks of our businesses described elsewhere in 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w:t>
      </w:r>
    </w:p>
    <w:p>
      <w:pPr>
        <w:spacing w:after="0" w:line="1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significant quarterly and annual fluctuations in our results of operations due to a number of factors.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Factors that may affect our results of operations include:</w:t>
      </w:r>
    </w:p>
    <w:p>
      <w:pPr>
        <w:spacing w:after="0" w:line="247" w:lineRule="exact"/>
        <w:rPr>
          <w:sz w:val="20"/>
          <w:szCs w:val="20"/>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orders and revenue recognition for new and prior year orders;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buying patterns of our customers;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sales of our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of revenues;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developments;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third-party coverage and reimbursement for our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supply and meet customer demand for our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to our existing customers, particularly larger customers;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achieve market adoption of our products;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commercialize NexoBrid;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recession or any other adverse global economic conditions on our business;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such as the COVID-19 pandemic;</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erosion in margins or significant fluctuations in revenues caused by changing customer demand;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hiring personnel and of large expenses such as third-party professional services;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expenses, which vary along with changes to our stock price;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or constraints;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accounting rules or our accounting policies.</w:t>
      </w:r>
    </w:p>
    <w:p>
      <w:pPr>
        <w:spacing w:after="0" w:line="22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foregoing factors are difficult to forecast, and these, as well as other factors, could materially adversely affect our quarterly and annual results of operations. There can be no assurance that the level of revenues and profits, if any, achieved by us in any particular fiscal period, will not be significantly lower than in other comparable fiscal periods. Additionally, our expense levels are based, in part, on our expectations as to future revenues. As a result, if future revenues are below expectations, net income or loss may be disproportionately affected by a reduction in revenues, as any corresponding reduction</w:t>
      </w: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26" w:name="page27"/>
    <w:bookmarkEnd w:id="2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expenses may not be proportionate to the reduction in revenues. If we fail to achieve our quarterly forecasts, if our forecasts fall below the expectations of investors or research analysts, or if our actual results fail to meet the expectations of investors or research analysts, our stock price may decline.</w:t>
      </w:r>
    </w:p>
    <w:p>
      <w:pPr>
        <w:spacing w:after="0" w:line="185"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Public health crises, such as the COVID-19 pandemic, have had, and may in the future have, a significant adverse effect on our business, financial condition, and results of operations.</w:t>
      </w:r>
    </w:p>
    <w:p>
      <w:pPr>
        <w:spacing w:after="0" w:line="18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are subject to public health crises, such as the COVID-19 pandemic, which has had and may continue to have a significant impact on our operations, cash flows and liquidity. The response to the COVID-19 pandemic negatively affected the global economy, disrupted global supply chains, and created significant disruption in financial and healthcare markets, including U.S. staffing shortages, our ability to access customers, and significant volatility in our results of operations due to the periodic cancellation or delay of elective MACI surgical procedures. Uncertainty caused by pandemics, epidemics, or similar public health crises could lead to prolonged economic downturns and reduce or delay demand for our products, in which case our results of operations could be significantly impacted. The extent to which COVID-19 or another similar public health crisis impacts our business, results of operations, and financial condition will depend on future developments, which are highly uncertain and cannot be predicted, including a resurgence of COVID-19, including new variants, the timing or effectiveness of vaccine roll-outs globally, the timing of easing of preventative or mitigation measures or mandates, the impact of any variants that emerge, or any impact of a global vaccine roll-out on the global economy.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will be harmed if we are unable to effectively manage and sustain our future growth or scale our operations.</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There can be no assurance that we will be able to manage our future growth efficiently or profitably. Our business remains unproven at a large-scale operational level and actual revenue and operating margins, or revenue and margin growth, may be less than expected. If we are unable to scale our production capabilities efficiently or maintain pricing without significant discounting, we may fail to achieve expected operating margins, which would have a material and adverse effect on our operating results. For example, we are planning to move to a larger facility to support our potential growth, but if the construction and customization of such facility is delayed, we may be limited in our ability to meet future demand for our products. Growth may also stress our ability to adequately manage our operations, quality of products, safety and regulatory compliance. If growth significantly decreases it will negatively impact our cash reserves, and we may be required to obtain additional financing, which may increase indebtedness or result in dilution to shareholders. Further, there can be no assurance that we would be able to obtain additional financing on acceptable terms, if at all.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manage inventory in an effective and efficient manner, it could adversely affect our results of operations.</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Many factors affect the efficient use and planning of inventory of certain components and other materials used in our cell manufacturing process to manufacture our marketed products, such as effectiveness of predicting demand, effectiveness of preparing manufacturing to meet demand, efficiently meeting product demand requirements and expiration of materials in inventory. We may be unable to manage our inventory efficiently, keep inventory within expected budget goals, keep inventory on hand or manage it efficiently, control expired inventory or keep sufficient inventory of materials to meet product demand due to our dependence on third-party suppliers. Finally, we cannot provide assurances that we can keep inventory costs within our target levels. Failure to do so may harm our long-term growth prospects.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and may not achieve consistent profitability for some time or at all.</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2023 we reported net loss of $3.2 million. Prior to that, with the exception of the year ended December 31, 2020, when we reported net income of $2.9 million, we had incurred net losses each year since our inception. As of December 31, 2023, we had accumulated a deficit of approximately $403.2 million and $152.6 million of cash, cash equivalents and investments. We expect that cash from the sales of our products and existing cash, cash equivalents, investments and available borrowing capacity will be sufficient to support our current operations through at least 12 months following the issuance of the consolidated financial statements included in this Annual Report on Form 10-K.</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Although we believe we can achieve profitability without the need to raise additional capital, we may incur significant operating losses over the next several years despite sales increasing and margins improving, due to continuing expenses related to research and development, the construction of our new corporate headquarters and manufacturing facility, and the expense associated with continuing the commercialization of our approved products. We cannot predict with any certainty the existence or amount of future losses. Our ability to maintain profitability will depend on, among other things, increasing sales of our current products, improving gross margins, successfully commercializing new products, completing the development of our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future product candidates, timely initiation and completion of clinical trials, obtaining regulatory approvals, establishing manufacturing, sales and marketing arrangements with third parties, maintaining supplies of key manufacturing components and the possible acquisition and development of additional and complementary products. Therefore, we may not be able to achieve or sustain profitability.</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the longer term, we may need to raise additional funds in order to continue to complete product development programs and the clinical trials needed to obtain approval for and commercialize our future product candidates, or to capitalize on potential strategic opportunities. We cannot be certain that actual results will not differ materially from our current projections and that current capital will be sufficient to achieve profitability or that funding will be available on favorable terms, if at all. Some of the factors that will impact our ability to raise additional capital and our overall success include:</w:t>
      </w:r>
    </w:p>
    <w:p>
      <w:pPr>
        <w:spacing w:after="0" w:line="208" w:lineRule="exact"/>
        <w:rPr>
          <w:sz w:val="20"/>
          <w:szCs w:val="20"/>
          <w:color w:val="auto"/>
        </w:rPr>
      </w:pPr>
    </w:p>
    <w:p>
      <w:pPr>
        <w:ind w:left="640" w:hanging="39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our manufacturing facility’s compliance with FDA requirements, including establishment and product fees;</w:t>
      </w:r>
    </w:p>
    <w:p>
      <w:pPr>
        <w:spacing w:after="0" w:line="25" w:lineRule="exact"/>
        <w:rPr>
          <w:rFonts w:ascii="Times New Roman" w:cs="Times New Roman" w:eastAsia="Times New Roman" w:hAnsi="Times New Roman"/>
          <w:sz w:val="18"/>
          <w:szCs w:val="18"/>
          <w:color w:val="auto"/>
        </w:rPr>
      </w:pPr>
    </w:p>
    <w:p>
      <w:pPr>
        <w:ind w:left="640" w:hanging="393"/>
        <w:spacing w:after="0" w:line="247" w:lineRule="auto"/>
        <w:tabs>
          <w:tab w:leader="none" w:pos="635"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The requirements necessary to maintain in good standing marketing authorizations and licenses from regulatory bodies in the U.S. and other countries;</w:t>
      </w:r>
    </w:p>
    <w:p>
      <w:pPr>
        <w:ind w:left="640" w:hanging="393"/>
        <w:spacing w:after="0"/>
        <w:tabs>
          <w:tab w:leader="none" w:pos="640"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The liquidity and market volatility of our equity securities;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Regulatory and manufacturing requirements and uncertainties;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Anticipating technological developments by competitors;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The rate and degree of progress of our product development and product lifecycle management initiatives; and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The rate and cadence of the regulatory approvals needed to proceed with clinical development programs.</w:t>
      </w:r>
    </w:p>
    <w:p>
      <w:pPr>
        <w:spacing w:after="0" w:line="22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products and product development programs are based on novel technologies and are inherently risky, which may decrease the chances of regulatory approval and could have a material adverse effect on our financial condition and operating results.</w:t>
      </w:r>
    </w:p>
    <w:p>
      <w:pPr>
        <w:spacing w:after="0" w:line="18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Our products are subject to the inherent risks of failure associated with the development of new products based on novel technologies. The innovative nature of our therapeutics creates significant challenges with regard to product development and optimization, manufacturing, regulatory environment and emerging regulations, third-party reimbursement and market acceptance. Therapeutic advancements are generally ahead of development and release of regulatory guidance and requirements. The lack of established precedents and evolving regulatory policy for novel products can pose significant challenges in product and clinical development, which can decrease the chances of regulatory success.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products represent new classes of therapy that the marketplace may not understand or accept. Furthermore, the success of our products is dependent on wider acceptance by the medical community.</w:t>
      </w:r>
    </w:p>
    <w:p>
      <w:pPr>
        <w:spacing w:after="0" w:line="18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While our products have had some commercial success to date, the broader market may not understand or accept our products. Our products represent new treatments or therapies and compete with a number of more conventional products and therapies manufactured and marketed by others. The nature of our products creates significant challenges with regard to product development and optimization, manufacturing, regulations, and third-party reimbursement. As a result, the commercialization of our current products and the development pathway for our potential new products may be subject to increased scrutiny, as compared to the pathway for more conventional products.</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degree of market acceptance of any of our marketed or potential new products will depend on a number of factors, including:</w:t>
      </w:r>
    </w:p>
    <w:p>
      <w:pPr>
        <w:spacing w:after="0" w:line="247" w:lineRule="exact"/>
        <w:rPr>
          <w:sz w:val="20"/>
          <w:szCs w:val="20"/>
          <w:color w:val="auto"/>
        </w:rPr>
      </w:pPr>
    </w:p>
    <w:p>
      <w:pPr>
        <w:ind w:left="640" w:hanging="393"/>
        <w:spacing w:after="0"/>
        <w:tabs>
          <w:tab w:leader="none" w:pos="64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The clinical safety and effectiveness of our products and their demonstrated advantage over alternative treatment methods;</w:t>
      </w:r>
    </w:p>
    <w:p>
      <w:pPr>
        <w:spacing w:after="0" w:line="25"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demonstrate to healthcare providers that our products provide a therapeutic advancement over standard of care treatment or other competitive products and methods;</w:t>
      </w:r>
    </w:p>
    <w:p>
      <w:pPr>
        <w:ind w:left="640" w:hanging="393"/>
        <w:spacing w:after="0" w:line="247" w:lineRule="auto"/>
        <w:tabs>
          <w:tab w:leader="none" w:pos="635"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educate healthcare providers on the autologous use of human tissue, to avoid potential confusion with, and differentiate ourselves from, the ethical controversies associated with human fetal tissue and engineered human tissue;</w:t>
      </w:r>
    </w:p>
    <w:p>
      <w:pPr>
        <w:ind w:left="640" w:hanging="393"/>
        <w:spacing w:after="0" w:line="247"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educate healthcare providers on the benefits and appropriate use of enzymatic agents for the removal of eschar in adult patients suffering from deep partial-thickness and full-thickness thermal burns;</w:t>
      </w:r>
    </w:p>
    <w:p>
      <w:pPr>
        <w:ind w:left="640" w:hanging="393"/>
        <w:spacing w:after="0"/>
        <w:tabs>
          <w:tab w:leader="none" w:pos="64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educate healthcare providers, patients and payers on the safety and adverse reactions associated with our products;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meet supply and demand and develop a group of medical professionals familiar with and committed to the use of our products; and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40" w:hanging="393"/>
        <w:spacing w:after="0"/>
        <w:tabs>
          <w:tab w:leader="none" w:pos="64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The cost-effectiveness of our products and the reimbursement policies of government and third-party payers.</w:t>
      </w:r>
    </w:p>
    <w:p>
      <w:pPr>
        <w:spacing w:after="0" w:line="24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Market acceptance of any future product candidates, if approved, will not be fully known until after they are launched and may be negatively affected by a potential poor safety experience and the track record of other similar products and product candidates. Further, continued market acceptance of Epicel, MACI and NexoBrid, and any future product candidates that may be approved, depends on our efforts to educate the medical community and third-party payers on the benefits of our products and product candidates and will require significant resources from us. If the medical community or patients do not accept the safety and effectiveness of our products, it could negatively affect our ability to sell those products, which would have a material adverse impact on our business, financial condition and operations.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the commercial success of NexoBrid for the removal of eschar in adults with deep partial-thickness and/or full-thickness thermal burns.</w:t>
      </w:r>
    </w:p>
    <w:p>
      <w:pPr>
        <w:spacing w:after="0" w:line="186"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On December 28, 2022, we announced that the FDA granted a BLA and approved NexoBrid for the removal of eschar in adults with deep partial-thickness and/or full thickness thermal burns. On September 20, 2023, the Company announced the U.S. commercial availability of NexoBrid and subsequently commenced commercial sales of the product. We expect that our commercial success and our future NexoBrid-related revenue will depend largely on the medical community’s acceptance of NexoBrid as an important treatment option for patients that are suffering from severe burn injuries and, ultimately, as the standard of care for the removal of eschar. The U.S. medical community’s acceptance of NexoBrid and other of our products will depend upon our ability to demonstrate long-term clinical performance and advantages and cost-effectiveness of our products. In addition, acceptance of products for the treatment of eschar removal is dependent upon, among other factors, the level of awareness and education of the medical community about the removal of eschar in adults with deep partial-thickness and/or full-thickness thermal burns and the existence, effectiveness, safety, and cost effectiveness of our products. Market acceptance and adoption of our products or procedures also depends on the level of health insurer (including Medicare) reimbursement to physicians and hospitals for procedures using our products. Negative publicity resulting from incidents involving our products, or similar products, could have a significant adverse effect on the overall acceptance of our products. Market acceptance could be delayed by lack of physician willingness to attend training sessions, by the time required to complete this training, or by state or institutional restrictions on our ability to provide training. If we are unable to gain and/or maintain such support, training services and collaboration, our ability to grow the market for our products may be impacted and we may not be able to increase our revenue enough to achieve or sustain profitability, and our business and operating results may be seriously harmed. Additional factors that may affect our ability to successfully commercialize NexoBrid include:</w:t>
      </w:r>
    </w:p>
    <w:p>
      <w:pPr>
        <w:spacing w:after="0" w:line="221" w:lineRule="exact"/>
        <w:rPr>
          <w:sz w:val="20"/>
          <w:szCs w:val="20"/>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MediWound to recruit and retain employees with the right expertise and experience, at sufficient numbers;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and develop relationships with key healthcare providers and public health agencies;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educate key healthcare providers on the clinical efficacy, cost effectiveness and appropriate use of NexoBrid in the clinical setting;</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as a new entrant in established distribution channels for similar products;</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sufficient funding to cover the costs and expenses associated with building and operating an effective commercial organization; and</w:t>
      </w: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MediWound’s ability to timely manufacture and supply sufficient quantities of NexoBrid to meet customer demand.</w:t>
      </w:r>
    </w:p>
    <w:p>
      <w:pPr>
        <w:spacing w:after="0" w:line="22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of our Specialty Pharmacies to enter into written agreements with payers for reimbursement of our products and to obtain adequate reimbursement and reimbursement rates could have a material adverse effect on our financial condition and operating results.</w:t>
      </w:r>
    </w:p>
    <w:p>
      <w:pPr>
        <w:spacing w:after="0" w:line="18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have a limited network of specialty pharmacy distributors for MACI, and we primarily rely on our specialty pharmacy distributors’ contracts with third-party payers for reimbursement. Under our distribution agreements with Orsini and AllCare, we assume the credit and collection risk of third-party payers, as Orsini and AllCare dispense MACI and perform the collection activities. We also sell a portion of MACI implants directly to facilities based on prices stated in an approved contract or an applicable purchase order with the facility. Often the contracted rates are tied to the facility’s third-party reimbursement from an underlying insurance provider. We sell Epicel directly to hospitals based on contracted rates stated in an approved contract or an applicable purchase order with the hospital. The hospital is then reimbursed by third-party payers for each patient case, based on a capitated/global payment structure or a negotiated rate of either percent of billed charges or per diem rates.</w:t>
      </w:r>
    </w:p>
    <w:p>
      <w:pPr>
        <w:spacing w:after="0" w:line="21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Failing to maintain and obtain written agreements from payers for reimbursement of our products or to obtain adequate reimbursement rates could have a material adverse effect on our financial condition and operating results. In addition, healthcare providers are under pressure to increase profitability and reduce costs. We cannot predict the extent to which</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reimbursement for our products will be affected by initiatives to reduce costs for healthcare providers. Failure to collect from such payers or to obtain or maintain written agreements with such payers or obtaining lower than estimated reimbursement for our products would adversely affect our business, financial conditions and results of operations.</w:t>
      </w:r>
    </w:p>
    <w:p>
      <w:pPr>
        <w:spacing w:after="0" w:line="1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A cyber security incident or data privacy issue could result in a loss of confidential data, give rise to remediation and other expenses, expose us to liability under HIPAA, consumer protection and privacy laws, or other common law theories, subject us to litigation and federal and state governmental inquiries, damage our reputation, and otherwise be disruptive to our business.</w:t>
      </w:r>
    </w:p>
    <w:p>
      <w:pPr>
        <w:spacing w:after="0" w:line="20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collect and store on our networks and work-issued devices sensitive information, including intellectual property and personally identifiable information. The secure maintenance of this information is critical to our business operations. We have implemented multiple layers of security measures, and have developed an enterprise-wide incident response plan, which are designed to protect this confidential data through technology, processes, and our people. We strive to utilize current security technologies, and our defenses are monitored and routinely reviewed by internal and external parties.</w:t>
      </w:r>
    </w:p>
    <w:p>
      <w:pPr>
        <w:spacing w:after="0" w:line="208"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Despite these efforts, threats from malicious persons and groups, new vulnerabilities, and advanced and increased attacks against our and our service providers’ or partners’ information systems create risk of cyber security and/or privacy incidents. These threats could include use of harmful malware or ransomware, protected health information leakage from implementing third-party technology to process and share data, and our information technology systems could be compromised by internal and outside parties intent on extracting ransom or information, corrupting data or disrupting business practices. There can be no assurance that we will not be subject to cyber security or privacy incidents that evade our security or privacy measures, result in the loss of personal health information, intellectual property, or other data subject to privacy laws or disrupt our information systems and business. We are focused on developing and enhancing of our controls, processes and practices designed to protect our information systems from attack, damage or unauthorized access. As cyber threats continue to evolve, we may be required to expend significant additional resources to continue to modify or enhance our protective measures and processes or to investigate and remediate cyber security or privacy vulnerabilities. Although the Company has been subjected to cyber threats and attacks, to date there have been no incidents of which we are aware that have had a material effect on our business or operations. The occurrence of any of these events could result in interruptions, delays, the loss, access, misappropriation, disclosure or corruption of data or intellectual property, liability under privacy, security and consumer protection laws or litigation under these or other laws, including common law theories, and subject us to federal and state governmental inquiries, any of which could have a material adverse effect on our financial position and results of operations and harm our business reputation.</w:t>
      </w:r>
    </w:p>
    <w:p>
      <w:pPr>
        <w:spacing w:after="0" w:line="22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addition, regulators in the U.S. and globally are also inquiring more about and imposing greater monetary fines for privacy violations. In the last year, the FTC has announced that it will begin enforcing the Health Breach Notification Rule, and has entered into at least one consent order with a different organization that involved a $1.5 million fine. The FTC and many states (including California, Utah, Colorado, Virginia, Connecticut) have specific requirements for collecting and processing certain data including data minimization, data de-identification, opt out rights, deletion and sharing.</w:t>
      </w:r>
    </w:p>
    <w:p>
      <w:pPr>
        <w:spacing w:after="0" w:line="208"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 xml:space="preserve">EU regulation also governs our business. For example, in 2016, the EU adopted a new regulation governing data practices and privacy called the General Data Protection Regulation (“GDPR”), which became effective on May 25, 2018.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extensive rights for individuals, including to request access to personal data and to request personal data is erased, and onerous new obligations on services providers, as well as specific contracting requirements applicable to data sharing with service providers. In addition, there are strict restrictions on the transfer of personal data outside of the EU to countries which are not considered by the EU to have equivalent data protection laws, which includes the US. Transfers of data must be legitimized by (i) carrying out risk assessments and (ii) entering into approved forms of agreement between the EU based exporter of the personal data, and the recipient (“importer”) of the personal data. The EU has been greatly focused on this issue since the landmark judgment of in the case of </w:t>
      </w:r>
      <w:r>
        <w:rPr>
          <w:rFonts w:ascii="Times New Roman" w:cs="Times New Roman" w:eastAsia="Times New Roman" w:hAnsi="Times New Roman"/>
          <w:sz w:val="18"/>
          <w:szCs w:val="18"/>
          <w:i w:val="1"/>
          <w:iCs w:val="1"/>
          <w:color w:val="auto"/>
        </w:rPr>
        <w:t>Schrems II</w:t>
      </w:r>
      <w:r>
        <w:rPr>
          <w:rFonts w:ascii="Times New Roman" w:cs="Times New Roman" w:eastAsia="Times New Roman" w:hAnsi="Times New Roman"/>
          <w:sz w:val="18"/>
          <w:szCs w:val="18"/>
          <w:color w:val="auto"/>
        </w:rPr>
        <w:t xml:space="preserve"> handed down by the European Court of Justice in July 2020, and it has become an area for greater scrutiny and enforcement by EU privacy regulators. Non-compliance with the GDPR may result in monetary penalties of up to €20 million or 4% of worldwide revenue, whichever is greater. The GDPR is no longer applicable to the UK since the UK left the EU in December 2021. However, it has been replaced by equivalent legislation in the UK, including the UK GDPR and the Data Protection Act 2018. The GDPR (and UK equivalent laws) and other changes in laws or regulations associated with the enhanced protection of certain types of personal data, such as healthcare data or other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sensitive information, could greatly increase our cost of providing our products and services or even prevent us from offering certain services in jurisdictions that we may operate in.</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rely on complex information technology systems for various critical purposes, including timely delivery of products and maintaining patient confidentiality. If these systems fail or are disrupted, we could lose product sales and our revenue and reputation would suffer.</w:t>
      </w:r>
    </w:p>
    <w:p>
      <w:pPr>
        <w:spacing w:after="0" w:line="186"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We have developed comprehensive, integrated information technology (“IT”) systems for the intake of physician orders for our products, to track product delivery, and to store patient-related data that we obtain for purposes of manufacturing MACI and Epicel. We rely on these systems to maintain the chain of identity for each autologous product, and to ensure timely delivery of product, prior to expiration. Each of our autologous products has a limited usable life measured in days from the completion of the manufacturing process to patient implant or grafting. Accordingly, maintaining accurate scheduling logistics is critical. In addition, these IT systems store and protect the privacy of certain patient information, which is required for the manufacture of our individualized cell therapy products. We have also developed an integrated information technology system for benefit coordination for MACI patients who have opted-in to the My Cartilage Care program, which we use with our benefit coordination contractor and our contracted specialty pharmacies. This system contains patient-related information some of which is accessible by company personnel and healthcare professionals for surgery coordination activities. If any of our systems were to fail or be disrupted for an extended period of time, we could lose product sales and our revenue and reputation would suffer. Similarly, in the event our systems were to be breached by an unauthorized third-party, that party could potentially access the aforementioned patient information, which could cause us to suffer further reputational damage and loss of customer confidence. Any one of these events could cause our business to be materially harmed and our results of operations would be adversely impacted.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complete our product development activities successfully would materially limit our ability to operate or finance our operations.</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order to obtain regulatory approvals necessary to commercialize future product candidates in the U.S. or advancements to our current commercial products, we must conduct adequate and well-controlled clinical trials to demonstrate the safety and effectiveness of those products, in compliance with current regulatory requirements. We may not be able to successfully complete the development of future product candidates or advancements to our current commercial products, or successfully market our technologies or future product candidates. We, and any of our potential collaborators, may encounter problems and delays relating to research and development, regulatory approval and intellectual property rights of relevant technologies and future product candidates. Our research and development programs may not be successful, or our cell therapy technologies and future product candidates may not facilitate the production of cells outside the human body with the expected results. Additionally, our technologies and future product candidates may not prove to be safe and effective in clinical trials, and we may not obtain the requisite regulatory approvals for our product candidates. If any of these events occur, our future prospects may be adversely impacted.</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must successfully complete nonclinical and clinical development to be able to demonstrate safety and efficacy to seek marketing approval of our current or future product candidates. Lack of efficacy and or safety events can lead to the discontinuation of clinical development, and this can occur at any stage of the clinical development program. We may experience numerous unforeseen events during development that can delay or prevent commercialization of our future development candidates.</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results of early-stage clinical trials do not ensure success in later clinical trials, and interim results are not necessarily predictive of final results. Data obtained from clinical activities are not always conclusive and may be susceptible to varying interpretations, which could delay, limit or prevent regulatory approval.</w:t>
      </w:r>
    </w:p>
    <w:p>
      <w:pPr>
        <w:spacing w:after="0" w:line="203"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252423"/>
        </w:rPr>
        <w:t>Additionally, several of our ongoing clinical trials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252423"/>
        </w:rPr>
        <w:t>open-label trial may not be predictive of future clinical trial results with any of our product candidates for which we include an open-label clinical trial when studied in a controlled environment with a placebo or active control.</w:t>
      </w:r>
    </w:p>
    <w:p>
      <w:pPr>
        <w:spacing w:after="0" w:line="189" w:lineRule="exact"/>
        <w:rPr>
          <w:sz w:val="20"/>
          <w:szCs w:val="20"/>
          <w:color w:val="auto"/>
        </w:rPr>
      </w:pPr>
    </w:p>
    <w:p>
      <w:pPr>
        <w:ind w:right="20" w:firstLine="240"/>
        <w:spacing w:after="0" w:line="277" w:lineRule="auto"/>
        <w:rPr>
          <w:sz w:val="20"/>
          <w:szCs w:val="20"/>
          <w:color w:val="auto"/>
        </w:rPr>
      </w:pPr>
      <w:r>
        <w:rPr>
          <w:rFonts w:ascii="Times New Roman" w:cs="Times New Roman" w:eastAsia="Times New Roman" w:hAnsi="Times New Roman"/>
          <w:sz w:val="18"/>
          <w:szCs w:val="18"/>
          <w:color w:val="auto"/>
        </w:rPr>
        <w:t>Our planned clinical trials may not begin or be completed on schedule, if at all. Typically, if a biological product is intended to treat a chronic disease, safety and efficacy data must be gathered over an extended period of time, which can range from six months to three years or more.</w:t>
      </w:r>
    </w:p>
    <w:p>
      <w:pPr>
        <w:spacing w:after="0" w:line="189"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With respect to any clinical trials affecting our approved products or future development candidates, failures or delays can occur at any stage of the trials, and may be directly or indirectly caused by a variety of factors, including but not limited to:</w:t>
      </w:r>
    </w:p>
    <w:p>
      <w:pPr>
        <w:spacing w:after="0" w:line="189" w:lineRule="exact"/>
        <w:rPr>
          <w:sz w:val="20"/>
          <w:szCs w:val="20"/>
          <w:color w:val="auto"/>
        </w:rPr>
      </w:pPr>
    </w:p>
    <w:p>
      <w:pPr>
        <w:ind w:left="640" w:hanging="393"/>
        <w:spacing w:after="0" w:line="258" w:lineRule="auto"/>
        <w:tabs>
          <w:tab w:leader="none" w:pos="63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Delays in securing clinical investigators or trial sites for our clinical trials and their subsequent performance in conducting accurate and reliable trials on a timely basis;</w:t>
      </w:r>
    </w:p>
    <w:p>
      <w:pPr>
        <w:ind w:left="640" w:hanging="393"/>
        <w:spacing w:after="0"/>
        <w:tabs>
          <w:tab w:leader="none" w:pos="64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Delays in obtaining IRB and other regulatory approvals to commence a clinical trial;</w:t>
      </w:r>
    </w:p>
    <w:p>
      <w:pPr>
        <w:spacing w:after="0" w:line="6"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Slower than anticipated rates of patient recruitment and enrollment in our clinical trials, or failing to reach the targeted number of patients due to competition for patients from other trials;</w:t>
      </w:r>
    </w:p>
    <w:p>
      <w:pPr>
        <w:ind w:left="640" w:hanging="393"/>
        <w:spacing w:after="0" w:line="247" w:lineRule="auto"/>
        <w:tabs>
          <w:tab w:leader="none" w:pos="63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Limited or no availability of coverage, reimbursement, and adequate payment from health maintenance organizations and other third-party payers for the use of biological products supplied for use in our clinical trials;</w:t>
      </w:r>
    </w:p>
    <w:p>
      <w:pPr>
        <w:ind w:left="640" w:hanging="393"/>
        <w:spacing w:after="0"/>
        <w:tabs>
          <w:tab w:leader="none" w:pos="64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Negative or inconclusive results from clinical trials;</w:t>
      </w:r>
    </w:p>
    <w:p>
      <w:pPr>
        <w:spacing w:after="0" w:line="6"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Unforeseen adverse effects interrupting, delaying, or halting clinical trials of any future therapeutic product candidates, and possibly resulting in the FDA or other regulatory authorities denying approval of any future therapeutic product candidates;</w:t>
      </w:r>
    </w:p>
    <w:p>
      <w:pPr>
        <w:ind w:left="640" w:hanging="393"/>
        <w:spacing w:after="0"/>
        <w:tabs>
          <w:tab w:leader="none" w:pos="64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Unforeseen safety issues;</w:t>
      </w:r>
    </w:p>
    <w:p>
      <w:pPr>
        <w:spacing w:after="0" w:line="6"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Approval and introduction of new therapies or changes in standards of practice or regulatory requirements or guidance that render our clinical trial endpoints or the targeting of our proposed indications obsolete;</w:t>
      </w:r>
    </w:p>
    <w:p>
      <w:pPr>
        <w:ind w:left="640" w:hanging="393"/>
        <w:spacing w:after="0"/>
        <w:tabs>
          <w:tab w:leader="none" w:pos="64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Inability to monitor patients adequately during or after treatment or problems with investigator or patient compliance with the trial protocols;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Inability to replicate in large, controlled trials safety and efficacy data obtained from a limited number of patients in uncontrolled trials;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Inability or unwillingness of medical investigators to follow our clinical protocols; and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Unavailability of clinical trial supplies.</w:t>
      </w:r>
    </w:p>
    <w:p>
      <w:pPr>
        <w:spacing w:after="0" w:line="22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FDA, the IRBs, and the sponsor monitor the progress of clinical trials and they may suspend or terminate a clinical trial at any time because of concerns related to patient safety or for other considerations. The FDA may impose a clinical hold on our trials because of safety concerns that have arisen for products or product candidates that are similar to our product candidates. Even when successful clinical results are reported for a product from a completed clinical trial, the durability of response may not be sustained over time, or may not be sufficient to support regulatory approval.</w:t>
      </w:r>
    </w:p>
    <w:p>
      <w:pPr>
        <w:spacing w:after="0" w:line="20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current product development activities include but are not limited to projects directed at expanding clinical indications, increasing the ease of use of our products for our customers, and decreasing the cost of manufacturing our products. These production process changes may alter the functionality of our cells and require various additional levels of experimental and clinical testing and evaluation. Any such testing could lengthen the time before these product enhancements are approved and would be commercially available.</w:t>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some of our clinical trials, and their failure to perform their obligations in a timely or competent manner may delay development and/or impact commercialization, if approved, of our current and future product candidates.</w:t>
      </w:r>
    </w:p>
    <w:p>
      <w:pPr>
        <w:spacing w:after="0" w:line="18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use clinical research organizations (“CROs”) to assist in the conduct of our clinical trials. We may face delays outside of our control if these parties do not perform their obligations in a timely or competent fashion, or if we are forced to change service providers. Any third-party that we hire to conduct clinical trials may also provide services to our competitors, which could compromise the performance of their obligations to us. If we experience significant delays in the progress of our clinical trials, the commercial prospects for our current and future product candidates could be harmed and our ability to generate product revenue would be delayed or prevented. In addition, we and any provider that we retain will be subject to GCP requirements. If GCP and other regulatory requirements are not adhered to by us or our third-party providers or clinical investigators, the conduct of the trial may be compromised and the development and commercialization of our current and future product candidates could be delayed or approval may never be obtained.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Any failure by a CRO, a clinical trial site, or clinical investigator, or us to successfully accomplish clinical trial monitoring, data collection, safety monitoring and reporting, and data management and other services in a timely manner and in compliance with regulatory requirements could have a material adverse effect on our ability to utilize the trial to obtain regulatory approval or complete clinical development of our product candidates to support regulatory approval. Problems with the timeliness or quality of the work of a CRO or a clinical trial site or clinical investigator may lead us to seek to terminate the relationship and use an alternate provider. However, making such changes may be costly and may delay our trials or affect regulatory approval, and certain contractual restrictions may make such a change difficult or impossible. Additionally, it may be difficult to find a replacement organization that can conduct our trials in an acceptable manner and at an acceptable cost.</w:t>
      </w:r>
    </w:p>
    <w:p>
      <w:pPr>
        <w:spacing w:after="0" w:line="20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b w:val="1"/>
          <w:bCs w:val="1"/>
          <w:i w:val="1"/>
          <w:iCs w:val="1"/>
          <w:color w:val="auto"/>
        </w:rPr>
        <w:t>We face competition in the markets targeted by our products. Many of our competitors have substantially greater resources than we do, and we expect that all of our products will face competition from existing or future products, which may impact our ability to successfully commercialize our products.</w:t>
      </w:r>
    </w:p>
    <w:p>
      <w:pPr>
        <w:spacing w:after="0" w:line="16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All of our products face competition from other surgical procedures as well as existing and future products marketed by large companies. These competitors may successfully market products that compete with our products, identify and bring to market new product candidates earlier than we do, or develop products that are more effective or less costly than our products. These competitive factors could require us to conduct substantial new research and development activities to establish new product targets, which would be costly and time consuming. These activities can adversely impact our ability to effectively commercialize products and achieve revenue and profits.</w:t>
      </w:r>
    </w:p>
    <w:p>
      <w:pPr>
        <w:spacing w:after="0" w:line="20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do not keep pace with our competitors and with technological and market changes, our products will become less attractive or obsolete and our business may suffer.</w:t>
      </w:r>
    </w:p>
    <w:p>
      <w:pPr>
        <w:spacing w:after="0" w:line="18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markets for our products are highly competitive, subject to rapid technological changes, and vary for different product candidates and processes that directly compete with our products. Our competitors in the medical and biotechnology industries may have superior products, research and development, manufacturing, and marketing capabilities, financial resources or marketing positions. Furthermore, our competitors may have developed, or could in the future develop, new technologies that compete with our products or even render our products obsolete. As a result, these competitors may be able to adapt to the market more quickly, take advantage of acquisitions and other opportunities more readily, devote greater resources to the marketing and sale of their products, adopt more aggressive pricing strategies than we can, and more successfully utilize developing technology, including data analytics, artificial intelligence, and machine learning.</w:t>
      </w:r>
    </w:p>
    <w:p>
      <w:pPr>
        <w:spacing w:after="0" w:line="21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To the extent that others develop new technologies that address the targeted application for our products, our business will suffer. Finally, if we are unable to continue to develop and market new products and technologies in a timely manner, the demand for our products may decrease or our products could become obsolete, and our revenue may decline or our growth prospects may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the use of animal-derived materials could harm our product development and commercialization efforts.</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Some of the manufacturing materials and/or components that we use in, and which are critical to, implementation of our technology involve the use of animal-derived products, including fetal bovine serum. Supplier changes or regulatory actions may limit or restrict the availability of such materials for clinical and commercial use for a variety of reasons including contamination or perceived risk of contamination with an adventitious agent, such as bovine spongiform encephalopathy, in one of our suppliers’ herds. This may lead to a restricted supply of the serum currently required for our product manufacturing processes. Any restrictions on these materials would impose a potential competitive disadvantage for our products or prevent our ability to manufacture our cell products. The FDA and other regulatory agencies have issued regulations for controls over bovine material in animal feed. These regulations do not appear to affect our ability to purchase the manufacturing materials we currently use. However, regulatory agencies may introduce new regulations that could affect our operations. Our inability to develop or obtain alternative compounds would harm our product development and commercialization efforts. There are certain limitations in the supply of certain animal-derived materials, which may lead to delays in our ability to complete clinical trials or eventually to meet the anticipated market demand for our cell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licensing arrangement with MediWound is unsuccessful, our development of NexoBrid and its associated revenues may be limited.</w:t>
      </w:r>
    </w:p>
    <w:p>
      <w:pPr>
        <w:spacing w:after="0" w:line="251"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We have entered into a licensing arrangement with MediWound for the development and commercialization of NexoBrid in North America. Collaboration and licensing arrangements pose many risks, including, but not limited to, the following:</w:t>
      </w:r>
    </w:p>
    <w:p>
      <w:pPr>
        <w:spacing w:after="0" w:line="189" w:lineRule="exact"/>
        <w:rPr>
          <w:sz w:val="20"/>
          <w:szCs w:val="20"/>
          <w:color w:val="auto"/>
        </w:rPr>
      </w:pPr>
    </w:p>
    <w:p>
      <w:pPr>
        <w:ind w:left="640" w:hanging="393"/>
        <w:spacing w:after="0"/>
        <w:tabs>
          <w:tab w:leader="none" w:pos="64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collaborations and licensing arrangements may be terminated;</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collaborators and licensors may delay clinical trials or post-market studies and prolong clinical development, or under-fund or stop a clinical trial;</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expected revenue might not be generated because clinical adoption of the product may be less than predicted;</w:t>
      </w:r>
    </w:p>
    <w:p>
      <w:pPr>
        <w:spacing w:after="0" w:line="5"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collaborators and licensors could independently develop, or develop with third parties, products that could compete with our future products despite non-competition provisions;</w:t>
      </w:r>
    </w:p>
    <w:p>
      <w:pPr>
        <w:ind w:left="640" w:hanging="393"/>
        <w:spacing w:after="0"/>
        <w:tabs>
          <w:tab w:leader="none" w:pos="64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the terms of our contracts with current or future collaborators and license parties may not be favorable to us in the future;</w:t>
      </w:r>
    </w:p>
    <w:p>
      <w:pPr>
        <w:spacing w:after="0" w:line="6"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disputes may arise delaying, or terminating or interrupting the research, development, supply or commercialization of our products or product candidates, or result in significant and costly litigation or arbitration; and</w:t>
      </w:r>
    </w:p>
    <w:p>
      <w:pPr>
        <w:ind w:left="640" w:right="20" w:hanging="393"/>
        <w:spacing w:after="0" w:line="254" w:lineRule="auto"/>
        <w:tabs>
          <w:tab w:leader="none" w:pos="63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one or more third-party developers could obtain approval for a similar product resulting in unforeseen price competition in connection with the product.</w:t>
      </w:r>
    </w:p>
    <w:p>
      <w:pPr>
        <w:spacing w:after="0" w:line="20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licensor, MediWound, is dependent on a contract with the U.S. Biomedical Advanced Research and Development Authority to fund development activities of NexoBrid in the U.S. and these contracts may be terminated by BARDA at any time.</w:t>
      </w:r>
    </w:p>
    <w:p>
      <w:pPr>
        <w:spacing w:after="0" w:line="186"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MediWound has a contract with BARDA valued at up to $132.0 million for the advancement of the development and manufacturing, as well as the procurement, of NexoBrid in the U.S. Under the contract, BARDA agreed to fund up to $56.0 million of the development costs of NexoBrid required to obtain marketing approval in the U.S., including its pediatric Phase 3 study and its expansion to include U.S. pediatric burn care sites, and has an option to further fund $10.0 million in development activities for other potential NexoBrid indications. BARDA confirmed its previous commitment and has procured NexoBrid for the nation’s emergency stockpile as part of the HHS mission to build national preparedness for public health medical emergencies. The initial BARDA procurement was valued at $16.5 million. In addition, BARDA holds an option to procure additional quantities of NexoBrid through funding of up to $50.0 million. MediWound also was awarded funding for the NexoBrid expanded access treatment (“NEXT”) protocol being conducted under the FDA’s expanded access program. However, the contracts provide that BARDA may terminate the contract at any time, at its convenience, without any further funding obligations. There can be no assurances that BARDA will not terminate the contract. Changes in government budgets and agendas may result in a decreased and de-prioritized emphasis on supporting the development of products for the treatment of severe burns such as NexoBrid. Any reduction or delay in BARDA funding may result in a decrease in planned development activities, including the NEXT study. In addition, the loss of funding may adversely affect MediWound’s ability to complete the required activities to comply with its obligations under the License Agreement. This could lead to a modification of the financial provisions of our agreement or a delay in the continued development of NexoBrid. Further, we cannot provide any assurances as to whether BARDA’s option to fund additional development activities for NexoBrid will be exercised.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and Production of Our Products</w:t>
      </w:r>
    </w:p>
    <w:p>
      <w:pPr>
        <w:spacing w:after="0" w:line="24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rely on MediWound for the manufacture, production, and supply of NexoBrid, and our business, financial condition, and results of operations could be materially adversely affected to the extent the manufacture, production, and supply of NexoBrid is disrupted or delayed.</w:t>
      </w:r>
    </w:p>
    <w:p>
      <w:pPr>
        <w:spacing w:after="0" w:line="18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have entered into exclusive license and supply agreements with MediWound, under which MediWound will manufacture and supply NexoBrid on a unit price basis, which may be increased pursuant to the terms of the agreements. NexoBrid contains an active pharmaceutical ingredient of concentrate of proteolytic enzymes enriched in bromelain. For its part, MediWound has entered into an agreement with Challenge Bioproducts Corporation, Ltd. (“CBC”), through which CBC supplies Bromelain SP, a material derived from pineapple stems, and which is manufactured by CBC at its facility in Taiwan. Once produced, MediWound uses Bromelain SP in the development and manufacture of NexoBrid at its facilities in Israel. The manufacture and production of NexoBrid is a complicated process, and MediWound’s manufacture and supply of the product is subject to various cGMP and other FDA requirements. To the extent the supply of NexoBrid is delayed or disrupted as the result of MediWound’s failure to timely ensure its facilities meet FDA and/or cGMP requirements, our financial condition or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7"/>
          <w:szCs w:val="17"/>
          <w:color w:val="auto"/>
        </w:rPr>
        <w:t>Additionally, the escalation of hostilities in Israel or the wider Middle East, the initiation of a military conflict between Taiwan and China or the imposition or a trade embargo or blockade affecting Taiwan could negatively affect MediWound’s ability to supply NexoBrid to the U.S. market. The nation of Israel has been embroiled in a periodic and ongoing conflict with certain Palestinian militant groups within its own borders and, at times, with neighboring nations in the Middle East, since the end of the nineteenth century. On October 7, 2023, members of the Palestinian militant group Hamas, operating from within Gaza, launched a series of attacks inside Israel that resulted in the death of over a thousand Israeli citizens and the citizens of other nations. The October 7, 2023 attacks have sparked a wider war between Israel and Hamas, which remains ongoing. We continue to monitor the ongoing conflict in Israel and are in close communication with MediWound leadership. MediWound’s NexoBrid manufacturing operations are continuing and, as of the date of this disclosure, MediWound does not anticipate a disruption to its ongoing supply of commercial NexoBrid to the United States. To the extent the war between Israel and Hamas intensifies or expands to include additional countries or militant groups in the region and MediWound’s facilities in Israel are damaged or destroyed, travel to and from Israel is halted or inhibited, shipments of NexoBrid or NexoBrid related materials are destroyed, or significant key MediWound operational personnel are called to military service, MediWound’s ability to continue to supply NexoBrid to the U.S. market could be disrupted.</w:t>
      </w:r>
    </w:p>
    <w:p>
      <w:pPr>
        <w:spacing w:after="0" w:line="205"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Further, geopolitical tensions between Taiwan and China have risen steadily in recent months. Although Taiwan has been governed independently from China since 1949, China views Taiwan as part of its territory and has vowed to eventually unify Taiwan with China, using military force if necessary. War or other military conflict in or near Taiwan, pandemics, and certain natural disasters, such as earthquakes, which are commonplace in Taiwan (where CBC is located) may result in the destruction or disruption of CBC’s ability to supply Bromelain SP to MediWound and have downstream implications for our Company.</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the event that MediWound is unable to supply us with NexoBrid pursuant to the terms of our supply agreement and we are unable to identify alternative sources of supply for NexoBrid on a timely basis, our operations and business prospects may be materially adversely affected. In addition, even if we identify any such alternative sources of NexoBrid, we could experience delays in testing, evaluating, and validating the new supplier. Qualifying new contract manufacturers and suppliers, and specifically Bromelain SP and NexoBrid manufacturers, is time consuming and might result in unforeseen supply and operations problems.</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Furthermore, financial or other difficulties faced by MediWound or CBC, or significant changes in demand for the Bromelain SP that CBC supplies MediWound, could limit the availability of NexoBrid to us. Any of these problems or delays could damage our relationships with our customers, adversely affect our reputation and adversely affect our business, financial condition, results of operations, our ability to grow our business, and the market price and liquidity of our shares.</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have limited manufacturing capacity and our commercial manufacturing operations in the U.S. depend on one facility. If the facility is destroyed or we experience any manufacturing difficulties, disruptions, or delays, this could limit supply of our products or adversely affect our ability to conduct clinical trials and our business would be adversely impacted.</w:t>
      </w:r>
    </w:p>
    <w:p>
      <w:pPr>
        <w:spacing w:after="0" w:line="20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We presently conduct all of our commercial manufacturing operations for MACI and Epicel in the U.S., at one facility located in Cambridge, Massachusetts. As a result, all of the commercial manufacturing for the U.S. market of our marketed products, MACI and Epicel, takes place at a single U.S. facility. If regulatory, manufacturing, or other problems require us to discontinue production at the Cambridge facility, we will not be able to supply our products to our patients, which would adversely impact our business. If this facility, or some or all of the equipment in it, is significantly damaged or destroyed by fire, flood, power loss, catastrophic incident, or similar event, we will not be able to quickly or inexpensively replace our manufacturing capacity, and we may not be able to replace our facility at all. In the event of a temporary or protracted loss of the facility or critical equipment, we might not be able to transfer manufacturing to a third-party. Even if we could transfer manufacturing from one facility to a third-party, the shift would likely be expensive and time-consuming, particularly since an alternative facility would need to comply with applicable regulatory and quality standard requirements whereby validation and FDA approval would be required before any products manufactured at that facility could be made commercially available. In addition, we do not currently have a fully automated manufacturing process, which could potentially introduce contaminants to the production process or other problems due to human error.</w:t>
      </w:r>
    </w:p>
    <w:p>
      <w:pPr>
        <w:spacing w:after="0" w:line="217"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While we do maintain insurance coverage against damage to our property and equipment, if we have underestimated our insurance needs, we will not have sufficient insurance to cover losses above and beyond the limits on our policies. Additionally, any supply interruption could harm our reputation and cause our product sales and profitability to suffer even after such supply interruption is corrected.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of third parties, including for example Matricel GmbH, to manufacture or supply certain components, equipment, disposable devices, and other materials used in our MACI or Epicel cell manufacturing processes would impair our cell product development and commercialization.</w:t>
      </w:r>
    </w:p>
    <w:p>
      <w:pPr>
        <w:spacing w:after="0" w:line="18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rely on third parties, including Matricel GmbH (“Matricel”) to manufacture and/or supply certain of our devices/manufacturing equipment and to manufacture and/or supply certain components, equipment, disposable devices and other materials used in our cell manufacturing process to manufacture our marketed cell therapy products and to develop our product candidates. In many instances these third parties serve as our sole suppliers. For example, Matricel is the sole supplier of the membrane for MACI. It would be difficult to obtain alternate sources of supply on a short-term basis due to the need for FDA approval of a new supplier. If any of our manufacturers or suppliers fails to perform its respective obligations, or if our supply of certain components, equipment, disposable devices and other materials is limited or interrupted, it could impair our ability to manufacture our products, which would delay our ability to market our commercial products or future product candidates or conduct clinical trials on a timely and cost-competitive basis, if at all.</w:t>
      </w:r>
    </w:p>
    <w:p>
      <w:pPr>
        <w:spacing w:after="0" w:line="173" w:lineRule="exact"/>
        <w:rPr>
          <w:sz w:val="20"/>
          <w:szCs w:val="20"/>
          <w:color w:val="auto"/>
        </w:rPr>
      </w:pPr>
    </w:p>
    <w:p>
      <w:pPr>
        <w:jc w:val="both"/>
        <w:ind w:firstLine="240"/>
        <w:spacing w:after="0" w:line="219" w:lineRule="exact"/>
        <w:rPr>
          <w:sz w:val="20"/>
          <w:szCs w:val="20"/>
          <w:color w:val="auto"/>
        </w:rPr>
      </w:pPr>
      <w:r>
        <w:rPr>
          <w:rFonts w:ascii="Times New Roman" w:cs="Times New Roman" w:eastAsia="Times New Roman" w:hAnsi="Times New Roman"/>
          <w:sz w:val="17"/>
          <w:szCs w:val="17"/>
          <w:color w:val="auto"/>
        </w:rPr>
        <w:t>Many of our suppliers are sole or single source suppliers. We do not have long-term supply agreements with many of our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sole or single source suppliers of certain components and other materials used in our cell manufacturing process to manufacture our marketed cell therapy products. We purchase our required supply on a purchase order basis, and at any time the third-party suppliers could stop supplying our orders. FDA approval of a new supplier may be required if these materials become unavailable from our current suppliers. Although there may be other suppliers that have equivalent materials that would be available to us, FDA approval of any alternate suppliers, if required, could take several months or a year or more to obtain, if we could obtain such approval at all. Should we need to find alternate manufacturers or suppliers, we will also need to verify, such as through a manufacturing comparability study, that any new manufacturing process will produce our product candidate according to the specifications previously submitted to the FDA or another regulatory authority. Any delay, interruption or cessation of production by our third-party suppliers of important materials, any delay in qualifying new materials, if necessary, or any delay associated with the transition to and verification of any new manufacturers or suppliers would prevent or delay our ability to manufacture products. In addition, a supplier’s variation in a raw material or testing, either unknown to us or incompatible with our manufacturing process, or any other problem with our materials, testing or components, would prevent or delay our ability to manufacture products. These delays may limit our ability to meet demand for our products, which would have a material adverse impact on our business, results of operations and financial condition.</w:t>
      </w:r>
    </w:p>
    <w:p>
      <w:pPr>
        <w:spacing w:after="0" w:line="22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may be unable to establish any agreements with third-party suppliers or to do so on acceptable terms. Even if we are able to establish agreements with third-party suppliers, reliance on third-party suppliers entails additional risks, including the possible breach of the supply agreement by the third-party, and the possible termination or nonrenewal of the agreement by the third-party at a time that is costly or inconvenient for us.</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addition, we may not be able to continue our present arrangements with our suppliers, supplement existing relationships, establish and maintain new relationships or be able to identify and obtain the ancillary materials that are necessary to develop our product candidates in the future. Our dependence upon third parties for the supply and manufacture of these items could adversely affect our ability to develop and deliver commercial and commercially feasible products on a timely and competitive basis.</w:t>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by our third-party manufacturers, including Matricel, to comply with the regulatory requirements set forth by the FDA with respect to our products could limit our ability to manufacture commercial products.</w:t>
      </w:r>
    </w:p>
    <w:p>
      <w:pPr>
        <w:spacing w:after="0" w:line="18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Third-party manufacturers, such as Matricel, are subject to inspection by the FDA for cGMP compliance, as well as for their ability to manufacture the components, products, or product candidates in compliance with the established process and procedure for the product or product candidate during an inspection. We may compete with other companies for access to these manufacturers’ facilities and may be subject to delays in manufacture if the manufacturers give other clients higher priority than they give to us. If we are unable to secure and maintain third-party manufacturing capacity, the development and sales of our products and product candidates, if approved, and our financial performance may be materially affected.</w:t>
      </w:r>
    </w:p>
    <w:p>
      <w:pPr>
        <w:spacing w:after="0" w:line="21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Manufacturers of FDA-regulated products are obligated to operate in accordance with FDA-mandated requirements. A failure of any of our third-party manufacturers to establish and follow cGMP requirements and to document their adherence to such practices may lead to significant delays in the availability of material for clinical trials, may delay or prevent filing or approval of marketing applications for our future product candidates, and may cause delays or interruptions in the availability of our products for commercial distribution. This could result in higher costs to us or deprive us of potential product revenues.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Complying with cGMP, International Conference on Harmonization (“ICH”) and other non-U.S. regulatory requirements will require that we expend time, money, and effort in production, recordkeeping, and quality control to assure that the product or product candidate meets applicable specifications and other requirements. We, or our contracted manufacturing facility, must also pass a pre-approval inspection by the FDA for future product candidates, and are subject to routine FDA cGMP inspections. If there is inadequate information to make a determination on the acceptability of a facility, the FDA may defer action on the application until an inspection can be completed. Failure to address any FDA inspection observations in a timely manner, pass pre-approval inspections, or comply with cGMP requirements can result in delays to approvals for future product candidates and/or regulatory action that can limit the ability to manufacture commercial products. As a result, our business, financial condition, and results of operations may be materially harmed.</w:t>
      </w:r>
    </w:p>
    <w:p>
      <w:pPr>
        <w:spacing w:after="0" w:line="2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cell therapy products is characterized by inherent risks and challenges and has proven to be a costly endeavor relative to manufacturing other therapeutic products.</w:t>
      </w:r>
    </w:p>
    <w:p>
      <w:pPr>
        <w:spacing w:after="0" w:line="18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manufacture of cell therapy products, such as our products and product candidates, is highly complex and is characterized by inherent risks and challenges such as biological raw material inconsistencies, logistical challenges, significant quality control and assurance requirements, manufacturing complexity, and significant manual processing. Unlike products that rely on chemicals for efficacy, such as most pharmaceuticals, cell therapy products are difficult to characterize due to the inherent variability of biological input materials. When manufacturing autologous cell therapies, the number and composition of the cell population varies from patient-to-patient, in part due to the age of the patient, since the therapy is dependent on patient-specific physiology. Such variability in the number and composition of these cells could adversely affect our ability to manufacture autologous cell therapies in a cost-effective manner and meet acceptable product release specifications for use in a clinical trial or, if approved, for commercial sale.</w:t>
      </w:r>
    </w:p>
    <w:p>
      <w:pPr>
        <w:spacing w:after="0" w:line="21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Difficulty in characterizing biological materials or their interactions creates greater risk in the manufacturing process. We attempt to mitigate risks associated with the manufacture of biologics by continuing to improve the characterization of all of our input materials, utilizing multiple vendors for supply of qualified biological materials when possible, and manufacturing some of these materials ourselves. However, there can be no assurance that we will be able to maintain adequate sources of biological materials or that the biological materials that we maintain in inventory will yield finished products that satisfy applicable product release criteria. Our inability to obtain necessary biological materials or to successfully manufacture cell therapy products that incorporate such materials could have a material adverse effect on our results of operations.</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There can be no assurance that we or any third-party contractors with whom we enter into strategic relationships will be successful in streamlining manufacturing operations and implementing efficient, low-cost manufacturing capabilities and processes that will enable us to meet and/or maintain the quality, price and production standards or production volumes necessary to achieve our growth and profitability objectives as projected, or at all.</w:t>
      </w:r>
    </w:p>
    <w:p>
      <w:pPr>
        <w:spacing w:after="0" w:line="20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If any of our manufacturers or suppliers fails to perform its respective obligations, or if our supply of certain components, equipment, disposable devices and other materials is limited or interrupted, ultimately we may be forced to manufacture the materials ourselves, for which we may not have the experience, capabilities or resources. In some cases, the technical skills required to manufacture our products or product candidates may be unique or proprietary to the original manufacturer or supplier, and we may have difficulty, or there may be contractual restrictions prohibiting us from, transferring such skills to a back-up or alternate supplier, or we may be unable to transfer such skills at all.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Regulation by the FDA and other Government Entities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required regulatory approvals would severely limit our ability to sell our products.</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must maintain our domestic regulatory approvals to continue to commercialize our products in the U.S. We must demonstrate the safety, purity, and potency, or efficacy, of cell therapy products to obtain FDA regulatory approval prior to marketing in the U.S. Demonstration of safety and efficacy requires the conduct of nonclinical studies and well-controlled clinical trials in compliance with FDA, ICH and applicable local regulations. The FDA regulatory review process to obtain marketing approval is a rigorous process that requires demonstrating the ability to manufacture the product in compliance with cGMP in addition to demonstrating a favorable risk/benefit profile and making certain post-marketing commitments.</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To date, our product commercialization efforts have been limited to the U.S. In the event we market any products outside of the U.S. in the future, we will be required to maintain our foreign regulatory approvals in compliance with regulatory requirements and applicable local regulations to allow for commercialization outside the U.S. Regulatory requirements outside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often require additional studies and data to obtain registration and, as a result, approval timelines can also be longer than those in the U.S.</w:t>
      </w:r>
    </w:p>
    <w:p>
      <w:pPr>
        <w:spacing w:after="0" w:line="247"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safety, potency, and purity of our products must be monitored to be in compliance with FDA requirements for safety, cGMPs, and all other applicable regulations. This requires adverse event monitoring and reporting to regulatory agencies, as well as submission and approval of any changes in the manufacturing process. Our manufacturing and testing facilities are subject to FDA periodic inspections for compliance with cGMP requirements. Failure to meet regulatory requirements and post-marketing commitments and to maintain cGMP compliance could result in severe and detrimental regulatory actions, including the loss of marketing approval.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and sale of any of our products may be limited by health insurance coverage and government regulation.</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Maintaining and growing sales of our products will depend in large part on the availability of adequate coverage and the extent to which third-party payers, including health insurance companies, health maintenance organizations, and government health administration authorities such as the military, Medicare and Medicaid, private insurance plans and managed care programs will pay for the cost of the products and related treatment. Hospitals and other healthcare provider clients that purchase our products typically bill various third-party payers to cover all or a portion of the costs and fees associated with the procedures in which such products are used, sometimes including the cost of the purchase of these products. See section entitled “</w:t>
      </w:r>
      <w:r>
        <w:rPr>
          <w:rFonts w:ascii="Times New Roman" w:cs="Times New Roman" w:eastAsia="Times New Roman" w:hAnsi="Times New Roman"/>
          <w:sz w:val="18"/>
          <w:szCs w:val="18"/>
          <w:i w:val="1"/>
          <w:iCs w:val="1"/>
          <w:color w:val="auto"/>
        </w:rPr>
        <w:t>Business -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 - Pharmaceutical Coverage and Reimbursement</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Many private payers in the U.S. use coverage decisions and payment amounts determined by the Centers for Medicare &amp; Medicaid Services (“CMS”), as guidelines in setting their coverage and reimbursement policies. While certain procedures using our products are currently covered by Medicare and other third-party payers, future action by CMS or other government agencies, including the imposition of coverage and reimbursement limitations, may diminish payments to physicians, outpatient centers and/or hospitals for covered services. Additionally, payers may require us to conduct post-marketing studies in order to demonstrate the cost-effectiveness of our products and current and future product candidates to such payers’ satisfaction. Such studies might require us to commit a significant amount of management time and financial and other resources. Our products and future products might not ultimately be considered cost-effective. As a result, we cannot be certain that the procedures performed with our products will be reimbursed at a cost-effective level or reimbursed at all. Furthermore, the healthcare industry in the U.S. has experienced a trend toward cost containment as government and private insurers seek to control healthcare costs by imposing lower payment rates and negotiating reduced contract rates with service providers. Increasingly, third-party payers have attempted to control costs by challenging the prices charged for medical products. Therefore, we cannot be certain that the procedures performed with our products will be reimbursed at a cost-effective level. Nor can we be certain that third-party payers using a methodology that sets amounts based on the type of procedure performed, such as those utilized in many privately managed care systems and by Medicare, will view the cost of our products as justified so as to incorporate such costs into the overall cost of the procedure.</w:t>
      </w:r>
    </w:p>
    <w:p>
      <w:pPr>
        <w:spacing w:after="0" w:line="224"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Moreover, we are unable to predict what changes will be made to the reimbursement methodologies used by third-party payers in the future. As a result of the continuing evaluation and assessment of these expected payments, our estimates for expected payments could change. We cannot be sure that reimbursement will be available for any product that we commercialize and, if reimbursement is available, the level of such reimbursement. Reimbursement may impact the demand for, or the price of, any product or product candidate for which we obtain marketing approval. Adequate third-party reimbursement might not be available to enable us to maintain price levels sufficient to realize an appropriate return on investment in our products and future product development. If coverage or adequate reimbursement is not available, or if our costs of production increase faster than increases in reimbursement levels, we may not be able to successfully grow the sales of our products or commercialize any current and future product candidates for which marketing approval is obtained. If reimbursement is not available or is available only at limited levels, we may not be able to successfully commercialize any product or product candidate for which we obtain marketing approval.</w:t>
      </w:r>
    </w:p>
    <w:p>
      <w:pPr>
        <w:spacing w:after="0" w:line="2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significant regulation with respect to the manufacturing of our products. If we are not able to comply with such regulation, our business may be materially harmed.</w:t>
      </w:r>
    </w:p>
    <w:p>
      <w:pPr>
        <w:spacing w:after="0" w:line="18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All of those involved in the preparation of our products for commercial sale or clinical trials, including our existing supply contract manufacturers and clinical trial investigators, are subject to extensive and continuing government regulations by the FDA and comparable agencies in other jurisdictions. Components of a finished therapeutic product approved for commercial sale or used in late-stage clinical trials must be manufactured in accordance with cGMPs. These regulations govern manufacturing processes and procedures and the implementation and operation of quality systems to control and assure the quality of investigational products and products approved for sale. Our facilities and quality systems and the facilities and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quality systems of some or all of our third-party contractors and suppliers are subject to pre-approval and routine FDA inspections for compliance with the applicable regulations as a condition of FDA approval of our products.</w:t>
      </w:r>
    </w:p>
    <w:p>
      <w:pPr>
        <w:spacing w:after="0" w:line="18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Generally, if any FDA inspection or audit identifies a failure to comply with applicable regulations or if a violation of our product specifications or applicable regulation occurs independent of such an inspection or audit, we or the FDA may require remedial measures that may be costly and/or time consuming for us or a third-party to implement and that may include the temporary or permanent suspension of a clinical trial or commercial sales, recalls, warning letters, market withdrawals, seizures, placement of a non-U.S. facility on an import alert, or the temporary or permanent closure of a facility. Any such remedial measures imposed upon us or third parties with whom we contract could materially harm our business.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and any related reporting obligations may adversely impact our business, financial condition and results of operations.</w:t>
      </w:r>
    </w:p>
    <w:p>
      <w:pPr>
        <w:spacing w:after="0" w:line="18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U.S. and international regulators, customers and investors are increasingly focused on corporate ESG practices and disclosures, and may evaluate our business or other practices according to a variety of ESG targets, standards, and expectations. For example, new domestic and international laws and regulations relating to ESG matters are under consideration or being adopted. The SEC has proposed a rule requiring disclosure of a broad range of climate change-related information and similar laws have been enacted in the State of California and jurisdictions such as the European Union. These, and additional legislation which may be passed, may cause us to incur significant additional costs of compliance due to the need for expanded data collection, analysis, and certification with respect to greenhouse gas emissions and other climate change related risks, as well as other ESG topics.</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Furthermore, the criteria by which our ESG practices, including our initiatives and public goals, are assessed may change due to the evolution of the sustainability landscape, which could result in greater expectations of us and may cause us to undertake costly initiatives to satisfy new criteria. If we are unable to respond effectively to these changes to the sustainability landscape, governments, customers, and investors may conclude that our policies and/or actions with respect to ESG matters are inadequate. If we fail or are perceived to have failed to achieve previously announced public goals or to accurately disclose our progress on such goals or initiatives, our reputation, business, financial condition and results of operations could be adversely impacted.</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could incur significant costs complying with environmental and health and safety requirements, or as a result of liability for contamination or other harm caused by hazardous materials that we use.</w:t>
      </w:r>
    </w:p>
    <w:p>
      <w:pPr>
        <w:spacing w:after="0" w:line="186"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Our research and development and manufacturing processes involve the use of hazardous materials. We are subject to federal, state, local and foreign environmental requirements, including regulations governing the use, manufacture, handling, storage and disposal of hazardous materials, discharge to air and water, the cleanup of contamination and occupational health and safety matters. We cannot eliminate the risk of contamination or injury resulting from hazardous materials, and we may incur liability as a result of any contamination or injury. Under some environmental laws and regulations, we could also be held responsible for costs relating to any contamination at our past or present facilities and at third-party waste disposal sites where we have sent waste. These could include costs relating to contamination that did not result from any violation of law, and in some circumstances, contamination that we did not cause. We may incur significant expenses in the future relating to any failure to comply with environmental laws. Any such future expenses or liability could have a significant negative impact on our financial condition. The enactment of stricter laws or regulations, the stricter interpretation of existing laws and regulations or the requirement to undertake the investigation or remediation of currently unknown environmental contamination at our own or at a third-party site may require us to make additional expenditures, which could be material.</w:t>
      </w:r>
    </w:p>
    <w:p>
      <w:pPr>
        <w:spacing w:after="0" w:line="2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In order to obtain marketing authorization of any of our current or future product candidates in the U.S., the FDA requires us to submit a BLA or marketing application, which is subject to the agency’s detailed review and the denial of such applications could negatively impact our prospects, financial condition, and future results.</w:t>
      </w:r>
    </w:p>
    <w:p>
      <w:pPr>
        <w:spacing w:after="0" w:line="20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Cell therapy and other products require FDA review under an appropriate marketing application prior to commercialization. Future cell and other biologic therapy candidates would be subject to FDA’s biological product requirements and require submission of a BLA. The BLA is a request for permission to introduce, or deliver for introduction, a biologic product into interstate commerce in the U.S. and, once submitted, undergoes a detailed and rigorous review by the FDA. The review process includes, among other requirements, pre-approval inspections of the manufacturing facility. Additionally, approval may rely on post-market commitments. These commitments may include costly activities, such as additional clinical trials, and a failure to meet these commitments can result in negative actions by the FDA, including the withdrawal of the product from the market.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results of operation and cash flows could be significantly and negatively affected by substantial governmental regulations.</w:t>
      </w:r>
    </w:p>
    <w:p>
      <w:pPr>
        <w:spacing w:after="0" w:line="18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Our products are subject to rigorous regulation by the FDA and numerous other federal, state and foreign governmental authorities. Overall, there appears to be a trend toward more stringent regulation worldwide, and we do not anticipate that this trend will dissipate in the near future.</w:t>
      </w:r>
    </w:p>
    <w:p>
      <w:pPr>
        <w:spacing w:after="0" w:line="189"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In general, the development, testing, labeling, manufacturing, and marketing of our products is subject to extensive regulation and review by numerous governmental authorities both in the U.S. and abroad. The regulatory process requires the expenditure of significant time, effort and resources to bring new products to market. For example, the FDA approved Epicel as a HUD pursuant to an HDE application. A HUD is a medical device intended to benefit patients in the treatment or diagnosis of a disease or condition that affects not more than 8,000 individuals in the U.S. per year. Once a HUD receives a HDE from the FDA, the product may be marketed and sold in the U.S. However, IRB approval is required before a HUD can be used at a facility, with the exception of emergency use. The HDE holder is responsible for ensuring that the product is administered only in facilities having an IRB that is constituted and which acts in accordance with the agency’s regulation governing IRBs, including the requirement of continuing review of the use of the device. HUDs are also subject to additional FDA requirements, such as adverse event reporting and the submission of updated information on a periodic basis to demonstrate that the HUD designation is still valid. Failure to meet FDA requirements pertaining to a HUD could result in the suspension or revocation of the HDE.</w:t>
      </w:r>
    </w:p>
    <w:p>
      <w:pPr>
        <w:spacing w:after="0" w:line="21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If the HDE for Epicel is suspended or revoked, marketing approval for the product would require the submission and approval of a PMA in order for Epicel to be commercially available. The PMA process is costly, lengthy, and uncertain. A PMA must be supported by extensive data, including, but not limited to, technical, preclinical, clinical trial, manufacturing, and labeling data to demonstrate to the FDA’s satisfaction the safety and efficacy of the device for its intended use. If the HDE approval for Epicel was withdrawn, and we were unable to obtain premarket approval through the PMA process, we would be unable to market Epicel for sale in the U.S.</w:t>
      </w:r>
    </w:p>
    <w:p>
      <w:pPr>
        <w:spacing w:after="0" w:line="21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are also required to implement and maintain stringent reporting, labeling, and record keeping procedures for our products, both in the U.S., and abroad. Specifically, in the U.S., both before and after a product is commercially released, we have ongoing responsibilities under FDA regulations. Compliance with the FDA’s requirements, including the FDA’s cGMP recordkeeping regulations, labeling and promotional requirements, adverse event reporting regulations, and applicable product tracking and tracing requirements, is subject to continual review and is monitored rigorously through periodic inspections by the FDA and through submission of annual reports. Our failure to comply with federal, state, and foreign governmental regulations could lead to the issuance of warning letters or untitled letters, the imposition of injunctions, suspensions or loss of regulatory approvals, product recalls, placement of non-U.S. manufacturing facilities on an import alert, termination of distribution, product seizures, or civil penalties. In the most extreme cases, criminal sanctions or the closure of our manufacturing facility are possible.</w:t>
      </w:r>
    </w:p>
    <w:p>
      <w:pPr>
        <w:spacing w:after="0" w:line="21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addition, the pharmaceutical, biologic, and medical device industries also are subject to many complex laws and regulations governing Medicare and Medicaid reimbursement, and which target healthcare fraud and abuse. Many of these laws and regulations are subject to interpretation. In many instances, manufacturers and the life science industry do not have the benefit of significant regulatory or judicial interpretation of these laws and regulations. In certain public statements, governmental authorities have taken positions on issues for which little official interpretation was previously available. Some of these positions appear to be inconsistent with common practices within the industry but have not previously been challenged.</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Various federal and state agencies have become increasingly active in recent years in their investigation and prosecution of various business practices, such as through the enforcement of the federal Anti-kickback Statute, the federal False Claims Act, and the FFDCA and/or similar state laws. Governmental and regulatory actions against us could result in various consequences that could adversely impact our operations, including:</w:t>
      </w:r>
    </w:p>
    <w:p>
      <w:pPr>
        <w:spacing w:after="0" w:line="203" w:lineRule="exact"/>
        <w:rPr>
          <w:sz w:val="20"/>
          <w:szCs w:val="20"/>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The recall or seizure of products;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The suspension or revocation of the authority necessary for the production or sale of a product;</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The suspension of shipments from particular manufacturing facilities, including non-U.S. facilities placed on an import alert;</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The imposition of fines and penalties;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color w:val="auto"/>
        </w:rPr>
        <w:t>The delay of our ability to introduce new products into the market;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40" w:hanging="393"/>
        <w:spacing w:after="0" w:line="258" w:lineRule="auto"/>
        <w:tabs>
          <w:tab w:leader="none" w:pos="635"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Our exclusion or the exclusion of our products from being reimbursed by federal and state healthcare programs (such as military, Medicare, Medicaid, Veterans Administration health programs and/or Civilian Health and Medical Program Uniformed Service, or CHAMPUS); and</w:t>
      </w:r>
    </w:p>
    <w:p>
      <w:pPr>
        <w:ind w:left="640" w:hanging="393"/>
        <w:spacing w:after="0"/>
        <w:tabs>
          <w:tab w:leader="none" w:pos="64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Other civil or criminal prosecution or sanctions against us or our officers, directors and employees, such as fines, penalties or imprisonment.</w:t>
      </w:r>
    </w:p>
    <w:p>
      <w:pPr>
        <w:spacing w:after="0" w:line="227"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Any of these consequences, in combination or alone, or even a public announcement that we are being investigated for possible violations of these laws, could have a material adverse effect on our business, financial condition, results of operations and cash flows.</w:t>
      </w:r>
    </w:p>
    <w:p>
      <w:pPr>
        <w:spacing w:after="0" w:line="189"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the U.S., if the FDA were to conclude that we are not in compliance with applicable laws or regulations or that any of our products are ineffective or pose an unreasonable health risk, the FDA could ban such products; detain or seize adulterated or misbranded products; order the recall, repair, replacement, or refund of payment for certain products, refuse to grant pending applications; refuse to provide certificates to foreign governments for exports; place non-U.S. manufacturing facilities on import alert; and/or require us to notify healthcare professionals and others that the products present unreasonable risks of substantial harm to the public health. The FDA may also impose operating restrictions on a company-wide basis, enjoin and restrain certain violations of applicable law pertaining to our products and assess civil or criminal penalties against our officers, employees, or us. The FDA may also recommend further investigation and prosecution to the U.S. Department of Justice (“DOJ”). Adverse regulatory action, depending on its magnitude, may restrict us from effectively marketing and selling our products.</w:t>
      </w:r>
    </w:p>
    <w:p>
      <w:pPr>
        <w:spacing w:after="0" w:line="21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In many of the foreign countries in which our products may be marketed in the future, we will be subject to regulations affecting, among other things, clinical efficacy, product standards, packaging requirements, labeling requirements, import/export restrictions, tariff regulations, and duties and tax requirements. Many of the regulations applicable to our products in these countries, such as the Medicinal Products Directive and the ATMP guidelines governing products in the EU, are similar to those imposed by the FDA. In addition, in many countries the national health or social security organizations of those nations may require our products to be qualified before they can be marketed with the benefit of reimbursement eligibility. Failure to receive or delays in the receipt of relevant foreign qualifications could also be detrimental to our future growth.</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As both U.S. and foreign government regulators have become increasingly stringent, we may be subject to more rigorous regulation by governmental authorities in the future. Our products and our operations are also often subject to the rules of industrial standards bodies, such as the International Standards Organization (“ISO”). If we fail to adequately address any of these regulations, our business will be harmed.</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NexoBrid has been designated as an orphan drug in the U.S., but we may be unable to obtain or maintain such a designation or the benefits associated with orphan drug status, including marketing exclusivity, which may cause our revenue to be reduced.</w:t>
      </w:r>
    </w:p>
    <w:p>
      <w:pPr>
        <w:spacing w:after="0" w:line="186"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drugs or biologics intended to treat a rare disease or condition, generally a disease or condition that affects fewer than 200,000 individuals in the U.S., or affects more than 200,000 individuals in the U.S. and for which there is no reasonable expectation that the cost of developing and making available the drug or biologic in the U.S for such disease or condition will be recovered from sales in the U.S of such drug or biologic. Orphan drug designation must be requested to and granted by the FDA before submitting a BLA. Among the other benefits of orphan drug designation are opportunities for grant funding towards clinical trial costs, tax credits for certain research, and a waiver of the BLA application user fee. After the FDA grants orphan drug designation, the generic identity of the biologic and its potential orphan use are disclosed publicly by the FDA. Orphan drug designation does not necessarily convey any advantage in, or shorten the duration of, the regulatory review and approval process. The first BLA applicant to receive FDA approval for a particular product to treat a particular disease with FDA orphan drug designation is entitled to a seven-year exclusive marketing period in the U.S.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 if the FDA finds that the holder of the orphan exclusivity has not shown that it can assure the availability of sufficient quantities of the orphan product to meet the needs of patients with the disease or condition for which the biologic was designated. Orphan drug exclusivity, which would most likely run concurrently with the exclusivity, if any, received from the time of first licensure of a reference product, does not prevent the FDA from approving a different biologic for the same disease or condition, or the same biologic for a different disease or condition.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Such a designation may be revoked by the FDA in certain circumstances, such as if the agency finds that the applicant’s request for designation request omitted material information required under the Orphan Drug Act and its implementing regulations. Furthermore, the FDA can waive orphan exclusivity if the applicant is unable to manufacture sufficient supply of the product subject to a period of orphan drug marketing exclusivity.</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Changes to our products or future product candidates may require regulatory approvals and a denial of such required approval will negatively impact our prospects, financial condition and future results.</w:t>
      </w:r>
    </w:p>
    <w:p>
      <w:pPr>
        <w:spacing w:after="0" w:line="18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Changes or modifications to our products or to the manufacturing process of any of our products may require the submission of supplements to our BLAs, HDE application, and INDs. These supplements require the generation of data to support the change, and the review and approval by the FDA to obtain authorization for the change in the commercial product or in the investigational biological product before they can be implemented. Obtaining regulatory approvals for these changes may require the conduct of new studies and the purchase of new equipment to justify the change. This can be costly and time consuming. Regulatory delays can adversely impact our ability to improve our products and to introduce new products in a timely manner, which can be detrimental to our future growth.</w:t>
      </w:r>
    </w:p>
    <w:p>
      <w:pPr>
        <w:spacing w:after="0" w:line="21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For example, we are currently evaluating the potential for the arthroscopic delivery of MACI to the cartilage defect – a procedure in which a surgeon can evaluate, prepare and treat the cartilage defect under direct arthroscopic visualization using specialized instruments delivered through a number of smaller incisions or portals. We have designed and are currently developing novel and specialized instruments to be used in and help facilitate such a procedure. We have recently discussed with the FDA a non-clinical regulatory strategy to support the potential inclusion of arthroscopic delivery in MACI’s approved labeling. Specifically, following a Type C meeting with the FDA, we submitted a protocol for a MACI arthroscopic delivery human factors validation study, which we conducted and completed during the third quarter of 2023. The FDA is currently to reviewing the data generated during the human factors validation study in the form of a prior approval supplement, which seeks to add instructions for arthroscopic delivery of MACI to the product’s approved labeling. We anticipate the commercial launch of the MACI arthroscopic delivery program during the third quarter of 2024. We also are evaluating the feasibility and potential market opportunity involved in delivering MACI treatment to patients suffering from cartilage damage in the ankle. We believe that this potential lifecycle enhancement and indication expansion for MACI will require conducting an additional randomized clinical trial concerning the product’s use in the ankle. We conducted pre-IND interactions with the FDA concerning our clinical development program for MACI to treat cartilage injuries in the ankle, and based on feedback from the FDA, our team is actively working to finalize our non-clinical testing and propose a clinical development plan/protocol to FDA for review.</w:t>
      </w:r>
    </w:p>
    <w:p>
      <w:pPr>
        <w:spacing w:after="0" w:line="224"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There can be no guarantee that we will receive regulatory approval for the sale and marketing of the arthroscopic administration of MACI or the approval of MACI for treatment of cartilage defects in the ankle in a clinical setting. A number of companies have suffered significant setbacks during evaluation due to lack of efficacy or unacceptable safety issues, notwithstanding promising preliminary results. Failure to receive FDA approval or regulatory approval for the arthroscopic administration of MACI or the clinical use of MACI to treat cartilage defects in the ankle in a timely manner or at all, could harm our financial results and results of operations. Even if we obtain such regulatory approval, our ability to successfully market MACI for arthroscopic administration or treatment of cartilage defects in the ankle may be limited. If we cannot commercialize the arthroscopic administration of MACI and other new products or product improvements as planned, our financial results could be harmed.</w:t>
      </w:r>
    </w:p>
    <w:p>
      <w:pPr>
        <w:spacing w:after="0" w:line="2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or our suppliers fail to comply with ongoing FDA or other foreign regulatory authority requirements, or if we experience unanticipated problems with our products, these products could be subject to restrictions or withdrawal from the market.</w:t>
      </w:r>
    </w:p>
    <w:p>
      <w:pPr>
        <w:spacing w:after="0" w:line="186"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The manufacturing processes, reporting requirements, post-approval clinical data, and promotional activities for each of our products is subject to continued regulatory reporting and periodic inspections by the FDA, as well as other domestic and foreign regulatory agencies. In particular, we and our suppliers, including MediWound, are required to comply with cGMP and GTP regulations for the manufacture of our products and other regulations which include methods and documentation of production controls, labeling, packaging, storage, and shipment of any product, to name a few. Regulatory agencies such as the FDA enforce the cGMP, GTP, and other regulations through periodic inspections and reporting. For example, the holder of an approved BLA or HDE is obligated to monitor and report adverse events and product failures, including critical deviations and lack of efficacy. A BLA or HDE device holder must maintain regulatory compliance for all aspects of the applicable regulations or the holder can be subject to regulatory action, including the recall or withdrawal of the product from the market.</w:t>
      </w:r>
    </w:p>
    <w:p>
      <w:pPr>
        <w:spacing w:after="0" w:line="21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Product manufacturers are subject to payment of annual prescription drug product program user fees and their facilities are subject to periodic inspections by the FDA and other regulatory agencies for compliance with cGMP and other applicable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regulations. If at any time we or a regulatory agency discovers a previously unknown safety concern with a product, such as a serious adverse event of unanticipated severity or frequency that cannot be adequately managed and changes the risk-benefit profile of the product, or there are problems with the facility where the product is manufactured, a regulatory agency may impose restrictions relative to that product or the manufacturing facility, including suspension of manufacturing, recall, placement of non-U.S. facilities on an import alert, or the withdrawal of the product from the market.</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failure by us or one of our suppliers, including MediWound, to comply with applicable legal statutes and regulations administered by the FDA and other regulatory agencies, or the failure to timely and adequately respond to any adverse inspectional or review observations, or product safety issues, could result in, among other things, any of the following enforcement actions:</w:t>
      </w:r>
    </w:p>
    <w:p>
      <w:pPr>
        <w:spacing w:after="0" w:line="203" w:lineRule="exact"/>
        <w:rPr>
          <w:sz w:val="20"/>
          <w:szCs w:val="20"/>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Client notifications for repair, replacement, or refund of a product;</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Recall, detention or seizure of our products;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Denial, refusal or delay of our requests for approval of new products or proposed changes to existing products;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Implementation of operating restrictions;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Withdrawal of product approvals that have already been granted;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Refusal to approve a pending marketing application, such as a BLA or supplements to a BLA submitted by us;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Placement of non-U.S. facilities on an import alert;</w:t>
      </w:r>
    </w:p>
    <w:p>
      <w:pPr>
        <w:spacing w:after="0" w:line="5" w:lineRule="exact"/>
        <w:rPr>
          <w:rFonts w:ascii="Times New Roman" w:cs="Times New Roman" w:eastAsia="Times New Roman" w:hAnsi="Times New Roman"/>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Criminal prosecution.</w:t>
      </w:r>
    </w:p>
    <w:p>
      <w:pPr>
        <w:spacing w:after="0" w:line="22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If any of these actions were to occur it would harm our reputation and cause our product sales and profitability to suffer, preventing us from generating revenue. Furthermore, our key suppliers or partners may have compliance issues, which could impact our ability to manufacture our products on a timely basis and in the required quantities.</w:t>
      </w:r>
    </w:p>
    <w:p>
      <w:pPr>
        <w:spacing w:after="0" w:line="1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0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approve regulatory submissions and new products can be affected by a variety of factors, including government budget and funding levels, the ability to hire and retain key personnel, and statutory, regulatory, and policy changes. The average time to review and approve regulatory submissions at the agency has fluctuated in recent years as a result of some of these factors. In addition, government funding of the SEC and other government agencies on which our operations may depend, including those that fund research and development activities, is subject to the political process, which is inherently unpredictable.</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to review and/or approve product candidates or changes to existing products, which would adversely affect our business. For example, several times in recent years, the U.S. government has shut down. As a result, certain regulatory agencies, including the FDA, have had to furlough essential employees and stop critical activities in the past. If a prolonged government shutdown occurs in the future, it could significantly impact the ability of the FDA to timely review and process our regulatory submissions, which could have a material adverse effect on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FDA determines that we have marketed or promoted our products for one or more off-label uses, we may be subject to civil or criminal penalties.</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Although federal law and the FDA do not restrict licensed healthcare professionals from engaging in the practice of medicine and prescribing and using our products to treat patients with conditions that the physician believes our products are clinically appropriate for, we are prohibited from promoting our products for uses that are inconsistent with the uses that have been approved by the FDA–also known as “off-label” promotion or promotion of “off-label” uses. This means, for example, that we may not make claims about the use of any of our marketed products, including MACI, Epicel, or NexoBrid, which are outside of their approved labeling and indications. Consequently, our sales representatives may not proactively discuss or provide information to healthcare professionals on such off-label uses. Should the FDA determine that our activities constitute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off-label promotion, the FDA could bring an action to prevent us from distributing MACI, Epicel, or NexoBrid for the off-label use and could seek to impose fines and penalties on us and our executives.</w:t>
      </w:r>
    </w:p>
    <w:p>
      <w:pPr>
        <w:spacing w:after="0" w:line="18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addition, advertising and promotional materials, including educational and website material, must comply with the FDA’s promotional and advertising regulations in addition to other potentially applicable federal and state laws, and such materials for biologics are subject to submission and review by the FDA. Failure to follow FDA rules and guidelines relating to promotion and advertising can result in, among other things, the FDA’s refusal to approve a product, the suspension or withdrawal of an approved product from the market, product recalls, fines, disgorgement of money, operating restrictions, injunctions and/or criminal prosecutions.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the Office of Inspector General within the Department of Health and Human Services, the DOJ, or another federal or state agency determines that we have promoted the off-label use of our products and/or we have violated anti-kickback laws, we may be subject to various penalties, including civil or criminal penalties, and the off-label use of our products may result in injuries that lead to product liability lawsuits, which could be costly to our business.</w:t>
      </w:r>
    </w:p>
    <w:p>
      <w:pPr>
        <w:spacing w:after="0" w:line="208"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In addition to FDA restrictions concerning the manner in which we market our products, several other state and federal healthcare laws have been applied by the DOJ and state attorneys general to restrict certain marketing practices in the biopharmaceutical and medical technology industries. While physicians may prescribe products for off-label uses and indications, a company is prohibited from promoting an approved product for uses not consistent with its approved label. In addition, anti-kickback laws generally prohibit a prescription drug manufacturer from soliciting, offering, receiving, or paying any remuneration in order to induce a healthcare professional or another individual or entity to purchase or prescribe a particular drug, biologic, or medical device. If other federal or state regulatory authorities determine that we have engaged in off-label promotion and/or engaged in conduct violative of anti-kickback laws, we may be subject to civil or criminal penalties and could be prohibited from participating in government healthcare programs, such as Medicaid and Medicare. In addition, government agencies or departments could conclude that we have engaged in off-label promotion or violations of anti-kickback laws and, potentially, caused the submission of false claims. Even if we are successful in resolving such matters without incurring penalties, responding to investigations or prosecutions will likely result in substantial costs and could significantly and adversely impact our reputation and divert management’s attention and resources, which could have a material adverse effect on our business, operating results, financial condition, and our ability to finance our operations. In addition, the off-label use of our products may increase the risk of injury to patients, and, in turn, the risk of product liability claims being pursued against us. Product liability claims are expensive to defend and could divert our management’s attention and result in substantial damage awards against us.</w:t>
      </w:r>
    </w:p>
    <w:p>
      <w:pPr>
        <w:spacing w:after="0" w:line="21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Health care reform measures and changes in policies, funding, staffing and leadership at the FDA and other agencies could hinder or prevent the commercial success of our products.</w:t>
      </w:r>
    </w:p>
    <w:p>
      <w:pPr>
        <w:spacing w:after="0" w:line="18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 the U.S., there have been a number of legislative and regulatory changes to the healthcare system that could affect our future results of operations and the future results of operations of our potential customers. See section entitled “</w:t>
      </w:r>
      <w:r>
        <w:rPr>
          <w:rFonts w:ascii="Times New Roman" w:cs="Times New Roman" w:eastAsia="Times New Roman" w:hAnsi="Times New Roman"/>
          <w:sz w:val="18"/>
          <w:szCs w:val="18"/>
          <w:i w:val="1"/>
          <w:iCs w:val="1"/>
          <w:color w:val="auto"/>
        </w:rPr>
        <w:t>Business — Government Regulation — Healthcare Reform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Furthermore, there have been and continue to be a number of initiatives at the federal and state levels that seek to reduce healthcare costs. In March 2010, President Obama signed into law the Patient Protection and Affordable Care Act of 2010, as amended by the Health Care and Education Reconciliation Act (jointly, the ACA), which includes measures to significantly change the way health care is financed by both governmental and private insurers.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These laws, and other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Litigation and legislative efforts to change or repeal IRA may be initiated in the coming months and years, with unpredictable and uncertain results.</w:t>
      </w:r>
    </w:p>
    <w:p>
      <w:pPr>
        <w:spacing w:after="0" w:line="208"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While we cannot predict what impact on federal reimbursement policies these laws or any replacement law will have in general or specifically on any product we may commercialize in the future, modifications IRA, subsequent Executive Branch action, or HHS implementation of current laws may result in downward pressure on reimbursement, which could negatively affect market acceptance of new products. Any rebates, discounts, taxes costs or regulatory or systematic changes on healthcare may have a significant effect on our profitability in the future. We cannot predict how the IRA will be implemented, whether future litigation will be filed seeking to revise the law, or whether other laws or proposals will be made or adopted, or what impact these efforts may have on us.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Individual states have become increasingly aggressive in passing legislation and implementing regulations designed to control product pricing, including price or patient reimbursement constraints, discounts, restrictions on certain product access, and marketing cost disclosure and transparency measures, and designed to encourage importation from other countries and bulk purchasing. Legally-mandated price controls on payment amounts by third-party payers or other restrictions could harm our business, results of operations, financial condition and prospects.</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Regional healthcare authorities and individual hospitals are increasingly using bidding procedures to determine what products and which suppliers will be included in their healthcare programs. This can reduce demand for our products or put pressure on our product pricing, which could negatively affect our business, results of operations, financial condition and prospects.</w:t>
      </w:r>
    </w:p>
    <w:p>
      <w:pPr>
        <w:spacing w:after="0" w:line="203" w:lineRule="exact"/>
        <w:rPr>
          <w:sz w:val="20"/>
          <w:szCs w:val="20"/>
          <w:color w:val="auto"/>
        </w:rPr>
      </w:pPr>
    </w:p>
    <w:p>
      <w:pPr>
        <w:jc w:val="both"/>
        <w:ind w:firstLine="240"/>
        <w:spacing w:after="0" w:line="271" w:lineRule="auto"/>
        <w:rPr>
          <w:sz w:val="20"/>
          <w:szCs w:val="20"/>
          <w:color w:val="auto"/>
        </w:rPr>
      </w:pPr>
      <w:r>
        <w:rPr>
          <w:rFonts w:ascii="Times New Roman" w:cs="Times New Roman" w:eastAsia="Times New Roman" w:hAnsi="Times New Roman"/>
          <w:sz w:val="17"/>
          <w:szCs w:val="17"/>
          <w:color w:val="auto"/>
        </w:rPr>
        <w:t>Given recent federal and state government initiatives directed at lowering the total cost of healthcare, the executive branch, Congress and state legislatures will likely continue to focus on healthcare reform and the reform of the Medicare and Medicaid programs. For example, on July 9, 2021, President Biden issued an executive order directing the FDA to, among other things, continue to clarify and improve the approval framework for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biosimilar competition. While we cannot predict the full outcome of any such government action or legislation, it may harm our ability to market our products and generate revenues.</w:t>
      </w:r>
    </w:p>
    <w:p>
      <w:pPr>
        <w:spacing w:after="0" w:line="197"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Furthermore, regulatory authorities’ assessment of the data and results required to demonstrate safety and effectiveness can change over time and can be affected by many factors, such as the emergence of new information, including on other products, changing policies and agency funding, staffing and leadership. We cannot be sure whether future changes to the regulatory environment will be favorable or unfavorable to our business prospects.</w:t>
      </w:r>
    </w:p>
    <w:p>
      <w:pPr>
        <w:spacing w:after="0" w:line="1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prescribers, purchasers, third-party payers, charitable organizations, and patients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20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Healthcare providers, physicians and third-party payers in the U.S. and elsewhere play a primary role in the recommendation and prescription of biotechnology and biopharmaceutical products. Arrangements with third-party payers and customers can expose biotechnology and biopharmaceutical manufacturers to broadly applicable fraud and abuse and other healthcare laws and regulations, including, without limitation, the federal Anti-Kickback Statute, or AKS, and the federal False Claims Act, or FCA, which may constrain the business or financial arrangements and relationships through which such companies sell, market, and distribute biotechnology and biopharmaceutical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See the section entitled, “</w:t>
      </w:r>
      <w:r>
        <w:rPr>
          <w:rFonts w:ascii="Times New Roman" w:cs="Times New Roman" w:eastAsia="Times New Roman" w:hAnsi="Times New Roman"/>
          <w:sz w:val="18"/>
          <w:szCs w:val="18"/>
          <w:i w:val="1"/>
          <w:iCs w:val="1"/>
          <w:color w:val="auto"/>
        </w:rPr>
        <w:t>Business — Government Regulation — Other Healthcare Laws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distribution of biotechnology and biopharmaceutical products is subject to additional requirements and regulations, including extensive record-keeping, licensing, storage, and security requirements intended to prevent the unauthorized sale of biotechnology and biopharmaceutical products.</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20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Tissue-based products are regulated differently in different countries. These requirements may be costly and result in delay or otherwise preclude the distribution of our products in some foreign countries, any of which would adversely affect our ability to generate operating revenues.</w:t>
      </w:r>
    </w:p>
    <w:p>
      <w:pPr>
        <w:spacing w:after="0" w:line="18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Tissue based products are regulated differently in different countries. Many foreign jurisdictions have a different, and potentially more difficult, regulatory pathway for human tissue-based products, which may prohibit the distribution of these products until the applicable regulatory agencies grant marketing approval, or licensure. The process of obtaining regulatory approval is lengthy, expensive and uncertain, and we may never seek such approvals, or if we do, we may never obtain those approvals. Furthermore, any adverse events in our clinical trials could negatively impact our products and product candidates.</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Competitor companies may be able to take advantage of additional FDA guidance and new expedited programs designed for cell therapies to develop and/or commercialize new products in a shorter time period than previously predicted or in certain cases without a BLA. If we cannot remain competitive in light of such developments, our business may suffer.</w:t>
      </w:r>
    </w:p>
    <w:p>
      <w:pPr>
        <w:spacing w:after="0" w:line="20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Recognizing the importance of the cell therapy field, Congress included several provisions related to regenerative medicine in the Cures Act, signed into law on December 13, 2016. Building on the FDA’s existing expedited programs available to regenerative medicine products, one of these provisions established a new program to help foster the development and approval of these products: the RMAT designation.</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November 16, 2017, the FDA also announced a comprehensive policy framework for the development and oversight of regenerative medicine products, including novel cellular therapies. This framework completes a risk-based regulatory approach that further describes the appropriate pathway for products that contain tissue or cells including more clearly defining which products may be considered only minimally manipulated or for homologous use.</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With these changes in guidance and expedited programs, competitors may be able to make sales in the U.S. with minimally manipulated or homologous use products without the necessity of a BLA. In addition, competitors may also be able to obtain accelerated approval of new cell therapy products through use of RMAT designation.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4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fail to fulfill our obligations under our intellectual property licenses with third parties, we could lose license rights that are important to our business.</w:t>
      </w:r>
    </w:p>
    <w:p>
      <w:pPr>
        <w:spacing w:after="0" w:line="186" w:lineRule="exact"/>
        <w:rPr>
          <w:sz w:val="20"/>
          <w:szCs w:val="20"/>
          <w:color w:val="auto"/>
        </w:rPr>
      </w:pPr>
    </w:p>
    <w:p>
      <w:pPr>
        <w:jc w:val="both"/>
        <w:ind w:firstLine="240"/>
        <w:spacing w:after="0" w:line="216" w:lineRule="exact"/>
        <w:rPr>
          <w:sz w:val="20"/>
          <w:szCs w:val="20"/>
          <w:color w:val="auto"/>
        </w:rPr>
      </w:pPr>
      <w:r>
        <w:rPr>
          <w:rFonts w:ascii="Times New Roman" w:cs="Times New Roman" w:eastAsia="Times New Roman" w:hAnsi="Times New Roman"/>
          <w:sz w:val="18"/>
          <w:szCs w:val="18"/>
          <w:color w:val="auto"/>
        </w:rPr>
        <w:t>We are a party to intellectual property license agreements with third parties, including our license agreement with MediWound for NexoBrid, and we may enter into additional license agreements in the future. Our existing license agreements impose, and we expect that our future license agreements will impose, various diligence, milestone payment, royalty, insurance and other obligations on us. If we fail to comply with these obligations, our licensors may have the right to terminate these agreements, in which event we may not be able to further develop and market any product that is covered by these agreements. Termination of these licenses or a reduction or elimination of our licensed rights may result in our having to negotiate new or reinstated licenses with less favorable terms. In addition, if these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licenses are terminated, or if the underlying patents fail to provide the intended exclusivity, competitors would have the freedom to seek regulatory approval of, and to market, products identical to ours after the expiry of data exclusivity. The occurrence of such events could materially harm our business.</w:t>
      </w:r>
    </w:p>
    <w:p>
      <w:pPr>
        <w:spacing w:after="0" w:line="2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related to our products, our competitive position would be impaired and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Some of our technology, including our knowledge regarding the processing of our products, is maintained by us as trade secrets. In an effort to protect these trade secrets, we require our employees, consultants, collaborators and advisors to execute confidentiality agreements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These agreements, however, may not provide us with adequate protection against improper use or disclosure of confidential information, and these agreements may be breached. A breach of confidentiality could affect our competitive position. In addition, in some situations, these agreements may conflict with, or be subject to, the rights of third parties with whom our employees, consultants, collaborators or advisors have previous employment or consulting relationships. Also, others may independently develop substantially equivalent proprietary information and techniques or otherwise gain access to our trade secrets.</w:t>
      </w:r>
    </w:p>
    <w:p>
      <w:pPr>
        <w:spacing w:after="0" w:line="21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Adequate remedies may not exist in the event of unauthorized use or disclosure of our confidential information. The disclosure of our trade secrets would impair our competitive position and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patent protection for Epicel, which could adversely impact Epicel’s competitive position.</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We have no issued patents or pending patent applications relating to Epicel. While we attempt to protect our proprietary information as trade secrets through certain agreements with our employees, consultants, agents and other organizations to which we disclose our proprietary information, we cannot give any assurance that these agreements will provide effective protection for our proprietary information in the event of unauthorized use or disclosure of such information. If other cultured epidermal autografts are approved and marketed, we will be unable to prevent them from competing with Epicel in the marketplace. We expect that the presence of one or more competing products would reduce our market share and could negatively impact price levels and third-party reimbursement for Epicel, any of which would materially affect our business.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MediWound’s family of patents and proprietary rights covering NexoBrid do not provide substantial protection, then our commercialization efforts with respect to the product could suffer.</w:t>
      </w:r>
    </w:p>
    <w:p>
      <w:pPr>
        <w:spacing w:after="0" w:line="186"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Through the parties’ License Agreement, MediWound has licensed to us a family of patents covering NexoBrid. The commercial success of NexoBrid depends, in part, on MediWound’s ability to obtain and maintain patent protection and trade secret protection for NexoBrid and its uses, as well as our ability to operate without infringing upon the proprietary rights of others. The family of patents that covers NexoBrid specifically includes approximately 35 granted patents worldwide. However, there can be no assurance that patent applications relating to NexoBrid or related processes or technologies will result in patents being issued, that any patents that have been issued will be adequate to protect that intellectual property or that NexoBrid will enjoy patent protection for any significant period of time. Additionally, any issued patents may be challenged by third parties, and patents that MediWound holds may be found by a judicial authority to be invalid or unenforceable. Other parties may independently develop similar or competing technology or design around any patents that may be issued to or held by MediWound. MediWound’s current patents will eventually expire or they may otherwise cease to provide meaningful competitive advantage, and MediWound may be unable to adequately develop new technologies and obtain future patent protection to preserve our competitive advantage or avoid adverse effects on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issued patents relating to MACI have already expired and others may be insufficient to protect our business.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We have issued patents in the U.S. and in certain foreign countries that relate to the combinations of chondrocytes and collagen membranes used in MACI. However, some of these have expired. Other patent filings that include technology relevant to MACI (e.g., its production and/or use of chondrocytes and collagen membranes, surgical devices, and related arthroscopic procedures) include granted patents and pending applications inside and outside the U.S. These granted patents and pending applications, if granted, have already expired or are expected to expire, absent any extensions, between late-2027 and early-2043. Whether or not these patent filings are or will be issued patents, they may not be sufficient to protect our product revenue. We may be subject to increased competition and our opportunity to establish or maintain product revenue could be substantially reduced or eliminated if our patents fail to issue or expire, or are revoked.</w:t>
      </w:r>
    </w:p>
    <w:p>
      <w:pPr>
        <w:spacing w:after="0" w:line="21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patents we own may not be of sufficient scope or strength to provide us with significant commercial protection or commercial advantage, and competitors may be able to design around our patents or develop products that provide outcomes that are similar to ours without infringing on our intellectual property rights. In addition, we cannot be certain that patents will be issued from any of our pending patent applications or that the scope of the claims in our pending patent applications will not be significantly narrowed and/or invalidated.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patents and proprietary rights do not provide substantial protection, then our business and competitive position will suffer.</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Our success depends in large part on our ability to develop or license intellectual property rights to protect our proprietary products and technologies. This involves complex legal, scientific, and factual questions and uncertainties. We rely upon patent, trade secret, copyright and contract laws to protect proprietary technology and trademark law to protect brand identities. However, we cannot assure you that any patent applications filed by, assigned to, or licensed to us will lead to patents, and that the scope of any of our issued or licensed patents will be sufficiently broad to offer meaningful protection. In addition, our issued patents or patents licensed to us could be successfully challenged, invalidated, held to be unenforceable, or circumvented so that our patent rights would not create an effective competitive barrier. We also cannot assure you that the inventors of the patents and applications that we own or license were the first to invent or the first to file on the inventions, or that a third-party will not claim ownership in one or more of our patents or patent applications. We cannot assure you that a third-party does not have or will not obtain patents that dominate the patents we own or license now or in the future.</w:t>
      </w:r>
    </w:p>
    <w:p>
      <w:pPr>
        <w:spacing w:after="0" w:line="213" w:lineRule="exact"/>
        <w:rPr>
          <w:sz w:val="20"/>
          <w:szCs w:val="20"/>
          <w:color w:val="auto"/>
        </w:rPr>
      </w:pPr>
    </w:p>
    <w:p>
      <w:pPr>
        <w:jc w:val="both"/>
        <w:ind w:right="20" w:firstLine="240"/>
        <w:spacing w:after="0" w:line="262" w:lineRule="auto"/>
        <w:rPr>
          <w:sz w:val="20"/>
          <w:szCs w:val="20"/>
          <w:color w:val="auto"/>
        </w:rPr>
      </w:pPr>
      <w:r>
        <w:rPr>
          <w:rFonts w:ascii="Times New Roman" w:cs="Times New Roman" w:eastAsia="Times New Roman" w:hAnsi="Times New Roman"/>
          <w:sz w:val="18"/>
          <w:szCs w:val="18"/>
          <w:color w:val="auto"/>
        </w:rPr>
        <w:t>Patent law relating to the scope of claims in the biotechnology field is evolving and our patent rights in this country and abroad are subject to this uncertainty. From time to time, the Supreme Court, other federal courts, the U.S. Congress or the U.S. Patent and Trademark Office (“USPTO”) may change the standards of patentability and any such changes could have a negative impact on our business.</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cannot assure you that our patent portfolio or our efforts to seek patent protection for our technology and products will not be negatively impacted by the guidance issued by the USPTO, the decisions described above, rulings in other cases, or changes in guidance or procedures issued by the USPTO.</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There can be no assurance that future decisions of the Supreme Court or other federal courts will not have a negative impact on biotechnology patents generally or the ability of biotechnology companies to obtain or enforce their patents in the future. Such negative decisions by the Supreme Court or other federal courts could have a material adverse effect on our existing patent portfolio and our ability to protect and enforce our intellectual property in the future.</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20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current and future product candidates, our competitive position would be adversely affected.</w:t>
      </w:r>
    </w:p>
    <w:p>
      <w:pPr>
        <w:spacing w:after="0" w:line="21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With respect to MACI, if we are unable to obtain and enforce patents and to protect our trade secrets, others could use our technology to compete with us, which could limit opportunities for us to generate revenues by licensing our technology and selling products.</w:t>
      </w:r>
    </w:p>
    <w:p>
      <w:pPr>
        <w:spacing w:after="0" w:line="186"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success will depend in part on our ability to obtain and enforce patents and maintain trade secrets in the U.S. and in other countries. If we are unsuccessful in obtaining and enforcing patents, our competitors could use our technology and create products that compete with our products, without paying license fees or royalties to us.</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preparation, filing, and prosecution of patent applications can be costly and time consuming. Our limited financial resources may not permit us to pursue patent protection of all of our technology and products throughout the world.</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Even if we are able to obtain issued patents covering our technology or products, we may have to incur substantial legal fees and other expenses to enforce our patent rights in order to protect our technology and products from infringing uses. We may not have the financial resources to finance the litigation required to preserve our patent and trade secret rights.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 successful challenge to our trademarks, or to MediWound’s trademarks covering NexoBrid, could force us to rebrand Epicel, MACI or NexoBrid, which could result in a loss of brand recognition and adversely affect our business.</w:t>
      </w:r>
    </w:p>
    <w:p>
      <w:pPr>
        <w:spacing w:after="0" w:line="18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We rely on our trademarks to distinguish our products from the products of our competitors, and have registered or applied to register a number of these trademarks. MediWound has additionally registered trademarks with respect to NexoBrid, which we have licensed as part of our License Agreement with MediWound. Third parties may challenge our use of these trademarks. In the event that these trademarks are successfully challenged, we could be forced to rebrand our products, which could result in loss of brand recognition and could require us to devote resources to advertising and marketing these new brands.</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harm our business. We may be subject to patent infringement claims that could be costly to defend, which may limit our ability to use disputed technologies, and which could prevent us from pursuing research and development or commercialization of some of our products, require us to pay licensing fees to have freedom to operate and/or result in monetary damages or other liability for us.</w:t>
      </w:r>
    </w:p>
    <w:p>
      <w:pPr>
        <w:spacing w:after="0" w:line="20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success of our business will depend significantly on our ability to operate without infringing patents and other proprietary rights of others. Our cell processing system and cell compositions utilize a wide variety of technologies and we can give no assurance that we have identified or can identify all inventions and patents that may be infringed by development and manufacture of our cell compositions. If the technology that we use infringes a patent held by others, or if the technology utilized by MediWound in development and manufacturing NexoBrid infringes another’s patent, we could be sued for monetary damages by the patent holder or its licensee, or we could be prevented from continuing research, development, and commercialization of products that rely on that technology, unless a license is obtained to use the patent. The cost and availability of a license to a patent cannot be predicted, and the likelihood of obtaining a license at an acceptable cost would be lower if the patent holder or any of its licensees is using the patent to develop or market a product with which any of our existing or future product candidates or our products would compete. If we could not obtain a necessary license, we would need to develop or obtain rights to alternative technologies, which could prove costly and could cause delays in product development, or we could be forced to discontinue the development or marketing of any products that were developed using the technology covered by the patent.</w:t>
      </w:r>
    </w:p>
    <w:p>
      <w:pPr>
        <w:spacing w:after="0" w:line="21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Although we have not been subject to any filed patent infringement claims, patents could exist or could be filed which would prohibit or limit our ability to market our products or maintain our competitive position. In the event of an intellectual property dispute, we may be forced to litigate. Such litigation is typically protracted and the results are unpredictable. Intellectual property litigation would divert management’s attention from developing our products and would force us to incur substantial costs regardless of whether we are successful. An adverse outcome could subject us to significant liabilities to third parties including treble damages and the opposing party’s attorneys’ fees, and force us to pay significant license fees and royalties or cease the development and sale of our products and processes.</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have hired and expect to continue to hire individuals who have experience in cell culture and cell-based therapeutics and may have confidential trade secret or proprietary information of third parties. We caution these individuals not to use or reveal this third-party information, but we cannot assure you that these individuals will not use or reveal this third-party information. Thus, we could be sued for misappropriation of proprietary information and trade secrets. Such claims are expensive to defend and could divert our attention and could result in substantial damage awards and injunctions that could have a material adverse effect on our business, financial condition or results of operations.</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 consuming and unsuccessful and have a material adverse effect on the success of our business.</w:t>
      </w:r>
    </w:p>
    <w:p>
      <w:pPr>
        <w:spacing w:after="0" w:line="18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or misappropriate or otherwise violate our intellectual property rights. To counter infringement or unauthorized use, litigation may be necessary in the future to enforce or defend our intellectual property rights, to protect our trade secrets or to determine the validity and scope of our own intellectual property rights or the proprietary rights of others. Also, third parties may initiate legal proceedings against us to challenge the validity or scope of intellectual property rights we own or control. These proceedings can be expensive and time consuming. Many of our current and potential competitors have the ability to dedicate substantially greater resources to defend their intellectual property rights than we can. Accordingly, despite our efforts, we may not be able to prevent third parties from infringing upon or misappropriating our intellectual property.</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patents do not cover the technology in question. An adverse result in any litigation proceeding could put one or more of our patents at risk of being invalidated, held unenforceable or interpreted narrowly.</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our business, financial condition or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infringe the rights of third parties, we could be prevented from selling products, forced to pay damages, and defend against litigation</w:t>
      </w:r>
      <w:r>
        <w:rPr>
          <w:rFonts w:ascii="Times New Roman" w:cs="Times New Roman" w:eastAsia="Times New Roman" w:hAnsi="Times New Roman"/>
          <w:sz w:val="18"/>
          <w:szCs w:val="18"/>
          <w:color w:val="auto"/>
        </w:rPr>
        <w:t>.</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If our products, methods, processes and other technologies infringe the proprietary rights of other parties, we could incur substantial costs and we may have to: obtain licenses, which may not be available on commercially reasonable terms, if at all; abandon an infringing product; redesign our products or processes to avoid infringement; stop using the subject matter claimed in the patents held by others; pay damages; and/or defend litigation or administrative proceedings which may be costly whether we win or lose, and which could result in a substantial diversion of our financial and management resources.</w:t>
      </w:r>
    </w:p>
    <w:p>
      <w:pPr>
        <w:spacing w:after="0" w:line="204" w:lineRule="exact"/>
        <w:rPr>
          <w:sz w:val="20"/>
          <w:szCs w:val="20"/>
          <w:color w:val="auto"/>
        </w:rPr>
      </w:pPr>
    </w:p>
    <w:p>
      <w:pPr>
        <w:jc w:val="both"/>
        <w:ind w:firstLine="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 If we are not able to protect our intellectual property rights, our business may be adversely affected.</w:t>
      </w:r>
    </w:p>
    <w:p>
      <w:pPr>
        <w:spacing w:after="0" w:line="18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89" w:lineRule="exact"/>
        <w:rPr>
          <w:sz w:val="20"/>
          <w:szCs w:val="20"/>
          <w:color w:val="auto"/>
        </w:rPr>
      </w:pPr>
    </w:p>
    <w:p>
      <w:pPr>
        <w:ind w:left="640" w:hanging="393"/>
        <w:spacing w:after="0" w:line="258" w:lineRule="auto"/>
        <w:tabs>
          <w:tab w:leader="none" w:pos="63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Others may be able to make products that are the same as or similar to our products or product candidates, but that are not covered by the claims of the patents that we own or have exclusively licensed;</w:t>
      </w:r>
    </w:p>
    <w:p>
      <w:pPr>
        <w:ind w:left="640" w:hanging="393"/>
        <w:spacing w:after="0" w:line="247" w:lineRule="auto"/>
        <w:tabs>
          <w:tab w:leader="none" w:pos="63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We or any strategic partners might not have been the first to make the inventions covered by the issued patents or pending patent applications that we own or have exclusively licensed;</w:t>
      </w:r>
    </w:p>
    <w:p>
      <w:pPr>
        <w:ind w:left="640" w:hanging="393"/>
        <w:spacing w:after="0"/>
        <w:tabs>
          <w:tab w:leader="none" w:pos="64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We might not have been the first to file and/or the first to invent patent applications covering certain of our inventions;</w:t>
      </w:r>
    </w:p>
    <w:p>
      <w:pPr>
        <w:spacing w:after="0" w:line="6"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ind w:left="640" w:hanging="393"/>
        <w:spacing w:after="0"/>
        <w:tabs>
          <w:tab w:leader="none" w:pos="64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6"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w:t>
      </w:r>
    </w:p>
    <w:p>
      <w:pPr>
        <w:jc w:val="both"/>
        <w:ind w:left="640" w:hanging="393"/>
        <w:spacing w:after="0" w:line="247" w:lineRule="auto"/>
        <w:tabs>
          <w:tab w:leader="none" w:pos="63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ind w:left="640" w:hanging="393"/>
        <w:spacing w:after="0"/>
        <w:tabs>
          <w:tab w:leader="none" w:pos="64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 may challenge our patents or other intellectual property rights or sue us for infringement.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an Investment in our Common Stock</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price has been volatile and future sales of shares of common stock could have an adverse effect on the market price of such shares.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market price of shares of our common stock has been volatile, ranging in closing price between $23.85 and $44.56 during January 2, 2023 through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2024. The price of our common stock may continue to fluctuate in response to a number of events and factors, such as:</w:t>
      </w:r>
    </w:p>
    <w:p>
      <w:pPr>
        <w:spacing w:after="0" w:line="228" w:lineRule="exact"/>
        <w:rPr>
          <w:sz w:val="20"/>
          <w:szCs w:val="20"/>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Announcements of research activities, business developments, technological innovations or new products by us or our competitors;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Entering into or terminating strategic relationships;</w:t>
      </w:r>
    </w:p>
    <w:p>
      <w:pPr>
        <w:spacing w:after="0" w:line="5"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Information related to decisions by regulatory authorities regarding our products or product candidates or other regulatory developments or guidance in both the U.S. and abroad;</w:t>
      </w: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Disputes concerning patents or proprietary rights;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our revenues or expense levels;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our pricing policies or the pricing policies of our competitors;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Substantial changes in reimbursement practices;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The amount of our cash resources and our ability to obtain additional funding;</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Seasonal or other variations in patient demand for MACI, Epicel and NexoBrid;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Demand for and clinical acceptance of our products;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The timing of sales of products and of the introduction of new products;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Public concern regarding the safety, efficacy or other aspects of the products or methodologies we are developing;</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Clinical trial results;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News or reports from other cell therapy, regenerative medicine companies, or companies competing for market share in the burn care space;</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Actual or threatened litigation or governmental investigations or other major developments in such matters;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Reports by securities analysts;</w:t>
      </w:r>
    </w:p>
    <w:p>
      <w:pPr>
        <w:spacing w:after="0" w:line="5" w:lineRule="exact"/>
        <w:rPr>
          <w:rFonts w:ascii="Arial" w:cs="Arial" w:eastAsia="Arial" w:hAnsi="Arial"/>
          <w:sz w:val="18"/>
          <w:szCs w:val="18"/>
          <w:color w:val="auto"/>
        </w:rPr>
      </w:pPr>
    </w:p>
    <w:p>
      <w:pPr>
        <w:ind w:left="640" w:hanging="393"/>
        <w:spacing w:after="0" w:line="246" w:lineRule="auto"/>
        <w:tabs>
          <w:tab w:leader="none" w:pos="635"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Status and condition of the global economy, investment markets, regional or global conflicts or other developments that may affect the global supply chain or ability to manufacture and distribute our products;</w:t>
      </w: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Public or private sales of additional securities;</w:t>
      </w:r>
    </w:p>
    <w:p>
      <w:pPr>
        <w:spacing w:after="0" w:line="6"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Cybersecurity incidents that materially affect our products, services, relationships or competitive conditions;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Loss of key personnel;</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A resurgence of COVID-19, which may impact our business, operations, prospects and financial condition;</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management or the Board of Directors; and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Concerns related to management transitions.</w:t>
      </w:r>
    </w:p>
    <w:p>
      <w:pPr>
        <w:spacing w:after="0" w:line="22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Any of these events may cause the price of our shares to fall, which may adversely affect our business and financing opportunities. In addition, the stock market in general and the market prices for biotechnology companies in particular have experienced significant volatility recently that often has been unrelated to the operating performance or financial conditions of such companies. These broad market and industry fluctuations may adversely affect the trading price of our common stock, regardless of our operating performance or prospects.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 of our common stock through future equity offerings may cause dilution and could cause the price of our common stock to decline.</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Sales of our common stock offered through future equity offerings may result in substantial dilution to the interests of other holders of our common stock. The sale of a substantial number of shares of our common stock to investors, or anticipation of such sales, could make it more difficult for us to sell equity or equity-related securities in the future at a time and at a price that we might otherwise wish to effect sales.</w:t>
      </w:r>
    </w:p>
    <w:p>
      <w:pPr>
        <w:spacing w:after="0" w:line="20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and do not expect to do so in the foreseeable future. The declaration of dividends is subject to the discretion of our board of directors and will depend on various factors, including our operating results, financial condition, future prospects and any other factors deemed relevant by our board of directors. You should not rely on an investment in our Company if you require dividend income from your investment. The success of your investment will likely depend entirely upon any future appreciation of the market price of our common stock, which is uncertain and unpredictable. There is no guarantee that our common stock will appreciate in value.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our products and future product candidates may expose us to product liability claims, and we may not be able to obtain adequate insurance.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such claims could affect our earnings and financial condition.</w:t>
      </w:r>
    </w:p>
    <w:p>
      <w:pPr>
        <w:spacing w:after="0" w:line="22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face an inherent business risk of exposure to product liability claims in the event that the manufacture and/or use of our products during clinical trials, or after commercialization, result in adverse events. Moreover, we derive the raw materials for MACI and Epicel from patients serving as their own donors, the production process is complex, and the handling requirements are specific. All of these factors increase the likelihood of quality failures and subsequent product liability claims. We may incur material liabilities relating to product liability claims in the future, including product liability claims arising out of the usage of MACI, Epicel or NexoBrid. Additionally, we may not be able to obtain or maintain product liability insurance on acceptable terms with adequate coverage or at all. If we are unable to obtain insurance, or if claims against us substantially exceed our coverage, then our business could be adversely impacted. Excessive insurance costs or uninsured claims would increase our operating loss and adversely affect our financial condition. Whether or not we are ultimately successful in any product liability litigation, such litigation could consume substantial amounts of our financial and managerial resources and could result in, among other things:</w:t>
      </w:r>
    </w:p>
    <w:p>
      <w:pPr>
        <w:spacing w:after="0" w:line="213" w:lineRule="exact"/>
        <w:rPr>
          <w:sz w:val="20"/>
          <w:szCs w:val="20"/>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Significant awards against us;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Substantial litigation costs;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Recall of the product;</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Injury to our reputation;</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Withdrawal of clinical trial participants; or</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Adverse regulatory action.</w:t>
      </w: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Any of these consequences could have a material adverse effect on our business, financial condition and results of operations.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raise the required capital to develop and commercialize our future product candidates and product enhancements and otherwise grow and expand our business.</w:t>
      </w:r>
    </w:p>
    <w:p>
      <w:pPr>
        <w:spacing w:after="0" w:line="18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Notwithstanding the net proceeds we received from previous public offerings, we may require substantial additional capital resources for strategic opportunities.</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order to grow and expand our business, to introduce other new product candidates and product enhancements into the marketplace, we may need to raise additional funds. We may also need significant additional funds or a collaborative partner, or both, to finance the research and development activities of future product candidates for additional indications or in additional markets.</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future capital requirements will depend upon many factors, including:</w:t>
      </w:r>
    </w:p>
    <w:p>
      <w:pPr>
        <w:spacing w:after="0" w:line="247" w:lineRule="exact"/>
        <w:rPr>
          <w:sz w:val="20"/>
          <w:szCs w:val="20"/>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Continued scientific progress in our research, clinical and development programs;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Costs and timing of conducting clinical trials and seeking regulatory approvals;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Competing technological and market developments;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Avoiding infringement and misappropriation of third-party intellectual property;</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Obtaining valid and enforceable patents that give us a competitive advantage;</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establish additional collaborative relationships;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scale up our production capabilities for larger quantities of our products;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The effect of commercialization activities and facility improvements and expansions, if and as required; and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Complementary business acquisitions or development opportunities.</w:t>
      </w:r>
    </w:p>
    <w:p>
      <w:pPr>
        <w:spacing w:after="0" w:line="22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may try to access the public or private equity markets if conditions are favorable to complete a financing, even if we do not have an immediate need for additional capital at that time, or whenever we require additional operating capital. In addition, we may seek collaborative relationships, incur debt and access other available funding sources. This additional funding may not be available to us on reasonable terms, or at all. Some of the factors that will impact our ability to raise additional capital and our overall success include:</w:t>
      </w:r>
    </w:p>
    <w:p>
      <w:pPr>
        <w:spacing w:after="0" w:line="208" w:lineRule="exact"/>
        <w:rPr>
          <w:sz w:val="20"/>
          <w:szCs w:val="20"/>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further commercialize our products;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The rate and degree of progress of our product development;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2" w:name="page53"/>
    <w:bookmarkEnd w:id="5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40" w:hanging="393"/>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The rate of regulatory approval to proceed with clinical developmental programs;</w:t>
      </w:r>
    </w:p>
    <w:p>
      <w:pPr>
        <w:spacing w:after="0" w:line="25" w:lineRule="exact"/>
        <w:rPr>
          <w:rFonts w:ascii="Arial" w:cs="Arial" w:eastAsia="Arial" w:hAnsi="Arial"/>
          <w:sz w:val="18"/>
          <w:szCs w:val="18"/>
          <w:color w:val="auto"/>
        </w:rPr>
      </w:pPr>
    </w:p>
    <w:p>
      <w:pPr>
        <w:ind w:left="640" w:hanging="393"/>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The level of success achieved in clinical trials;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The requirements necessary for marketing authorization from regulatory bodies in the U.S. and other countries;</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The liquidity and market volatility of our equity securities; and</w:t>
      </w:r>
    </w:p>
    <w:p>
      <w:pPr>
        <w:spacing w:after="0" w:line="5" w:lineRule="exact"/>
        <w:rPr>
          <w:rFonts w:ascii="Arial" w:cs="Arial" w:eastAsia="Arial" w:hAnsi="Arial"/>
          <w:sz w:val="18"/>
          <w:szCs w:val="18"/>
          <w:color w:val="auto"/>
        </w:rPr>
      </w:pPr>
    </w:p>
    <w:p>
      <w:pPr>
        <w:ind w:left="640" w:hanging="393"/>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Regulatory and manufacturing requirements and uncertainties, and technological developments by competitors.</w:t>
      </w: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If adequate funds are not available in the future, we may not be able to develop or enhance our products, take advantage of future opportunities, or respond to competitive pressures or unanticipated requirements and we may be required to delay or terminate research and development programs, curtail capital expenditures, and reduce business development and other operating activities, which would have a material adverse impact on our business, financial condition and results of operations</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current credit and financial market conditions may exacerbate certain risks affecting our business.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rely upon third parties for certain aspects of our business, including collaboration partners, wholesale distributors, contract clinical trial providers, contract manufacturers and third-party suppliers. Because of the recent tightening of global credit, volatility in the financial markets, and global inflationary pressures, there may be a delay or disruption in the performance or satisfaction of commitments to us by these third parties, which could adversely affect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Revolving Credit Agreement contains covenant restrictions that may limit our ability to operate our business.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terms of our Revolving Credit Agreement, contain, and any of our other future debt agreements may contain, covenant restrictions that limit our ability to: (i) incur additional indebtedness (ii) create liens; (iii) consolidate, merge, sell or otherwise dispose of all, or substantially all, of our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our affiliates. As a result of these covenants, our ability to respond to changes in business and economic conditions and engage in beneficial transactions, including to obtain additional financing as needed, may be restricted. Furthermore, our failure to comply with our debt covenants could result in a default under our Revolving Credit Agreement, which could permit the holders to accelerate our obligation to repay any borrowings.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indebtedness.</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On July 29, 2022, we entered into a $150.0 million five-year senior secured Revolving Credit Agreement. As of December 31, 2023, we had no outstanding borrowings under the Revolving Credit Agreement. We may be exposed to the impact of interest rate changes primarily through our borrowing activities. Subject to the limits contained in the Revolving Credit Agreement, we may incur substantial additional debt from time-to-time for general corporate purposes, including, without limitation, acquisitions and capital expenditures, and such other uses as permitted under the Revolving Credit Agreement. If we do so, the risks related to our debt could intensify. Specifically, our debt could have important consequences to our investors, including the following:</w:t>
      </w:r>
    </w:p>
    <w:p>
      <w:pPr>
        <w:spacing w:after="0" w:line="212" w:lineRule="exact"/>
        <w:rPr>
          <w:sz w:val="20"/>
          <w:szCs w:val="20"/>
          <w:color w:val="auto"/>
        </w:rPr>
      </w:pPr>
    </w:p>
    <w:p>
      <w:pPr>
        <w:ind w:left="640" w:hanging="313"/>
        <w:spacing w:after="0" w:line="258" w:lineRule="auto"/>
        <w:tabs>
          <w:tab w:leader="none" w:pos="635"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making it more difficult for us to satisfy our obligations under the Revolving Credit Agreement; and if we fail to comply with these requirements, an event of default could result;</w:t>
      </w:r>
    </w:p>
    <w:p>
      <w:pPr>
        <w:spacing w:after="0" w:line="21" w:lineRule="exact"/>
        <w:rPr>
          <w:rFonts w:ascii="Arial" w:cs="Arial" w:eastAsia="Arial" w:hAnsi="Arial"/>
          <w:sz w:val="18"/>
          <w:szCs w:val="18"/>
          <w:color w:val="auto"/>
        </w:rPr>
      </w:pPr>
    </w:p>
    <w:p>
      <w:pPr>
        <w:ind w:left="640" w:hanging="313"/>
        <w:spacing w:after="0" w:line="238" w:lineRule="auto"/>
        <w:tabs>
          <w:tab w:leader="none" w:pos="63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limiting our ability to obtain additional financing to fund future working capital, capital expenditures, acquisitions, or other general corporate requirements;</w:t>
      </w:r>
    </w:p>
    <w:p>
      <w:pPr>
        <w:spacing w:after="0" w:line="22" w:lineRule="exact"/>
        <w:rPr>
          <w:rFonts w:ascii="Arial" w:cs="Arial" w:eastAsia="Arial" w:hAnsi="Arial"/>
          <w:sz w:val="21"/>
          <w:szCs w:val="21"/>
          <w:color w:val="auto"/>
        </w:rPr>
      </w:pPr>
    </w:p>
    <w:p>
      <w:pPr>
        <w:ind w:left="640" w:hanging="313"/>
        <w:spacing w:after="0" w:line="238" w:lineRule="auto"/>
        <w:tabs>
          <w:tab w:leader="none" w:pos="63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13" w:lineRule="exact"/>
        <w:rPr>
          <w:rFonts w:ascii="Arial" w:cs="Arial" w:eastAsia="Arial" w:hAnsi="Arial"/>
          <w:sz w:val="21"/>
          <w:szCs w:val="21"/>
          <w:color w:val="auto"/>
        </w:rPr>
      </w:pPr>
    </w:p>
    <w:p>
      <w:pPr>
        <w:ind w:left="640" w:hanging="313"/>
        <w:spacing w:after="0"/>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34" w:lineRule="exact"/>
        <w:rPr>
          <w:rFonts w:ascii="Arial" w:cs="Arial" w:eastAsia="Arial" w:hAnsi="Arial"/>
          <w:sz w:val="21"/>
          <w:szCs w:val="21"/>
          <w:color w:val="auto"/>
        </w:rPr>
      </w:pPr>
    </w:p>
    <w:p>
      <w:pPr>
        <w:ind w:left="640" w:hanging="313"/>
        <w:spacing w:after="0" w:line="238" w:lineRule="auto"/>
        <w:tabs>
          <w:tab w:leader="none" w:pos="63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exposing us to the risk of increased interest rates as borrowings under our Revolving Credit Agreement are subject to floating interest rates based on SOFR, which could increase the cost of servicing our financial instruments and could materially reduce our profitability and cash flows;</w:t>
      </w:r>
    </w:p>
    <w:p>
      <w:pPr>
        <w:spacing w:after="0" w:line="13" w:lineRule="exact"/>
        <w:rPr>
          <w:rFonts w:ascii="Arial" w:cs="Arial" w:eastAsia="Arial" w:hAnsi="Arial"/>
          <w:sz w:val="21"/>
          <w:szCs w:val="21"/>
          <w:color w:val="auto"/>
        </w:rPr>
      </w:pPr>
    </w:p>
    <w:p>
      <w:pPr>
        <w:ind w:left="640" w:hanging="313"/>
        <w:spacing w:after="0"/>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limiting our flexibility in planning for and reacting to changes in the industry in which we compete;</w:t>
      </w:r>
    </w:p>
    <w:p>
      <w:pPr>
        <w:spacing w:after="0" w:line="13" w:lineRule="exact"/>
        <w:rPr>
          <w:rFonts w:ascii="Arial" w:cs="Arial" w:eastAsia="Arial" w:hAnsi="Arial"/>
          <w:sz w:val="21"/>
          <w:szCs w:val="21"/>
          <w:color w:val="auto"/>
        </w:rPr>
      </w:pPr>
    </w:p>
    <w:p>
      <w:pPr>
        <w:ind w:left="640" w:hanging="313"/>
        <w:spacing w:after="0" w:line="238" w:lineRule="auto"/>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placing us at a disadvantage compared to other, less leveraged competitors; and</w:t>
      </w:r>
    </w:p>
    <w:p>
      <w:pPr>
        <w:spacing w:after="0" w:line="14" w:lineRule="exact"/>
        <w:rPr>
          <w:rFonts w:ascii="Arial" w:cs="Arial" w:eastAsia="Arial" w:hAnsi="Arial"/>
          <w:sz w:val="21"/>
          <w:szCs w:val="21"/>
          <w:color w:val="auto"/>
        </w:rPr>
      </w:pPr>
    </w:p>
    <w:p>
      <w:pPr>
        <w:ind w:left="640" w:hanging="313"/>
        <w:spacing w:after="0" w:line="238" w:lineRule="auto"/>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increasing our cost of borrowing.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3" w:name="page54"/>
    <w:bookmarkEnd w:id="5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18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regularly maintain cash balances with leading financial institutions in excess of the U.S. Department of Treasury, Federal Deposit Insurance Corporation (“FDIC”) insurance limit. 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w:t>
      </w:r>
    </w:p>
    <w:p>
      <w:pPr>
        <w:spacing w:after="0" w:line="208"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Our access to our cash and cash equivalents in amounts adequate to finance our operations could be significantly impaired if the financial institutions with which we have arrangements directly face liquidity constraints or failures. In addition, investor concerns regarding the U.S. or international financial systems could result in less favorable commercial financing terms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 Furthermore, should our customers have relationships with financial institutions that fail, this may result in a delay of collecting outstanding receivables, which could have a material adverse effect on our business.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ongoing wars between Russia and Ukraine and between Israel and Hamas, and record inflation. Our business, financial condition and results of operations could be materially adversely affected by any negative impact on the global economy and capital markets resulting from the war in Ukraine, the Israel-Hamas war, geopolitical tensions, or record inflation.</w:t>
      </w:r>
    </w:p>
    <w:p>
      <w:pPr>
        <w:spacing w:after="0" w:line="208" w:lineRule="exact"/>
        <w:rPr>
          <w:sz w:val="20"/>
          <w:szCs w:val="20"/>
          <w:color w:val="auto"/>
        </w:rPr>
      </w:pPr>
    </w:p>
    <w:p>
      <w:pPr>
        <w:jc w:val="both"/>
        <w:ind w:firstLine="436"/>
        <w:spacing w:after="0" w:line="254"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due in part to the conflict in Ukraine and the Israel-Hamas war. Although the length and impact of the ongoing military conflict in Ukraine and the Israel-Hamas war is highly unpredictable, the geopolitical uncertainty caused by the conflicts has led to market disruptions, including significant volatility in commodity prices, credit and capital markets, as well as supply chain interruptions, which has contributed to record inflation globally. We are continuing to monitor inflation, the situations in Ukraine and Israel and global capital markets and assessing the potential impact on our business.</w:t>
      </w:r>
    </w:p>
    <w:p>
      <w:pPr>
        <w:spacing w:after="0" w:line="212"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Although, to date, our business has not been materially impacted by the ongoing military conflict between Russia and Ukraine or the Israel-Hamas war, geopolitical tensions, or record inflation, it is impossible to predict the extent to which our operations will be impacted in the short and long term, or the ways in which such matters may impact our business. The extent and duration of the war in Ukraine and the Israel-Hamas war, geopolitical tensions, record inflation and resulting market disruptions are impossible to predict but could be substantial.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dependent on our key manufacturing, quality and other management personnel and the loss of any of these individuals could harm our business.</w:t>
      </w:r>
    </w:p>
    <w:p>
      <w:pPr>
        <w:spacing w:after="0" w:line="262"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color w:val="auto"/>
        </w:rPr>
        <w:t>Our success depends in large part upon the efforts of our key management and manufacturing and quality staff. The loss of any of these individuals, or our inability to attract and retain highly qualified scientific and management personnel in a timely manner, could materially and adversely affect our business and our future prospects. In the future, we may need to seek additional manufacturing and quality staff members. There is a high demand for highly trained manufacturing and quality personnel in our industry. We face competition for such personnel from other companies, research and academic institutions and other entities. Although, to date, we have not experienced a material number of departures among our manufacturing staff, we cannot be sure such departures will not occur in the future. We do not know whether we will be able to attract, train and retain highly qualified manufacturing and quality personnel in the future, which could have a material adverse effect on our business, financial condition and results of operations. A loss of one or more of our key personnel could severely and negatively impact our operations. Our key personnel are employed “at-will,” and any of them may elect to pursue other opportunities at any time. We have no present intention of obtaining key man life insurance on any of our key management, manufacturing, quality or other personnel.</w:t>
      </w:r>
    </w:p>
    <w:p>
      <w:pPr>
        <w:spacing w:after="0" w:line="200" w:lineRule="exact"/>
        <w:rPr>
          <w:sz w:val="20"/>
          <w:szCs w:val="20"/>
          <w:color w:val="auto"/>
        </w:rPr>
      </w:pPr>
    </w:p>
    <w:p>
      <w:pPr>
        <w:ind w:right="160" w:firstLine="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Efforts to comply with securities laws and regulations require management resources, and we still may fail to comply. If we are not able to comply with such laws and regulations, there may be a material adverse impact on our business, financial conditions and results of operations.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4" w:name="page55"/>
    <w:bookmarkEnd w:id="5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As directed by Section 404 of the Sarbanes-Oxley Act of 2002, the SEC adopted rules requiring public companies to include a report of management on their internal controls over financial reporting in their annual reports on Form 10-K. The independent registered public accounting firm auditing our consolidated financial statements is required to attest to the effectiveness of our internal controls over financial reporting. If, in any year, we are unable to conclude that we have effective internal controls over financial reporting or if our independent registered public accounting firm is required to, but is unable to provide us with a report as to the effectiveness of our internal controls over financial reporting, investors could lose confidence in the reliability of our consolidated financial statements, which could result in a decrease in the value of our securities.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corporate documents and Michigan law contain provisions that may make it more difficult for us to be acquired.</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Our Board of Directors has the authority, without shareholder approval, to issue additional shares of preferred stock and to fix the rights, preferences, privileges and restrictions of these shares without any further vote or action by our shareholders. Michigan law contains a statute that makes it more difficult for a 10% shareholder, or its officers, to acquire a company. This authority, together with certain provisions of our charter documents, may have the effect of making it more difficult for a third-party to acquire, or of discouraging a third-party from attempting to acquire, control of our company. This effect could occur even if our shareholders consider the change in control to be in their best interest.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tax legislation and regulations could negatively impact our earnings.</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are subject to income taxes in the U.S. In particular, although the passage of the Tax Cuts and Jobs Act of 2017 reduced the U.S. tax rate to 21 percent the law is complex and further regulations and interpretations are still being issued. We could face audit challenges on how we apply the new law that could have a negative impact on our provision for income taxes. In addition, particularly in light of the Biden Administration, our future earnings could be negatively impacted by changes in tax legislation, including a repeal or modification of the Tax Cuts and Jobs Act of 2017, changes in tax rates and tax base such as limiting, phasing-out or eliminating deductions or tax credits, increased taxation of certain excess income from intellectual property, revising tax law interpretations and changes in other tax laws in the U.S. For example, beginning in 2022, the Tax Cuts and Jobs Act of 2017 eliminated the option to deduct research and development expenditures immediately in the year incurred and requires taxpayers to amortize such expenditures over five years for tax purposes. While the most significant impact of this provision is to the year ended December 31, 2022, the tax year in which the provision took effect, the impact will decline annually over the five-year amortization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5" w:name="page56"/>
    <w:bookmarkEnd w:id="5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51" w:lineRule="exact"/>
        <w:rPr>
          <w:sz w:val="20"/>
          <w:szCs w:val="20"/>
          <w:color w:val="auto"/>
        </w:rPr>
      </w:pPr>
    </w:p>
    <w:p>
      <w:pPr>
        <w:jc w:val="both"/>
        <w:ind w:firstLine="240"/>
        <w:spacing w:after="0" w:line="247" w:lineRule="auto"/>
        <w:rPr>
          <w:sz w:val="20"/>
          <w:szCs w:val="20"/>
          <w:color w:val="auto"/>
        </w:rPr>
      </w:pPr>
      <w:r>
        <w:rPr>
          <w:rFonts w:ascii="Times New Roman" w:cs="Times New Roman" w:eastAsia="Times New Roman" w:hAnsi="Times New Roman"/>
          <w:sz w:val="18"/>
          <w:szCs w:val="18"/>
          <w:color w:val="auto"/>
        </w:rPr>
        <w:t>We have developed processes for assessing, identifying and managing material risks from cybersecurity threats. Our enterprise risk management system incorporates risks from cybersecurity threats alongside other risks to the Company. Our information technology team oversees and implements a range of tools and services designed to minimize the risk or impact of any breach or unauthorized disclosure of our confidential and sensitive data. These tools and services include, from time to time:</w:t>
      </w:r>
    </w:p>
    <w:p>
      <w:pPr>
        <w:spacing w:after="0" w:line="229" w:lineRule="exact"/>
        <w:rPr>
          <w:sz w:val="20"/>
          <w:szCs w:val="20"/>
          <w:color w:val="auto"/>
        </w:rPr>
      </w:pPr>
    </w:p>
    <w:p>
      <w:pPr>
        <w:ind w:firstLine="247"/>
        <w:spacing w:after="0" w:line="239" w:lineRule="auto"/>
        <w:tabs>
          <w:tab w:leader="none" w:pos="63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monitoring emerging data protection laws and best practices regarding application security, access management, device protection, network management, and data loss prevention and recovery and implementing responsive changes to our processes;</w:t>
      </w:r>
    </w:p>
    <w:p>
      <w:pPr>
        <w:ind w:left="640" w:hanging="393"/>
        <w:spacing w:after="0" w:line="232"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periodic reviews of our partner-facing policies and statements related to cybersecurity;</w:t>
      </w:r>
    </w:p>
    <w:p>
      <w:pPr>
        <w:ind w:left="640" w:hanging="393"/>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intrusion detection and monitoring applications and multifactor authentication;</w:t>
      </w:r>
    </w:p>
    <w:p>
      <w:pPr>
        <w:spacing w:after="0" w:line="5" w:lineRule="exact"/>
        <w:rPr>
          <w:rFonts w:ascii="Times New Roman" w:cs="Times New Roman" w:eastAsia="Times New Roman" w:hAnsi="Times New Roman"/>
          <w:sz w:val="18"/>
          <w:szCs w:val="18"/>
          <w:color w:val="auto"/>
        </w:rPr>
      </w:pPr>
    </w:p>
    <w:p>
      <w:pPr>
        <w:ind w:firstLine="247"/>
        <w:spacing w:after="0" w:line="232"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periodic table-top exercises with management, including our Executive Director, Corporate Information Systems, and testing of our data security, incident response policies and procedures;</w:t>
      </w:r>
    </w:p>
    <w:p>
      <w:pPr>
        <w:spacing w:after="0" w:line="1" w:lineRule="exact"/>
        <w:rPr>
          <w:rFonts w:ascii="Times New Roman" w:cs="Times New Roman" w:eastAsia="Times New Roman" w:hAnsi="Times New Roman"/>
          <w:sz w:val="18"/>
          <w:szCs w:val="18"/>
          <w:color w:val="auto"/>
        </w:rPr>
      </w:pPr>
    </w:p>
    <w:p>
      <w:pPr>
        <w:ind w:firstLine="247"/>
        <w:spacing w:after="0" w:line="239"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periodic cybersecurity management and incident training for employees, including simulated phishing campaigns, which provide education on the risk of potential cybersecurity incidents, methods for identification of such incidents and appropriate responses; and</w:t>
      </w:r>
    </w:p>
    <w:p>
      <w:pPr>
        <w:spacing w:after="0" w:line="1" w:lineRule="exact"/>
        <w:rPr>
          <w:rFonts w:ascii="Times New Roman" w:cs="Times New Roman" w:eastAsia="Times New Roman" w:hAnsi="Times New Roman"/>
          <w:sz w:val="18"/>
          <w:szCs w:val="18"/>
          <w:color w:val="auto"/>
        </w:rPr>
      </w:pPr>
    </w:p>
    <w:p>
      <w:pPr>
        <w:ind w:left="640" w:hanging="393"/>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employees, as well as third-parties who provide services on our behalf, to treat information and data with care.</w:t>
      </w:r>
    </w:p>
    <w:p>
      <w:pPr>
        <w:spacing w:after="0" w:line="200"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7"/>
          <w:szCs w:val="17"/>
          <w:color w:val="auto"/>
        </w:rPr>
        <w:t>We also maintain an enterprise-wide incident response plan designed to secure the enterprise, mitigate the impact of a cybersecurity incident, recover and restore normal business operations, prevent similar future incidents and comply with applicable regulatory obligations arising from an incident. Management, including our Executive Director, Corporate Information systems, collaborates with our information technology team and technical partners to review at least annually our enterprise-wide incident response plan. Periodically, we engage assessors, consultants, auditors and other third parties, including by conducting exercises with an external partner to stress test our data security systems and practice company-wide response tactics. Our risk management processes also address cybersecurity threat risks associated with our use of third-party service providers, and third-party risks are included within our enterprise risk management program. In the event of a suspected or actual cybersecurity event, we have partnered with a globally recognized digital forensics investigation firm and outside counsel to provide services and support on a real-time basis to analyze any breach and secure both our data and information systems.</w:t>
      </w:r>
    </w:p>
    <w:p>
      <w:pPr>
        <w:spacing w:after="0" w:line="2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For a discussion of how any risks from cybersecurity threats could materially affect the Company, including our business strategy and results of operations, see “Risk Factors – A cyber security incident or data privacy issue could result in a loss of confidential data, give rise to remediation and other expenses, expose us to liability under HIPAA, consumer protection and privacy laws, or other common law theories, subject us to litigation and federal and state governmental inquiries, damage our reputation, and otherwise be disruptive to our business,” which is incorporated by reference into this Item 1C.</w:t>
      </w:r>
    </w:p>
    <w:p>
      <w:pPr>
        <w:spacing w:after="0" w:line="2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the three most recently completed fiscal years, we have not experienced any material cybersecurity incidents. This includes penalties and settlements, of which there were none.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51"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8"/>
          <w:szCs w:val="18"/>
          <w:color w:val="auto"/>
        </w:rPr>
        <w:t>The Audit Committee of our Board oversees our risk management process, which includes risks from cybersecurity threats. The Audit Committee receives reports from management at least semi-annually, and more frequently if necessary, with respect to risks from cybersecurity threats. The Audit Committee also reviews cybersecurity and data security risks and mitigation strategies, along with program assessments, planned improvements and the status of information technology initiatives.</w:t>
      </w:r>
    </w:p>
    <w:p>
      <w:pPr>
        <w:spacing w:after="0" w:line="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entire Board receives annual training from outside experts concerning the current global cybersecurity threat landscape and corporate best practices for mitigating cybersecurity risks, as well as the Board’s legal, regulatory and fiduciary responsibilities from a cybersecurity standpoint. Additionally, the Board was engaged with management and outside experts throughout 2022 and 2023 in overseeing the development of the Company’s Enterprise Incident Response Plan. This plan is reviewed and updated on an annual basis.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Executive Director, Corporate Information Systems, along with our General Counsel, Information Technology management team, and Chief Operating Officer, oversees our approach to cybersecurity and is responsible for assessing and managing our material risks from cybersecurity threats. Our Executive Director, Corporate Information Systems, has served in this role for two years and has access to Vericel’s external information security firm and an industry-leading intelligence platform. This Executive Director manages and leads the internal Information Technology team to maintain and update the company’s technology infrastructure and corresponding safety measures.</w:t>
      </w:r>
    </w:p>
    <w:p>
      <w:pPr>
        <w:spacing w:after="0" w:line="22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Our Executive Director, Corporate Information Systems is informed about and monitors the prevention, detection, mitigation and remediation of cybersecurity incidents through the management of and participation in the cybersecurity risk management and strategy processes described above, including the operation of our Enterprise Incident Response Plan. Our General Counsel works closely with him and reports regularly to the Board and to the Audit Committee of the Board, covering the risks from cybersecurity threats.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4"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lease approximately 57,000 square feet in Cambridge, Massachusetts for manufacturing operations including clean rooms, laboratories and office space. This Cambridge lease expires in February 2032 and we have the right to extend until February 2037, subject to certain conditions being met. We lease approximately 14,000 square feet of additional office space in Cambridge, Massachusetts expiring in 2024 and we have the right to extend until 2029. We also lease approximately 6,000 square feet of office space in Ann Arbor, Michigan, which expires in April 2025. We believe that our facilities are adequate to meet our current needs. Additional facilities will be required to support expansion of our manufacturing operations and research and development activities. On January 28, 2022, we entered into a new lease for approximately 126,000 square feet of manufacturing, laboratory and office space in Burlington, Massachusetts, which is currently being constructed, and will serve as our new corporate headquarters and primary manufacturing facility. See Note 5, “Leases” in our accompanying consolidated financial statements for further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4"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We are currently not party to any material legal proceedings, although from time-to-time we may become involved in disputes in connection with the operation of our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7" w:name="page58"/>
    <w:bookmarkEnd w:id="5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Shareholder Matters and Issuer Purchase of Equity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common stock is currently trading on the NASDAQ Stock Market under the symbol “VCEL”.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January 31, 2024 there were approximately 170 holders of record of our common stock.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have never paid cash dividends on our common stock and we do not anticipate paying such cash dividends in the foreseeable future. We currently anticipate that we will retain all future earnings, if any, for use in the development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82"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The performance graph set forth below shall not be deemed “soliciting material” or to be “filed” with the SEC. This graph will not be deemed “incorporated by reference” into any filing under the Securities Act or the Exchange Act, whether such filing occurs before or after the date hereof, except to the extent that the Company explicitly incorporates it by reference into in such filing.</w:t>
      </w:r>
    </w:p>
    <w:p>
      <w:pPr>
        <w:spacing w:after="0" w:line="20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Set forth below is a line graph comparing the cumulative total shareholder return on Vericel’s common stock with the cumulative total return of (i) the NASDAQ Composite Index, and (ii) the NASDAQ Biotechnology Index, for the period from December 31, 2018 through December 31, 2023. The comparison assumes that a hypothetical $100 was invested on December 31, 2018 in our common stock and in both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146050</wp:posOffset>
            </wp:positionV>
            <wp:extent cx="5608955" cy="22028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0895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00"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11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12/31/18</w:t>
            </w:r>
          </w:p>
        </w:tc>
        <w:tc>
          <w:tcPr>
            <w:tcW w:w="140" w:type="dxa"/>
            <w:vAlign w:val="bottom"/>
          </w:tcPr>
          <w:p>
            <w:pPr>
              <w:spacing w:after="0"/>
              <w:rPr>
                <w:sz w:val="16"/>
                <w:szCs w:val="16"/>
                <w:color w:val="auto"/>
              </w:rPr>
            </w:pPr>
          </w:p>
        </w:tc>
        <w:tc>
          <w:tcPr>
            <w:tcW w:w="11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12/31/19</w:t>
            </w:r>
          </w:p>
        </w:tc>
        <w:tc>
          <w:tcPr>
            <w:tcW w:w="120" w:type="dxa"/>
            <w:vAlign w:val="bottom"/>
          </w:tcPr>
          <w:p>
            <w:pPr>
              <w:spacing w:after="0"/>
              <w:rPr>
                <w:sz w:val="16"/>
                <w:szCs w:val="16"/>
                <w:color w:val="auto"/>
              </w:rPr>
            </w:pPr>
          </w:p>
        </w:tc>
        <w:tc>
          <w:tcPr>
            <w:tcW w:w="11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140" w:type="dxa"/>
            <w:vAlign w:val="bottom"/>
          </w:tcPr>
          <w:p>
            <w:pPr>
              <w:spacing w:after="0"/>
              <w:rPr>
                <w:sz w:val="16"/>
                <w:szCs w:val="16"/>
                <w:color w:val="auto"/>
              </w:rPr>
            </w:pPr>
          </w:p>
        </w:tc>
        <w:tc>
          <w:tcPr>
            <w:tcW w:w="11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140" w:type="dxa"/>
            <w:vAlign w:val="bottom"/>
          </w:tcPr>
          <w:p>
            <w:pPr>
              <w:spacing w:after="0"/>
              <w:rPr>
                <w:sz w:val="16"/>
                <w:szCs w:val="16"/>
                <w:color w:val="auto"/>
              </w:rPr>
            </w:pPr>
          </w:p>
        </w:tc>
        <w:tc>
          <w:tcPr>
            <w:tcW w:w="11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120" w:type="dxa"/>
            <w:vAlign w:val="bottom"/>
          </w:tcPr>
          <w:p>
            <w:pPr>
              <w:spacing w:after="0"/>
              <w:rPr>
                <w:sz w:val="16"/>
                <w:szCs w:val="16"/>
                <w:color w:val="auto"/>
              </w:rPr>
            </w:pPr>
          </w:p>
        </w:tc>
        <w:tc>
          <w:tcPr>
            <w:tcW w:w="11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12/31/23</w:t>
            </w:r>
          </w:p>
        </w:tc>
      </w:tr>
      <w:tr>
        <w:trPr>
          <w:trHeight w:val="25"/>
        </w:trPr>
        <w:tc>
          <w:tcPr>
            <w:tcW w:w="36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Vericel Corporation (VCEL)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7"/>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 Index (^IXIC)</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Biotechnology Index (^NBI)</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bl>
    <w:p>
      <w:pPr>
        <w:spacing w:after="0" w:line="200" w:lineRule="exact"/>
        <w:rPr>
          <w:sz w:val="20"/>
          <w:szCs w:val="20"/>
          <w:color w:val="auto"/>
        </w:rPr>
      </w:pP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58" w:name="page59"/>
    <w:bookmarkEnd w:id="5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were no repurchases of shares of common stock made during the year ended December 31, 2023.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51"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During the three months ended December 31, 2023, the following Section 16 officers and directors adopted, modified or terminated a “Rule 10b5-1 trading arrangement” (as defined in Item 408 of Regulation S-K of the Exchange Act):</w:t>
      </w:r>
    </w:p>
    <w:p>
      <w:pPr>
        <w:spacing w:after="0" w:line="189" w:lineRule="exact"/>
        <w:rPr>
          <w:sz w:val="20"/>
          <w:szCs w:val="20"/>
          <w:color w:val="auto"/>
        </w:rPr>
      </w:pPr>
    </w:p>
    <w:p>
      <w:pPr>
        <w:ind w:left="240" w:hanging="233"/>
        <w:spacing w:after="0" w:line="277" w:lineRule="auto"/>
        <w:tabs>
          <w:tab w:leader="none" w:pos="2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15, 2023, Sean Flynn, Senior Vice President, General Counsel and Secretary, entered into a Rule 10b5-1 trading arrangement providing for the potential sale of up to 11,365 shares of our common stock between March 8, 2024, and November 29, 2024.</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There were no “non-Rule 10b5-1 trading arrangements” (as defined in Item 408 of Regulation S-K of the Exchange Act) adopted, modified or terminated during the fiscal quarter ended December 31, 2023 by our directors and section 16 officers. Each of the Rule 10b5-1 trading arrangements are in accordance with our Statement of Company Policy on Insider Trading and Disclosure and actual sale transactions made pursuant to such trading arrangements will be disclosed publicly in Section 16 filings with the SEC in accordance with applicable securities laws, rules and regulations.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59" w:name="page60"/>
    <w:bookmarkEnd w:id="5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1" w:lineRule="exact"/>
        <w:rPr>
          <w:sz w:val="20"/>
          <w:szCs w:val="20"/>
          <w:color w:val="auto"/>
        </w:rPr>
      </w:pPr>
    </w:p>
    <w:p>
      <w:pPr>
        <w:jc w:val="both"/>
        <w:ind w:firstLine="240"/>
        <w:spacing w:after="0" w:line="233" w:lineRule="auto"/>
        <w:rPr>
          <w:sz w:val="20"/>
          <w:szCs w:val="20"/>
          <w:color w:val="auto"/>
        </w:rPr>
      </w:pPr>
      <w:r>
        <w:rPr>
          <w:rFonts w:ascii="Times New Roman" w:cs="Times New Roman" w:eastAsia="Times New Roman" w:hAnsi="Times New Roman"/>
          <w:sz w:val="18"/>
          <w:szCs w:val="18"/>
          <w:color w:val="auto"/>
        </w:rPr>
        <w:t>Vericel Corporation is a fully-integrated, commercial-stage biopharmaceutical company and a leading provider of advanced therapies for the sports medicine and severe burn care markets. Whether we are treating damaged cartilage or severe burns, we provide advanced therapies to repair serious injuries and restore lives. Our highly differentiated portfolio of cell therapy and specialty biologic products combines innovations in biology with medical technologies. We were among the first companies to achieve commercial success in the complex field of cell therapies with treatments that use tissue engineering to regenerate skin and healthy knee cartilage. We currently market two U.S. Food and Drug Administration (“FDA”) approved autologous cell therapy products and one FDA-approved specialty biologic product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an autologous cellularized scaffold product indicated for the repair of symptomatic, single or multiple full-thickness cartilage defects of the knee with or without bone involvement in adults.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permanent skin replacement Humanitarian Use Device (“HUD”) for the treatment of adult and pediatric patients with deep-dermal or full-thickness burns comprising greater than or equal to 30 percent of total body surface area (“TBSA”). We also hold an exclusive license from MediWound Ltd. (“MediWound”) for North American rights to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(anacaulase-bcdb), a topically-administered biological orphan product containing proteolytic enzymes, which is indicated for the removal of eschar in adults with deep partial thickness and/or full thickness thermal burns. Following FDA approval, we began commercial sales of NexoBrid in the U.S. during the third quarter of 2023.</w:t>
      </w:r>
    </w:p>
    <w:p>
      <w:pPr>
        <w:spacing w:after="0" w:line="221"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8"/>
          <w:szCs w:val="18"/>
          <w:color w:val="auto"/>
        </w:rPr>
        <w:t>See “Risk Factors - “</w:t>
      </w:r>
      <w:r>
        <w:rPr>
          <w:rFonts w:ascii="Times New Roman" w:cs="Times New Roman" w:eastAsia="Times New Roman" w:hAnsi="Times New Roman"/>
          <w:sz w:val="18"/>
          <w:szCs w:val="18"/>
          <w:i w:val="1"/>
          <w:iCs w:val="1"/>
          <w:color w:val="auto"/>
        </w:rPr>
        <w:t>Our success depends, in part, on the commercial success of NexoBrid for the removal of eschar in adults with deep partial-thickness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and/or full-thickness thermal burns.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On May 11, 2023, the U.S. Department of Health and Human Services announced the expiration of the federal Public Health Emergency for COVID-19. At this juncture, the pandemic’s effects on our business and results of operations have largely moderated and we have seen a return to more normal operations. Should a resurgence of COVID-19 occur, or new virus variants emerge, it could result in additional disruptions that could impact our business and operations in the future, including U.S. hospital or surgical center staffing shortages, periodic cancellation or delay of elective MACI surgical procedures, intermittent restrictions on the ability of our personnel to travel and access customers for selling, marketing, training, case support and product development feedback, delays in approvals by regulatory bodies, delays in product development efforts, and additional government requirements or other incremental mitigation efforts that may further impact our capacity to manufacture, sell and support the use of our products.</w:t>
      </w:r>
    </w:p>
    <w:p>
      <w:pPr>
        <w:spacing w:after="0" w:line="213" w:lineRule="exact"/>
        <w:rPr>
          <w:sz w:val="20"/>
          <w:szCs w:val="20"/>
          <w:color w:val="auto"/>
        </w:rPr>
      </w:pPr>
    </w:p>
    <w:p>
      <w:pPr>
        <w:ind w:right="140" w:firstLine="240"/>
        <w:spacing w:after="0" w:line="277" w:lineRule="auto"/>
        <w:rPr>
          <w:sz w:val="20"/>
          <w:szCs w:val="20"/>
          <w:color w:val="auto"/>
        </w:rPr>
      </w:pPr>
      <w:r>
        <w:rPr>
          <w:rFonts w:ascii="Times New Roman" w:cs="Times New Roman" w:eastAsia="Times New Roman" w:hAnsi="Times New Roman"/>
          <w:sz w:val="18"/>
          <w:szCs w:val="18"/>
          <w:color w:val="auto"/>
        </w:rPr>
        <w:t>For a discussion of additional risks associated with the COVID-19 pandemic and other potential future public health emergencies, please see Part I, Item 1A. “Risk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 in Ukraine</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ongoing war between Russia and Ukraine and the related sanctions and other penalties imposed by countries across the globe against Russia are continuing to create substantial uncertainty in the global economy and have contributed to heightened inflation and supply chain disruptions. While we do not have operations in Russia or Ukraine and do not have exposure to distributors, or third-party service providers in Russia or Ukraine, we are unable to predict the ultimate impact that these actions will have on the global economy or on our financial condition, results of operations, and cash flows as of the date of these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 in Israel and Gaza</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 May 2019, the Company entered into exclusive license and supply agreements with MediWound, under which MediWound manufactures and supplies NexoBrid to the U.S. market on a unit price basis. MediWound develops and manufactures NexoBrid, in part, at its facilities in Yavne, Israel.</w:t>
      </w:r>
    </w:p>
    <w:p>
      <w:pPr>
        <w:spacing w:after="0" w:line="18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The Company continues to monitor the ongoing conflict in Israel and is in close communication with MediWound leadership. MediWound’s NexoBrid manufacturing operations are continuing and, as of the date of this disclosure, MediWound does not anticipate a disruption to its ongoing supply of commercial NexoBrid to the United States. To the extent the war between Israel and Hamas intensifies or expands to include additional countries or militant groups in the region and MediWound’s facilities in Israel are damaged or destroyed, travel to and from Israel is halted or inhibited, or significant key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0" w:name="page61"/>
    <w:bookmarkEnd w:id="6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MediWound operational personnel are called to military service, MediWound’s ability to continue to supply NexoBrid to the U.S. market could be disrupted.</w:t>
      </w:r>
    </w:p>
    <w:p>
      <w:pPr>
        <w:spacing w:after="0" w:line="2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a discussion of additional risks associated with the ongoing conflict in Israel, please see Part I, Item 1A. “Risk Factors”.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have a cell manufacturing facility in Cambridge, Massachusetts, which is used for U.S. manufacturing and distribution of MACI and Epicel. The manufacturing process for NexoBrid is conducted by MediWound, primarily at manufacturing locations in Israel. Certain raw materials utilized in NexoBrid’s manufacture, including the supply of the active ingredient bromelain, are obtained from Taiwan.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Our marketed products include two FDA-approved autologous cell therapies and one FDA-approved specialty biologic product. MACI is a third-generation autologous cellularized scaffold product indicated for the repair of symptomatic, single or multiple full-thickness cartilage defects of the knee with or without bone involvement in adults; and Epicel is a permanent skin replacement for the treatment of adult and pediatric patients with deep-dermal or full-thickness burns comprising greater than or equal to 30 percent TBSA. Both autologous cell therapy products are currently manufactured and marketed in the U.S. NexoBrid is a topically-administered biological orphan product containing proteolytic enzymes that is indicated for eschar removal in adults with deep partial-thickness and/or full-thickness burns. We hold exclusive license and supply agreements with MediWound to commercialize NexoBrid in North America. On December 28, 2022, the FDA approved a BLA for NexoBrid, granting a license for commercial use in the U.S. During the third quarter of 2023, the Company announced the U.S. commercial availability of NexoBrid and, subsequently, has commenced commercial sales of the product. The Company operates its business primarily in the U.S. in one reportable segment - the research, product development, manufacture and distribution of cellular therapies and specialty biologics for use in the treatment of specific conditions.</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MACI</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MACI is a third-generation autologous chondrocyte implantation (“ACI”) product indicated for the repair of symptomatic, single or multiple full-thickness cartilage defects of the knee with or without bone involvement in adults.</w:t>
      </w:r>
    </w:p>
    <w:p>
      <w:pPr>
        <w:spacing w:after="0" w:line="18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Our target audiences are orthopedic surgeons who self-identify and/or have formal specialty training in sports medicine, and a subpopulation of general orthopedic surgeons who perform a high volume of cartilage repair procedures involving the knee. Our MACI commercial team consists of individual sales representatives that regularly engage with our target audience. The team is divided into geographic regions, each managed by a Regional Manager and led by a Vice President of National MACI Sales. Most private payers have a medical policy that covers treatment with MACI with the top 30 largest commercial payers having a formal medical policy for MACI or ACI in general. With respect to private commercial payers that have not yet approved a medical policy for MACI, we often obtain approval on a case-by-case basis.</w:t>
      </w:r>
    </w:p>
    <w:p>
      <w:pPr>
        <w:spacing w:after="0" w:line="212"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color w:val="auto"/>
        </w:rPr>
        <w:t>MACI is currently implanted into the patient’s cartilage defect through an open surgical procedure. We are currently focused on the arthroscopic delivery of MACI to the cartilage defect – a procedure in which a surgeon can evaluate, prepare and treat the cartilage defect under direct arthroscopic visualization using specialized instruments delivered through a number of smaller incisions or portals. The arthroscopic delivery of MACI could increase the ease of MACI’s use for physicians and reduce both the length of the procedure as well as procedure-induced trauma, ultimately resulting in a reduction of a patient’s post-operative pain and accelerating a patient’s recovery. We have designed and are currently developing novel and specialized instruments to be used in and help facilitate such a procedure. We discussed with the FDA a non-clinical regulatory strategy to support the potential inclusion of arthroscopic delivery in MACI’s approved labeling. Specifically, following a Type C meeting with the FDA, we submitted a protocol for a MACI arthroscopic delivery human factors validation study, which we conducted and completed during the third quarter of 2023. The FDA is currently reviewing the data generated during the human factors validation study in the form of a prior approval supplement, which seeks to add instructions for arthroscopic delivery of MACI to the product’s approved labeling. We anticipate the commercial launch of the MACI arthroscopic delivery program during the third quarter of 2024.</w:t>
      </w:r>
    </w:p>
    <w:p>
      <w:pPr>
        <w:spacing w:after="0" w:line="200"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also are evaluating the feasibility and potential market opportunity involved in delivering MACI treatment to patients suffering from cartilage damage in the ankle. We believe that this potential lifecycle enhancement and indication expansion for MACI will require conducting an additional randomized clinical trial concerning the product’s use in the ankle and we are on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1" w:name="page62"/>
    <w:bookmarkEnd w:id="6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track to initiate a MACI Ankle clinical trial beginning in 2025, and if approved, we believe MACI’s expansion into the ankle will be a significant longer-term growth driver for the product, beginning in the latter half of the decade.</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Epicel</w:t>
      </w:r>
    </w:p>
    <w:p>
      <w:pPr>
        <w:spacing w:after="0" w:line="224"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Epicel is a permanent skin replacement for deep-dermal or full-thickness burns comprising greater than or equal to 30 percent TBSA. Epicel is regulated by CBER of the FDA under medical device authorities, and is the only FDA-approved cultured epidermal autograft product available for large total surface area burns. Epicel was designated as a HUD in 1998 and an HDE application for the product was submitted in 1999. HUDs are devices that are intended for diseases or conditions that affect fewer than 8,000 individuals annually in the U.S., and certain HUDs are restricted by the amount which a manufacturer may charge for its use.</w:t>
      </w:r>
    </w:p>
    <w:p>
      <w:pPr>
        <w:spacing w:after="0" w:line="212"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Epicel is not price-restricted in this manner because on February 18, 2016, the FDA approved our HDE supplement to revise the labeled indications of use for Epicel to specifically include pediatric patients, thus allowing Epicel to be sold for profit. The revised product label also now specifies that the probable benefit of Epicel, mainly related to survival, was demonstrated in two Epicel clinical experience databases and a physician-sponsored study comparing outcomes in patients with large burns treated with Epicel relative to standard care. Our burn care field force consists of individual sales and clinical representatives that regularly engage with our target audience. The team is divided into geographic regions, each managed by a Regional Manager and led by a Vice President of National Burn Care Sales.</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NexoBrid</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portfolio of commercial-stage products now includes NexoBrid (anacaulase-bcdb), a topically-administered biological product containing proteolytic enzymes. The FDA approved NexoBrid on December 28, 2022, and the product indicated for the removal of eschar in adults with deep partial-thickness and/or full thickness thermal burns. Following NexoBrid’s approval we immediately began cross-functional commercial launch activities for the product, including education, training, and engagement activities. We began U.S. commercial sales of NexoBrid in September 2023.</w:t>
      </w:r>
    </w:p>
    <w:p>
      <w:pPr>
        <w:spacing w:after="0" w:line="208"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NexoBrid is approved in the European Union (“EU”) and other international markets and has been designated as an orphan biologic in the U.S., EU and other international markets. NexoBrid has the potential to change the standard of care for eschar removal with respect to hospitalized burn patients and treat a significant addressable market in the U.S. With respect to NexoBrid, of the approximately 40,000 people that are hospitalized in the U.S. each year for burn-related injuries, the majority, over 30,000, have thermal burns and will likely require some level of eschar removal. NexoBrid’s FDA approval expands our burn care franchise’s total addressable market, which will permit us to treat a significantly larger segment of hospitalized burn patients than with Epicel alone. The expansion of our target addressable market supports a broader commercial footprint, and we believe that this may help drive both increased NexoBrid use as well as increased Epicel awareness throughout the burn care space. The commercial launch of NexoBrid is well underway.</w:t>
      </w:r>
    </w:p>
    <w:p>
      <w:pPr>
        <w:spacing w:after="0" w:line="21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In May 2019, we entered into exclusive license and supply agreements with MediWound to commercialize NexoBrid in North America. The manufacturing process for NexoBrid is conducted by MediWound, primarily at manufacturing locations in Israel. Certain raw materials utilized in NexoBrid’s manufacture, including the supply of the active ingredient bromelain are obtained from Taiwan.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2" w:name="page63"/>
    <w:bookmarkEnd w:id="6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consolidated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w w:val="98"/>
              </w:rPr>
              <w:t>2023 vs. 2022</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4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7"/>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197,516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164,365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156,184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33,151</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r>
        <w:trPr>
          <w:trHeight w:val="227"/>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61,940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20"/>
        </w:trPr>
        <w:tc>
          <w:tcPr>
            <w:tcW w:w="3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20"/>
        </w:trPr>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27"/>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20"/>
        </w:trPr>
        <w:tc>
          <w:tcPr>
            <w:tcW w:w="34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142,040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15,194</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20"/>
        </w:trPr>
        <w:tc>
          <w:tcPr>
            <w:tcW w:w="3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10,594</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20"/>
        </w:trPr>
        <w:tc>
          <w:tcPr>
            <w:tcW w:w="3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income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282.8 %</w:t>
            </w:r>
          </w:p>
        </w:tc>
        <w:tc>
          <w:tcPr>
            <w:tcW w:w="0" w:type="dxa"/>
            <w:vAlign w:val="bottom"/>
          </w:tcPr>
          <w:p>
            <w:pPr>
              <w:spacing w:after="0"/>
              <w:rPr>
                <w:sz w:val="1"/>
                <w:szCs w:val="1"/>
                <w:color w:val="auto"/>
              </w:rPr>
            </w:pPr>
          </w:p>
        </w:tc>
      </w:tr>
      <w:tr>
        <w:trPr>
          <w:trHeight w:val="227"/>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20"/>
        </w:trPr>
        <w:tc>
          <w:tcPr>
            <w:tcW w:w="3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13,527</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December 31, 2023 and 2022</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Revenue by product is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5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1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7"/>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MACI</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164,800</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131,967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111,554</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32,833</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0" w:type="dxa"/>
            <w:vAlign w:val="bottom"/>
          </w:tcPr>
          <w:p>
            <w:pPr>
              <w:spacing w:after="0"/>
              <w:rPr>
                <w:sz w:val="1"/>
                <w:szCs w:val="1"/>
                <w:color w:val="auto"/>
              </w:rPr>
            </w:pPr>
          </w:p>
        </w:tc>
      </w:tr>
      <w:tr>
        <w:trPr>
          <w:trHeight w:val="22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Epicel</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7"/>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0" w:type="dxa"/>
            <w:vAlign w:val="bottom"/>
          </w:tcPr>
          <w:p>
            <w:pPr>
              <w:spacing w:after="0"/>
              <w:rPr>
                <w:sz w:val="1"/>
                <w:szCs w:val="1"/>
                <w:color w:val="auto"/>
              </w:rPr>
            </w:pPr>
          </w:p>
        </w:tc>
      </w:tr>
      <w:tr>
        <w:trPr>
          <w:trHeight w:val="22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197,516</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164,365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156,184</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33,151</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Total revenue increase for the year ended December 31, 2023, compared to 2022, was driven primarily by MACI volume and price growth and the launch of NexoBrid after its commercial availability during the third quarter of 2023. In the years ended December 31, 2022 and 2021, NexoBrid revenue was associated with the delivery of NexoBrid to BARDA for emergency response preparedness.</w:t>
      </w:r>
    </w:p>
    <w:p>
      <w:pPr>
        <w:spacing w:after="0" w:line="20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As a result of the uncertainty and other impacts of the COVID-19 pandemic and the resulting shifts of timing in some revenue,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historically observable seasonality of MACI revenues has been impacted or obscured in 2022 and 2023 and potentially beyond. At this juncture, the pandemic’s effects on our business and results of operations have largely moderated, although there continues to be a level of uncertainty whether MACI seasonality will return to pre-pandemic patterns. In the last five years through 2023, MACI sales volumes from the first through the fourth quarter on average represented 20% (18%-22% range), 22% (16%-24% range), 23% (21%-26% range) and 35% (33%-38% range) respectively, of total annual volumes. Historically, MACI orders are normally stronger in the fourth quarter due to several factors including the satisfaction by patients of insurance deductible limits and the time of year patients prefer to start rehabilitation. Due to the low incidence and variable occurrence of severe burns, Epicel revenue has inherent variability from quarter-to-quarter and does not exhibit significant seasonality.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Gross profit increased for the year ended December 31, 2023, compared to the same period in 2022, driven by higher MACI volume and price growth.</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3" w:name="page64"/>
    <w:bookmarkEnd w:id="6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49" w:lineRule="exact"/>
        <w:rPr>
          <w:sz w:val="20"/>
          <w:szCs w:val="20"/>
          <w:color w:val="auto"/>
        </w:rPr>
      </w:pPr>
    </w:p>
    <w:p>
      <w:pPr>
        <w:jc w:val="both"/>
        <w:ind w:right="100"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summarizes research and development expenses, which include materials, professional fees and an allocation of employee-related salary and fringe benefit costs for our research and development projects:</w:t>
      </w:r>
    </w:p>
    <w:p>
      <w:pPr>
        <w:spacing w:after="0" w:line="223"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5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9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7"/>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MACI</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13,813</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Epicel</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7"/>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21,042</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16,287</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both"/>
        <w:ind w:right="100" w:firstLine="240"/>
        <w:spacing w:after="0" w:line="257"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2023 were $21.0 million, compared to $19.9 million for 2022. The increase is primarily due to $1.6 million of professional services largely related to the MACI arthroscopic development program costs in 2023, a $0.7 million increase in headcount and employee expenses and lower reimbursement of expenses from MediWound related to the NexoBrid BLA resubmission that occured in the first half of 2022. partially offset by lower stock compensation expense.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9" w:lineRule="exact"/>
        <w:rPr>
          <w:sz w:val="20"/>
          <w:szCs w:val="20"/>
          <w:color w:val="auto"/>
        </w:rPr>
      </w:pPr>
    </w:p>
    <w:p>
      <w:pPr>
        <w:jc w:val="both"/>
        <w:ind w:right="100" w:firstLine="240"/>
        <w:spacing w:after="0" w:line="257" w:lineRule="auto"/>
        <w:rPr>
          <w:sz w:val="20"/>
          <w:szCs w:val="20"/>
          <w:color w:val="auto"/>
        </w:rPr>
      </w:pPr>
      <w:r>
        <w:rPr>
          <w:rFonts w:ascii="Times New Roman" w:cs="Times New Roman" w:eastAsia="Times New Roman" w:hAnsi="Times New Roman"/>
          <w:sz w:val="18"/>
          <w:szCs w:val="18"/>
          <w:color w:val="auto"/>
        </w:rPr>
        <w:t>Selling, general and administrative expenses for the year ended December 31, 2023 were $121.0 million, compared to $106.9 million for 2022. The increase in selling, general and administrative expenses is primarily due to a $8.1 million increase in headcount and employee expenses, an increase of $3.3 million associated with the Burlington lease which commenced in June of 2023, and additional travel and in person events across the commercial organization, partially offset by lower stock compensation expense.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w:t>
      </w:r>
    </w:p>
    <w:p>
      <w:pPr>
        <w:spacing w:after="0" w:line="249" w:lineRule="exact"/>
        <w:rPr>
          <w:sz w:val="20"/>
          <w:szCs w:val="20"/>
          <w:color w:val="auto"/>
        </w:rPr>
      </w:pPr>
    </w:p>
    <w:p>
      <w:pPr>
        <w:jc w:val="both"/>
        <w:ind w:right="100" w:firstLine="240"/>
        <w:spacing w:after="0" w:line="277" w:lineRule="auto"/>
        <w:rPr>
          <w:sz w:val="20"/>
          <w:szCs w:val="20"/>
          <w:color w:val="auto"/>
        </w:rPr>
      </w:pPr>
      <w:r>
        <w:rPr>
          <w:rFonts w:ascii="Times New Roman" w:cs="Times New Roman" w:eastAsia="Times New Roman" w:hAnsi="Times New Roman"/>
          <w:sz w:val="18"/>
          <w:szCs w:val="18"/>
          <w:color w:val="auto"/>
        </w:rPr>
        <w:t>The change in total other income for the year ended December 31, 2023, was due primarily to fluctuations in the rates of return on our investments in various marketable debt securities partially offset by interest expense related to our Revolving Credit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49" w:lineRule="exact"/>
        <w:rPr>
          <w:sz w:val="20"/>
          <w:szCs w:val="20"/>
          <w:color w:val="auto"/>
        </w:rPr>
      </w:pPr>
    </w:p>
    <w:p>
      <w:pPr>
        <w:jc w:val="both"/>
        <w:ind w:right="100" w:firstLine="240"/>
        <w:spacing w:after="0" w:line="257" w:lineRule="auto"/>
        <w:rPr>
          <w:sz w:val="20"/>
          <w:szCs w:val="20"/>
          <w:color w:val="auto"/>
        </w:rPr>
      </w:pPr>
      <w:r>
        <w:rPr>
          <w:rFonts w:ascii="Times New Roman" w:cs="Times New Roman" w:eastAsia="Times New Roman" w:hAnsi="Times New Roman"/>
          <w:sz w:val="18"/>
          <w:szCs w:val="18"/>
          <w:color w:val="auto"/>
        </w:rPr>
        <w:t>For the years ended December 31, 2023 and December 31, 2022, we recorded $0.8 million and $0.7 million, respectively, of income tax expense as a result of state income taxes primarily due to the elimination of the option to deduct research and development expenditures immediately in the year incurred and instead amortize such expenditures over five years for tax purposes. We continue to maintain a full valuation allowance on all of our net deferred tax assets.</w:t>
      </w:r>
    </w:p>
    <w:p>
      <w:pPr>
        <w:spacing w:after="0" w:line="208" w:lineRule="exact"/>
        <w:rPr>
          <w:sz w:val="20"/>
          <w:szCs w:val="20"/>
          <w:color w:val="auto"/>
        </w:rPr>
      </w:pPr>
    </w:p>
    <w:p>
      <w:pPr>
        <w:jc w:val="both"/>
        <w:ind w:right="100" w:firstLine="240"/>
        <w:spacing w:after="0" w:line="262" w:lineRule="auto"/>
        <w:rPr>
          <w:sz w:val="20"/>
          <w:szCs w:val="20"/>
          <w:color w:val="auto"/>
        </w:rPr>
      </w:pPr>
      <w:r>
        <w:rPr>
          <w:rFonts w:ascii="Times New Roman" w:cs="Times New Roman" w:eastAsia="Times New Roman" w:hAnsi="Times New Roman"/>
          <w:sz w:val="18"/>
          <w:szCs w:val="18"/>
          <w:color w:val="auto"/>
        </w:rPr>
        <w:t>Beginning in 2022, the Tax Cuts and Jobs Act of 2017 eliminated the option to deduct research and development expenditures immediately in the year incurred and requires taxpayers to amortize such expenditures over five years for tax purposes. While the most significant impact of this provision is to the year ended December 31, 2022, the tax year in which the provision took effect, the impact will decline annually over the five-year amortization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Non-cash stock-based compensation expense is summarized in the following table: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w w:val="98"/>
              </w:rPr>
              <w:t>2023 vs. 2022</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13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440" w:type="dxa"/>
            <w:vAlign w:val="bottom"/>
            <w:gridSpan w:val="2"/>
            <w:vMerge w:val="continue"/>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120" w:type="dxa"/>
            <w:vAlign w:val="bottom"/>
            <w:tcBorders>
              <w:top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344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non-cash stock-based compensation</w:t>
            </w:r>
          </w:p>
        </w:tc>
        <w:tc>
          <w:tcPr>
            <w:tcW w:w="34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32,325</w:t>
            </w:r>
          </w:p>
        </w:tc>
        <w:tc>
          <w:tcPr>
            <w:tcW w:w="420" w:type="dxa"/>
            <w:vAlign w:val="bottom"/>
            <w:gridSpan w:val="2"/>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37,183</w:t>
            </w:r>
          </w:p>
        </w:tc>
        <w:tc>
          <w:tcPr>
            <w:tcW w:w="100" w:type="dxa"/>
            <w:vAlign w:val="bottom"/>
          </w:tcPr>
          <w:p>
            <w:pPr>
              <w:spacing w:after="0"/>
              <w:rPr>
                <w:sz w:val="13"/>
                <w:szCs w:val="13"/>
                <w:color w:val="auto"/>
              </w:rPr>
            </w:pPr>
          </w:p>
        </w:tc>
        <w:tc>
          <w:tcPr>
            <w:tcW w:w="340" w:type="dxa"/>
            <w:vAlign w:val="bottom"/>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34,322</w:t>
            </w:r>
          </w:p>
        </w:tc>
        <w:tc>
          <w:tcPr>
            <w:tcW w:w="100" w:type="dxa"/>
            <w:vAlign w:val="bottom"/>
          </w:tcPr>
          <w:p>
            <w:pPr>
              <w:spacing w:after="0"/>
              <w:rPr>
                <w:sz w:val="13"/>
                <w:szCs w:val="13"/>
                <w:color w:val="auto"/>
              </w:rPr>
            </w:pPr>
          </w:p>
        </w:tc>
        <w:tc>
          <w:tcPr>
            <w:tcW w:w="26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3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5"/>
        </w:trPr>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77" w:right="239" w:bottom="1440" w:gutter="0" w:footer="0" w:header="0"/>
        </w:sectPr>
      </w:pPr>
    </w:p>
    <w:bookmarkStart w:id="64" w:name="page65"/>
    <w:bookmarkEnd w:id="6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decrease in stock-based compensation expense for the year ended December 31, 2023, is due primarily to fluctuations in stock prices and the mix of service-based options and restricted stock units, which impacts the fair value of the options and restricted stock units awarded and the expense recognized in the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December 31, 2022 and 2021</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For a comparison of our results of operations for the fiscal years ended December 31, 2022 and December 31, 2021, see “Part II, Item 7. Management’s Discussion and Analysis of Financial Condition and Results of Operations” of our Annual Report on Form 10-K for the fiscal year ended December 31, 2022, filed with the SEC on February 23,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80"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7"/>
        </w:trPr>
        <w:tc>
          <w:tcPr>
            <w:tcW w:w="63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29,040</w:t>
            </w:r>
          </w:p>
        </w:tc>
      </w:tr>
      <w:tr>
        <w:trPr>
          <w:trHeight w:val="227"/>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investment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r>
      <w:tr>
        <w:trPr>
          <w:trHeight w:val="227"/>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w:t>
            </w:r>
          </w:p>
        </w:tc>
      </w:tr>
      <w:tr>
        <w:trPr>
          <w:trHeight w:val="220"/>
        </w:trPr>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35,799</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34,710</w:t>
            </w:r>
          </w:p>
        </w:tc>
      </w:tr>
      <w:tr>
        <w:trPr>
          <w:trHeight w:val="20"/>
        </w:trPr>
        <w:tc>
          <w:tcPr>
            <w:tcW w:w="6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For a discussion of our liquidity and capital resources related to our cash flow activities for the fiscal year ended December 31, 2021, see “Part II, Item 7.</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of our annual report on Form 10-K for the fiscal year ended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filed with the SEC on February 23, 2023.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4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Our cash, cash equivalents, and restricted cash totaled $86.9 million, short-term investments totaled $40.5 million and long-term investments totaled $25.3 million as of December 31, 2023. The $35.3 million of net cash provided by operations in 2023, was primarily the result of non-cash charges of $32.3 million related to stock compensation expense, $6.1 million in operating lease amortization and $4.6 million in depreciation and amortization expense, offset by a net loss of $3.2 million and a net decrease of $4.1 million related to movements in our working capital accounts. The overall decreases in cash from our working capital accounts were primarily driven by an increase in accounts receivable due to an increase in sales volume, offset by a decrease in inventory due to usage for production needs, an increase of accounts payable and accrued expenses due to timing of payments and receipts of tenant improvement allowances which exceeded payments on operating leases amortization.</w:t>
      </w:r>
    </w:p>
    <w:p>
      <w:pPr>
        <w:spacing w:after="0" w:line="213" w:lineRule="exact"/>
        <w:rPr>
          <w:sz w:val="20"/>
          <w:szCs w:val="20"/>
          <w:color w:val="auto"/>
        </w:rPr>
      </w:pPr>
    </w:p>
    <w:p>
      <w:pPr>
        <w:jc w:val="both"/>
        <w:ind w:firstLine="240"/>
        <w:spacing w:after="0" w:line="271" w:lineRule="auto"/>
        <w:rPr>
          <w:sz w:val="20"/>
          <w:szCs w:val="20"/>
          <w:color w:val="auto"/>
        </w:rPr>
      </w:pPr>
      <w:r>
        <w:rPr>
          <w:rFonts w:ascii="Times New Roman" w:cs="Times New Roman" w:eastAsia="Times New Roman" w:hAnsi="Times New Roman"/>
          <w:sz w:val="17"/>
          <w:szCs w:val="17"/>
          <w:color w:val="auto"/>
        </w:rPr>
        <w:t>Our cash, cash equivalents and restricted cash totaled $51.1 million, short-term investments totaled $68.5 million and long-term investments totaled $20.0 million as of December 31, 2022. The $17.7 million of net cash provided by operations in 2022, was primarily the result of non-cash charges of $37.2 million related to stock compensation expense, $4.2 million in operating lease amortization and $4.0 million in depreciation and amortization expense, offset by a net loss of $16.7 million and a net decrease of $11.2 million related to movements in our working capital accounts. The overall decreases in cash from our working capital accounts were primarily driven by an increase in accounts receivable due to an increase in sales volume, an increase in inventory due to increased production needs and payments on operating leases, offset by an increase of accounts payable and accrued expenses due to timing of payments.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2023 was the result of $55.2 million in investment purchases, a $7.5 million regulatory milestone payment to MediWound resulting from the FDA’s approval of the NexoBrid BLA, and $20.0 million of property and equipment purchases primarily for construction in process related to the Burlington Lease partially offset by $79.6 million of investment sales and maturities.</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2022 was the result of $69.6 million in investments purchases and $7.6 million of property and equipment purchases primarily for manufacturing upgrades, partially offset by $40.9 million of investment sales and maturities through December 31, 2022.</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5" w:name="page66"/>
    <w:bookmarkEnd w:id="65"/>
    <w:p>
      <w:pPr>
        <w:ind w:left="1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49" w:lineRule="exact"/>
        <w:rPr>
          <w:sz w:val="20"/>
          <w:szCs w:val="20"/>
          <w:color w:val="auto"/>
        </w:rPr>
      </w:pPr>
    </w:p>
    <w:p>
      <w:pPr>
        <w:jc w:val="both"/>
        <w:ind w:left="80" w:firstLine="240"/>
        <w:spacing w:after="0" w:line="262"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2023 was the result of net proceeds from the exercise of stock options and the employee stock purchase plan of $6.0 million, partially offset by the payment of employee withholding taxes related to the vesting of restricted stock units of $2.3 million.</w:t>
      </w:r>
    </w:p>
    <w:p>
      <w:pPr>
        <w:spacing w:after="0" w:line="203" w:lineRule="exact"/>
        <w:rPr>
          <w:sz w:val="20"/>
          <w:szCs w:val="20"/>
          <w:color w:val="auto"/>
        </w:rPr>
      </w:pPr>
    </w:p>
    <w:p>
      <w:pPr>
        <w:jc w:val="both"/>
        <w:ind w:left="80" w:firstLine="240"/>
        <w:spacing w:after="0" w:line="262"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2021 was the result of net proceeds from the exercise of stock options and the employee stock purchase plan of $3.7 million, partially offset by the payment of employee withholding taxes related to the vesting of restricted stock units of $1.5 million and payments of debt issuance costs of $1.1 million.</w:t>
      </w:r>
    </w:p>
    <w:p>
      <w:pPr>
        <w:spacing w:after="0" w:line="1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37" w:lineRule="exact"/>
        <w:rPr>
          <w:sz w:val="20"/>
          <w:szCs w:val="20"/>
          <w:color w:val="auto"/>
        </w:rPr>
      </w:pPr>
    </w:p>
    <w:p>
      <w:pPr>
        <w:jc w:val="both"/>
        <w:ind w:left="80" w:firstLine="240"/>
        <w:spacing w:after="0" w:line="247" w:lineRule="auto"/>
        <w:rPr>
          <w:sz w:val="20"/>
          <w:szCs w:val="20"/>
          <w:color w:val="auto"/>
        </w:rPr>
      </w:pPr>
      <w:r>
        <w:rPr>
          <w:rFonts w:ascii="Times New Roman" w:cs="Times New Roman" w:eastAsia="Times New Roman" w:hAnsi="Times New Roman"/>
          <w:sz w:val="18"/>
          <w:szCs w:val="18"/>
          <w:color w:val="auto"/>
        </w:rPr>
        <w:t>Since our acquisition of MACI and Epicel in 2014, our primary focus has been to invest in our existing commercial business with the goal of growing revenue. We have raised significant funds in order to advance and complete our product development and product life-cycle management programs and to market and commercialize our products, including NexoBrid. To date, we have financed our operations primarily through cash received through MACI, Epicel and NexoBrid sales, debt, and public and private sales of our equity securities. We generated $35.3 million in operating cash flows during 2023 and we may finance our operations through the sales of equity securities, revolver borrowings or other debt financings.</w:t>
      </w:r>
    </w:p>
    <w:p>
      <w:pPr>
        <w:spacing w:after="0" w:line="202" w:lineRule="exact"/>
        <w:rPr>
          <w:sz w:val="20"/>
          <w:szCs w:val="20"/>
          <w:color w:val="auto"/>
        </w:rPr>
      </w:pPr>
    </w:p>
    <w:p>
      <w:pPr>
        <w:jc w:val="both"/>
        <w:ind w:left="80" w:firstLine="240"/>
        <w:spacing w:after="0" w:line="252" w:lineRule="auto"/>
        <w:rPr>
          <w:sz w:val="20"/>
          <w:szCs w:val="20"/>
          <w:color w:val="auto"/>
        </w:rPr>
      </w:pPr>
      <w:r>
        <w:rPr>
          <w:rFonts w:ascii="Times New Roman" w:cs="Times New Roman" w:eastAsia="Times New Roman" w:hAnsi="Times New Roman"/>
          <w:sz w:val="18"/>
          <w:szCs w:val="18"/>
          <w:color w:val="auto"/>
        </w:rPr>
        <w:t>We believe that our current cash on hand, cash equivalents, investments, and available borrowing capacity will be sufficient to support our current operations through at least 12 months from the issuance of the consolidated financial statements included in this Annual Report on Form 10-K. Although the effects of the COVID-19 pandemic have largely moderated in recent months, our business and operations may be adversely affected in the future if conditions were to worsen. Our actual cash requirements may differ from projections and will depend on many factors, including the level and pace of future research and development efforts, the scope and results of ongoing and potential clinical trials, the costs involved in filing, prosecuting and enforcing patents, the need for additional manufacturing capacity, competing technological and market developments, global macroeconomic conditions, costs associated with possible acquisitions or development of complementary business activities, and the cost to market our products.</w:t>
      </w:r>
    </w:p>
    <w:p>
      <w:pPr>
        <w:spacing w:after="0" w:line="2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w:t>
      </w:r>
    </w:p>
    <w:p>
      <w:pPr>
        <w:spacing w:after="0" w:line="251" w:lineRule="exact"/>
        <w:rPr>
          <w:sz w:val="20"/>
          <w:szCs w:val="20"/>
          <w:color w:val="auto"/>
        </w:rPr>
      </w:pPr>
    </w:p>
    <w:p>
      <w:pPr>
        <w:jc w:val="both"/>
        <w:ind w:left="80" w:firstLine="240"/>
        <w:spacing w:after="0" w:line="253" w:lineRule="auto"/>
        <w:rPr>
          <w:sz w:val="20"/>
          <w:szCs w:val="20"/>
          <w:color w:val="auto"/>
        </w:rPr>
      </w:pPr>
      <w:r>
        <w:rPr>
          <w:rFonts w:ascii="Times New Roman" w:cs="Times New Roman" w:eastAsia="Times New Roman" w:hAnsi="Times New Roman"/>
          <w:sz w:val="18"/>
          <w:szCs w:val="18"/>
          <w:color w:val="auto"/>
        </w:rPr>
        <w:t>On August 27, 2021, we entered into a Sales Agreement with Leerink Partners (f/k/a SVB Leerink LLC), as sales agent, pursuant to which we may offer and sell up to $200.0 million of shares of our common stock, no par value per share (“ATM Shares”). The ATM Shares to be offered and sold under the Sales Agreement will be issued and sold pursuant to an automatically effective shelf registration statement on Form S-3ASR (File No. 333-259119) filed by us on August 27, 2021, which expires three years from the filing date. We also filed a prospectus supplement relating to the offering and sale of the ATM Shares on August 27, 2021. We are not obligated to make any sales of ATM Shares, and Leerink Partners is not required to sell any specific number or dollar amount of the ATM Shares under the Sales Agreement. As of December 31, 2023, we have sold no shares pursuant to the Sales Agreement.</w:t>
      </w:r>
    </w:p>
    <w:p>
      <w:pPr>
        <w:spacing w:after="0" w:line="212" w:lineRule="exact"/>
        <w:rPr>
          <w:sz w:val="20"/>
          <w:szCs w:val="20"/>
          <w:color w:val="auto"/>
        </w:rPr>
      </w:pPr>
    </w:p>
    <w:p>
      <w:pPr>
        <w:jc w:val="both"/>
        <w:ind w:left="80" w:firstLine="240"/>
        <w:spacing w:after="0" w:line="254" w:lineRule="auto"/>
        <w:rPr>
          <w:sz w:val="20"/>
          <w:szCs w:val="20"/>
          <w:color w:val="auto"/>
        </w:rPr>
      </w:pPr>
      <w:r>
        <w:rPr>
          <w:rFonts w:ascii="Times New Roman" w:cs="Times New Roman" w:eastAsia="Times New Roman" w:hAnsi="Times New Roman"/>
          <w:sz w:val="18"/>
          <w:szCs w:val="18"/>
          <w:color w:val="222222"/>
        </w:rPr>
        <w:t xml:space="preserve">On July 29, 2022, we entered into a $150.0 million five-year senior secured revolving credit agreement by and among the Company, the other loan parties thereto, the lenders party thereto, and JPMorgan Chase Bank, N.A., as the administrative agent (the “Revolving Credit Agreement”). We have no immediate plans to borrow under the Revolving Credit Agreement, but we may use the facility for working capital needs and other general corporate purposes. As of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22222"/>
        </w:rPr>
        <w:t>, there are no outstanding borrowings under the Revolving Credit Agreement, and we are in compliance with all applicable covenant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requirements. See Note 8, “Revolving Credit Agreement” in the accompanying consolidated financial statements for further details.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1" w:lineRule="exact"/>
        <w:rPr>
          <w:sz w:val="20"/>
          <w:szCs w:val="20"/>
          <w:color w:val="auto"/>
        </w:rPr>
      </w:pPr>
    </w:p>
    <w:p>
      <w:pPr>
        <w:jc w:val="both"/>
        <w:ind w:left="80" w:firstLine="240"/>
        <w:spacing w:after="0" w:line="257" w:lineRule="auto"/>
        <w:rPr>
          <w:sz w:val="20"/>
          <w:szCs w:val="20"/>
          <w:color w:val="auto"/>
        </w:rPr>
      </w:pPr>
      <w:r>
        <w:rPr>
          <w:rFonts w:ascii="Times New Roman" w:cs="Times New Roman" w:eastAsia="Times New Roman" w:hAnsi="Times New Roman"/>
          <w:sz w:val="18"/>
          <w:szCs w:val="18"/>
          <w:color w:val="auto"/>
        </w:rPr>
        <w:t>We lease facilities in Ann Arbor, Michigan, Cambridge, Massachusetts and Burlington, Massachusetts. The Cambridge facilities include clean rooms, laboratories for MACI and Epicel manufacturing and office space. We also pay for use of two offsite warehouse spaces and lease computer equipment. Total remaining obligations related to operating leases are $157.1 million, with $20.7 million of tenant improvement allowances allowed for, as of December 31, 2023.</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71120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240" w:top="177" w:right="339" w:bottom="1440" w:gutter="0" w:footer="0" w:header="0"/>
        </w:sectPr>
      </w:pPr>
    </w:p>
    <w:bookmarkStart w:id="66" w:name="page67"/>
    <w:bookmarkEnd w:id="6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7"/>
          <w:szCs w:val="17"/>
          <w:color w:val="auto"/>
        </w:rPr>
        <w:t>In April 2023, in connection with the Burlington Lease, we entered into a construction escrow agreement (the “Construction Escrow Agreement”) with the facility’s landlord and an escrow agent. Pursuant to the terms of the Construction Escrow Agreement, in April 2023 we began funding into an escrow account maintained by the escrow agent a portion of our share of tenant improvement construction costs at the facility, which will be designated as restricted cash. At the same time, the facility’s landlord began funding a portion of its tenant improvement allowance through a separate escrow account. To date, we have transferred into our escrow account 50% of our required cost amount, or approximately $28.3 million. We anticipate funding the remaining 50% of our required cost amount in early 2024. Additionally, and in order to support the expansion of our autologous cell manufacturing operations at the new facility in Burlington, we plan to invest in the acquisition and installation of certain specialized manufacturing and laboratory equipment.</w:t>
      </w:r>
    </w:p>
    <w:p>
      <w:pPr>
        <w:spacing w:after="0" w:line="20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July 1, 2023, we renewed our long-term supply agreement with Matricel for the supply of ACI-Maix collagen membranes used in the manufacture of MACI. Under the terms of the Matricel Supply Agreement, we have committed to annual minimum purchase values totaling approximately €12.5 million over the eight-year term.</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total purchase commitments consist of minimum purchase amounts of raw materials and finished goods used in our cell manufacturing process to manufacture our marketed cell therapy products and total $19.3 million as of December 31, 2023, as well as usage of offsite warehouse space. The total remaining contractual obligations related to the warehouse agreement are $3.8 million as of December 31, 2023. See Note 15, “Commitments and Contingencies” in our accompanying consolidated financial statements for further information.</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material effect on our financial condition.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accordance with U.S. generally accepted accounting principles (“GAAP”) requires management to make estimates and assumptions that could materially impact the consolidated financial statements and disclosures based on varying assumptions. We believe our estimates and assumptions are reasonable; however, actual results and the timing of the recognition of such amounts could differ from these estimates.</w:t>
      </w:r>
    </w:p>
    <w:p>
      <w:pPr>
        <w:spacing w:after="0" w:line="20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is a list of accounting policies that are most significant to the portrayal of our financial condition and results of operations and/or that require management’s most difficult, subjective or complex judgments.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Net Product Sales</w:t>
      </w:r>
    </w:p>
    <w:p>
      <w:pPr>
        <w:spacing w:after="0" w:line="249"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 xml:space="preserve">Revenue from sales to a customer is recognized in accordance with ASC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We recognize product revenue from sales to a customer following the five-step model in ASC 606: (i) identify contract(s) with a customer; (ii) identify the performance obligations in the contract; (iii) determine the transaction price; (iv) allocate the transaction price to the performance obligations in the contract; and (v) recognize revenues when (or as) we satisfy the performance obligation. Under this revenue standard, we recognize revenue when our customer obtains control of the promised goods, in an amount that reflects the consideration which we expect to receive in exchange for those goods.</w:t>
      </w:r>
    </w:p>
    <w:p>
      <w:pPr>
        <w:spacing w:after="0" w:line="2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MACI Implants</w:t>
      </w:r>
    </w:p>
    <w:p>
      <w:pPr>
        <w:spacing w:after="0" w:line="24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We contract with two specialty pharmacies, Orsini Pharmaceutical Services, Inc. (“Orsini”) and AllCare Plus Pharmacy, Inc. (“AllCare”) to distribute MACI in a manner in which we retain the credit and collection risk from the end customer. We pay each specialty pharmacy a fee in each instance when it dispenses MACI for use in treating a patient. Both Orsini and AllCare perform collection activities to collect payment from customers. In addition, we sell MACI directly to hospitals pursuant to an agreed upon purchase order and to a distributor, DMS Pharmaceutical Group, Inc. (“DMS”) at a contracted rate for the treatment of patients at military facilities throughout the U.S. We engage a third party to provide services in connection with a patient support program to manage patient cases and to ensure that complete and correct billing information is provided to the insurers and hospitals.</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Prior authorization and confirmation of coverage level by the patient’s private insurance plan, hospital or government payer is a prerequisite to the shipment of product to a patient. We recognize product revenue from sales of all MACI implants upon delivery at which time the customer obtains control of the implant and the claim is billable. The total consideration which we expect to collect in exchange for MACI implants (the “Transaction Price”) may be fixed or variable. Direct sales to hospitals or distributors are recorded at a contracted price, and there are typically no forms of variable consideration.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7" w:name="page68"/>
    <w:bookmarkEnd w:id="6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When we sell MACI through its specialty pharmacies, we are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our contractual arrangements. We estimate expected collections for these transactions using the portfolio approach. We record a reduction to revenue at the time of sale for the estimate of the amount of consideration that will not be collected. In addition, potential credit risk exposure has been evaluated for our accounts receivable in accordance with ASC 326</w:t>
      </w:r>
      <w:r>
        <w:rPr>
          <w:rFonts w:ascii="Times New Roman" w:cs="Times New Roman" w:eastAsia="Times New Roman" w:hAnsi="Times New Roman"/>
          <w:sz w:val="18"/>
          <w:szCs w:val="18"/>
          <w:i w:val="1"/>
          <w:iCs w:val="1"/>
          <w:color w:val="auto"/>
        </w:rPr>
        <w:t>, Financial Instruments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We assess risk and determine a loss percentage by pooling accounts receivable based on similar risk characteristics. The loss percentage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calculated through the use of forecasts that are based on current and historical economic and financial information.</w:t>
      </w:r>
    </w:p>
    <w:p>
      <w:pPr>
        <w:spacing w:after="0" w:line="21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Changes in estimates of the Transaction Price are recorded through revenue in the period in which such change occurs and relate primarily to changes in the initial expected reimbursement or collection expectation upon completion of the billing claims process for MACI implants that occurred in a prior period. A 50 basis points change to the estimated uncollectible percentage could result in approximately $0.4 million decrease or increase in the revenue recognized for the year ended December 31,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4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 xml:space="preserve">We determine if an arrangement is a lease at inception,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All operating lease commitments with a lease term greater than 12 months are recognized as right-of-use (“ROU”) assets and liabilities, on a discounted basis on the balance sheet. Leases with an initial term of 12 months or less are not recorded on the balance sheet. We primarily enter into lease agreements for manufacturing and office space, warehouses space, and other computer-related equipment. The leases have varying terms, some of which may include options to extend. Certain of our lease agreements include lease payments that are adjusted periodically for an index or rate. The leases are initially measured using the present value of the projected payments adjusted for the index or rate in effect at the commencement date. Our lease agreements do not contain any material residual value guarantees or material restrictive covenants.</w:t>
      </w:r>
    </w:p>
    <w:p>
      <w:pPr>
        <w:spacing w:after="0" w:line="21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ROU assets represent our right to control the use of an explicitly or implicitly identified fixed asset for a period of time and lease liabilities represent our obligation to make lease payments arising from the lease. Control of an underlying asset is conveyed to us if we obtain the rights to direct the use of and to obtain substantially all of the economic benefits from using the underlying asset.</w:t>
      </w:r>
    </w:p>
    <w:p>
      <w:pPr>
        <w:spacing w:after="0" w:line="203" w:lineRule="exact"/>
        <w:rPr>
          <w:sz w:val="20"/>
          <w:szCs w:val="20"/>
          <w:color w:val="auto"/>
        </w:rPr>
      </w:pPr>
    </w:p>
    <w:p>
      <w:pPr>
        <w:jc w:val="both"/>
        <w:ind w:right="20" w:firstLine="240"/>
        <w:spacing w:after="0" w:line="262" w:lineRule="auto"/>
        <w:rPr>
          <w:sz w:val="20"/>
          <w:szCs w:val="20"/>
          <w:color w:val="auto"/>
        </w:rPr>
      </w:pPr>
      <w:r>
        <w:rPr>
          <w:rFonts w:ascii="Times New Roman" w:cs="Times New Roman" w:eastAsia="Times New Roman" w:hAnsi="Times New Roman"/>
          <w:sz w:val="18"/>
          <w:szCs w:val="18"/>
          <w:color w:val="auto"/>
        </w:rPr>
        <w:t>Lease payments included in the measurement of the lease liability are comprised of fixed payments. Our leases contain non-lease components and activities that do not transfer a good or service to us which were not considered to be components of the contract and therefore were not included in the net ROU assets or lease liabilities.</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lease term for all of our leases include the non-cancellable period of the lease plus any additional periods covered by either an option to extend (or not to terminate) the lease that is reasonably certain to exercise, or an option to extend (or not to terminate) the lease controlled by the lessor.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accounting for stock-based compensation requires us to determine the fair value of common stock issued in the form of stock option awards and restricted stock units. The fair value of restricted stock units held by employees and non-employee directors is determined based on the fair value of our common stock on the date of the grant. We use the value of our common stock at the date of the grant in the calculation of the fair value of our share-based awards. The fair value of stock options held by our employees and non-employee directors is determined using a Black-Scholes option valuation method, which is a valuation technique that is acceptable for share-based payment accounting. Key assumptions in determining fair value include volatility, risk-free interest rate, dividend yield and expected term. The assumptions used in calculating the fair value of stock options represent our best estimates; however, these estimates involve inherent uncertainties and the application of management’s judgment. As a result, if factors change and different assumptions are used, the stock-based compensation expense could be materially different in the future. In addition, we estimate the expected forfeiture rate and only recognize expense for those stock options expected to vest over the service period. We estimate the forfeiture rate considering the historical experience of our stock-based awards. If the actual forfeiture rate is different from the estimate, we adjust the expense accordingly. We record the expense for stock options and restricted stock units using a graded-vesting attribution method.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8" w:name="page69"/>
    <w:bookmarkEnd w:id="6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Valuation Allowance</w:t>
      </w:r>
    </w:p>
    <w:p>
      <w:pPr>
        <w:spacing w:after="0" w:line="237"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A valuation allowance is recorded if it is more likely than not that a deferred tax asset will not be realized based on the weight of available evidence, both positive and negative. Due to our three-year cumulative loss position and history of operating losses, a full valuation allowance against our net deferred tax assets was considered necessary. We will continue to monitor our cumulative loss position and forecasts and reevaluate the need for a valuation allowance as it could be reversed in future periods.</w:t>
      </w:r>
    </w:p>
    <w:p>
      <w:pPr>
        <w:spacing w:after="0" w:line="20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This summary of significant accounting policies should be read in conjunction with our consolidated financial statements and related notes and this discussion of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1" w:lineRule="exact"/>
        <w:rPr>
          <w:sz w:val="20"/>
          <w:szCs w:val="20"/>
          <w:color w:val="auto"/>
        </w:rPr>
      </w:pPr>
    </w:p>
    <w:p>
      <w:pPr>
        <w:ind w:right="520" w:firstLine="240"/>
        <w:spacing w:after="0" w:line="307" w:lineRule="auto"/>
        <w:rPr>
          <w:sz w:val="20"/>
          <w:szCs w:val="20"/>
          <w:color w:val="auto"/>
        </w:rPr>
      </w:pPr>
      <w:r>
        <w:rPr>
          <w:rFonts w:ascii="Times New Roman" w:cs="Times New Roman" w:eastAsia="Times New Roman" w:hAnsi="Times New Roman"/>
          <w:sz w:val="17"/>
          <w:szCs w:val="17"/>
          <w:color w:val="auto"/>
        </w:rPr>
        <w:t>Refer to Note 2, “Summary of Significant Accounting Policies” in the accompanying consolidated financial statements located under Item 8 of this Annual Report on Form 10-K for information regarding recently issued accounting standards that may have a significant impact on our business.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As of December 31, 2023, we held marketable debt securities, which are classified as available-for-sale and carried at fair value in the accompanying consolidated balance sheet included in this Form 10-K. The fair value of our cash equivalents and marketable securities is subject to changes in market interest rates. Our earnings and cash flows are subject to fluctuations due to changes in interest rates, principally in connection with our investments in marketable debt securities. We believe that probable near-term changes in interest rates would not materially affect our financial condition, results of operations or cash flows. We do not currently use interest rate derivative instruments or hedging transactions to manage exposure to interest rate changes of our investments. We estimate that a 100 basis point, or 1%, unfavorable change in interest rates would have resulted in approximately a $0.5 million decrease in the fair value of our investment portfolio as of December 31, 2023.</w:t>
      </w:r>
    </w:p>
    <w:p>
      <w:pPr>
        <w:spacing w:after="0" w:line="213"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We are also subject to interest rate risks in connection with our Revolving Credit Agreement, which is variable rate indebtedness. As of December 31, 2023, there were no borrowings outstanding under the Revolving Credit Agreement. To the extent that we have outstanding borrowings under the Revolving Credit Agreement, we may increase our exposure to risk from interest rate fluctuations which may have a negative impact on our earnings and cash flows.</w:t>
      </w:r>
    </w:p>
    <w:p>
      <w:pPr>
        <w:spacing w:after="0" w:line="171"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8"/>
          <w:szCs w:val="18"/>
          <w:color w:val="auto"/>
        </w:rPr>
        <w:t>We have evaluated the potential credit risk exposure for our accounts receivable and available-for sale investment securities in accordance with ASC 326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See Note 3 and Note 6 in the accompanying consolidated financial statements located under Item 8 of this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10-K for further discussion.</w:t>
      </w:r>
    </w:p>
    <w:p>
      <w:pPr>
        <w:spacing w:after="0" w:line="19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operate in the U.S. only. We are primarily exposed to foreign exchange risk with respect to recognized assets and liabilities due to vendors in countries outside the U.S., which are typically paid in Euros. We do not enter into hedging transactions and do not purchase derivative instruments.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69" w:name="page70"/>
    <w:bookmarkEnd w:id="6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Consolidated Financial Statements and Supplementary Data</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2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10200" w:type="dxa"/>
            <w:vAlign w:val="bottom"/>
            <w:gridSpan w:val="7"/>
            <w:vMerge w:val="restart"/>
          </w:tcPr>
          <w:p>
            <w:pPr>
              <w:spacing w:after="0" w:line="19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E32E1"/>
              </w:rPr>
              <w:t>238</w:t>
            </w:r>
            <w:r>
              <w:rPr>
                <w:rFonts w:ascii="Times New Roman" w:cs="Times New Roman" w:eastAsia="Times New Roman" w:hAnsi="Times New Roman"/>
                <w:sz w:val="18"/>
                <w:szCs w:val="18"/>
                <w:u w:val="single" w:color="auto"/>
                <w:color w:val="0000FF"/>
              </w:rPr>
              <w:t>)</w:t>
            </w: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0200" w:type="dxa"/>
            <w:vAlign w:val="bottom"/>
            <w:gridSpan w:val="7"/>
            <w:vMerge w:val="continue"/>
          </w:tcPr>
          <w:p>
            <w:pPr>
              <w:spacing w:after="0"/>
              <w:rPr>
                <w:sz w:val="14"/>
                <w:szCs w:val="14"/>
                <w:color w:val="auto"/>
              </w:rPr>
            </w:pPr>
          </w:p>
        </w:tc>
        <w:tc>
          <w:tcPr>
            <w:tcW w:w="98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7"/>
                <w:szCs w:val="17"/>
                <w:color w:val="0000FF"/>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6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700" w:type="dxa"/>
            <w:vAlign w:val="bottom"/>
            <w:tcBorders>
              <w:left w:val="single" w:sz="8" w:color="0000FF"/>
            </w:tcBorders>
            <w:gridSpan w:val="2"/>
            <w:shd w:val="clear" w:color="auto" w:fill="0000FF"/>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0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Consolidated Statements of Shareholders’ Equity</w:t>
            </w:r>
          </w:p>
        </w:tc>
        <w:tc>
          <w:tcPr>
            <w:tcW w:w="6700" w:type="dxa"/>
            <w:vAlign w:val="bottom"/>
            <w:gridSpan w:val="2"/>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660" w:type="dxa"/>
            <w:vAlign w:val="bottom"/>
            <w:gridSpan w:val="2"/>
          </w:tcPr>
          <w:p>
            <w:pPr>
              <w:spacing w:after="0"/>
              <w:rPr>
                <w:sz w:val="17"/>
                <w:szCs w:val="17"/>
                <w:color w:val="auto"/>
              </w:rPr>
            </w:pPr>
          </w:p>
        </w:tc>
        <w:tc>
          <w:tcPr>
            <w:tcW w:w="6700" w:type="dxa"/>
            <w:vAlign w:val="bottom"/>
            <w:gridSpan w:val="2"/>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1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Notes to Consolidated Financial Statements</w:t>
            </w:r>
          </w:p>
        </w:tc>
        <w:tc>
          <w:tcPr>
            <w:tcW w:w="7080" w:type="dxa"/>
            <w:vAlign w:val="bottom"/>
            <w:gridSpan w:val="3"/>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77" w:right="359" w:bottom="1440" w:gutter="0" w:footer="0" w:header="0"/>
        </w:sectPr>
      </w:pPr>
    </w:p>
    <w:bookmarkStart w:id="70" w:name="page71"/>
    <w:bookmarkEnd w:id="7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Vericel Corporation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3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Vericel Corporation and its subsidiaries (the “Company”) as of December 31, 2023 and 2022, and the related consolidated statements of operations, of comprehensive loss, of shareholders'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210"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3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5"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71" w:name="page72"/>
    <w:bookmarkEnd w:id="7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37"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Allowances Related to MACI Sales Subject to Third Party Reimbursement</w:t>
      </w:r>
    </w:p>
    <w:p>
      <w:pPr>
        <w:spacing w:after="0" w:line="23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when the Company sells MACI to patients, the Company is typically reimbursed by a third-party insurer or government payer, subject to a patient co-pay amount. The Company records a reduction of revenue at the time of sale for its estimate of the amount of consideration that will not be collected.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As of December 31, 2023, the allowance for uncollectible consideration was $5.6 million.</w:t>
      </w:r>
    </w:p>
    <w:p>
      <w:pPr>
        <w:spacing w:after="0" w:line="21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contractual allowances related to MACI sales subject to third party reimbursement is a critical audit matter are (i) the significant judgment by management when developing the estimates of contractual allowances and (ii) a high degree of auditor judgment, subjectivity and effort in performing procedures related to historical collection experience from the payer.</w:t>
      </w:r>
    </w:p>
    <w:p>
      <w:pPr>
        <w:spacing w:after="0" w:line="20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revenue recognition, including controls relating to MACI sales subject to third party reimbursement, as well as the assumptions used to estimate the contractual allowance. These procedures also included, among others, (i) testing management’s process for developing the estimates of contractual allowances; (ii) evaluating the appropriateness of the methodology used by management; (iii) testing the completeness and accuracy of underlying data; and (iv) evaluating the reasonableness of the significant assumptions used by management related to historical collection experience from the payer by testing, on a sample basis, historical collection data, current contracted rates, publicly available rates or government fee schedules.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13"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We have served as the Company’s auditor since at least 1996, which is when the Company became subject to SEC reporting requirements. We have not been able to determine the specific year we began serving as auditor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77" w:right="379" w:bottom="1440" w:gutter="0" w:footer="0" w:header="0"/>
        </w:sectPr>
      </w:pPr>
    </w:p>
    <w:bookmarkStart w:id="72" w:name="page73"/>
    <w:bookmarkEnd w:id="7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51,067</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68,471</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$43 and $47, respectively)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46,539</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15,986</w:t>
            </w:r>
          </w:p>
        </w:tc>
        <w:tc>
          <w:tcPr>
            <w:tcW w:w="0" w:type="dxa"/>
            <w:vAlign w:val="bottom"/>
          </w:tcPr>
          <w:p>
            <w:pPr>
              <w:spacing w:after="0"/>
              <w:rPr>
                <w:sz w:val="1"/>
                <w:szCs w:val="1"/>
                <w:color w:val="auto"/>
              </w:rPr>
            </w:pPr>
          </w:p>
        </w:tc>
      </w:tr>
      <w:tr>
        <w:trPr>
          <w:trHeight w:val="227"/>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186,866</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41,535</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investments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19,962</w:t>
            </w:r>
          </w:p>
        </w:tc>
        <w:tc>
          <w:tcPr>
            <w:tcW w:w="0" w:type="dxa"/>
            <w:vAlign w:val="bottom"/>
          </w:tcPr>
          <w:p>
            <w:pPr>
              <w:spacing w:after="0"/>
              <w:rPr>
                <w:sz w:val="1"/>
                <w:szCs w:val="1"/>
                <w:color w:val="auto"/>
              </w:rPr>
            </w:pPr>
          </w:p>
        </w:tc>
      </w:tr>
      <w:tr>
        <w:trPr>
          <w:trHeight w:val="227"/>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45"/>
        </w:trPr>
        <w:tc>
          <w:tcPr>
            <w:tcW w:w="8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353,657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273,003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2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22,347</w:t>
            </w: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16,930</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0"/>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45,749</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37,463</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43,268</w:t>
            </w:r>
          </w:p>
        </w:tc>
        <w:tc>
          <w:tcPr>
            <w:tcW w:w="0" w:type="dxa"/>
            <w:vAlign w:val="bottom"/>
          </w:tcPr>
          <w:p>
            <w:pPr>
              <w:spacing w:after="0"/>
              <w:rPr>
                <w:sz w:val="1"/>
                <w:szCs w:val="1"/>
                <w:color w:val="auto"/>
              </w:rPr>
            </w:pPr>
          </w:p>
        </w:tc>
      </w:tr>
      <w:tr>
        <w:trPr>
          <w:trHeight w:val="227"/>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80,731</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280" w:type="dxa"/>
            <w:vAlign w:val="bottom"/>
          </w:tcPr>
          <w:p>
            <w:pPr>
              <w:ind w:left="140"/>
              <w:spacing w:after="0" w:line="174" w:lineRule="exact"/>
              <w:rPr>
                <w:sz w:val="20"/>
                <w:szCs w:val="20"/>
                <w:color w:val="auto"/>
              </w:rPr>
            </w:pPr>
            <w:r>
              <w:rPr>
                <w:rFonts w:ascii="Times New Roman" w:cs="Times New Roman" w:eastAsia="Times New Roman" w:hAnsi="Times New Roman"/>
                <w:sz w:val="18"/>
                <w:szCs w:val="18"/>
                <w:color w:val="auto"/>
              </w:rPr>
              <w:t>Common stock, no par value; shares authorized — 75,000; shares issued and outstanding — 47,829 and 47,253,</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629,229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593,245</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27"/>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(403,177)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(399,995)</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225,952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192,272</w:t>
            </w:r>
          </w:p>
        </w:tc>
        <w:tc>
          <w:tcPr>
            <w:tcW w:w="0" w:type="dxa"/>
            <w:vAlign w:val="bottom"/>
          </w:tcPr>
          <w:p>
            <w:pPr>
              <w:spacing w:after="0"/>
              <w:rPr>
                <w:sz w:val="1"/>
                <w:szCs w:val="1"/>
                <w:color w:val="auto"/>
              </w:rPr>
            </w:pPr>
          </w:p>
        </w:tc>
      </w:tr>
      <w:tr>
        <w:trPr>
          <w:trHeight w:val="22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353,657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273,003</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77" w:right="399" w:bottom="1440" w:gutter="0" w:footer="0" w:header="0"/>
        </w:sectPr>
      </w:pPr>
    </w:p>
    <w:bookmarkStart w:id="73" w:name="page74"/>
    <w:bookmarkEnd w:id="7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7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7"/>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153,075</w:t>
            </w:r>
          </w:p>
        </w:tc>
        <w:tc>
          <w:tcPr>
            <w:tcW w:w="0" w:type="dxa"/>
            <w:vAlign w:val="bottom"/>
          </w:tcPr>
          <w:p>
            <w:pPr>
              <w:spacing w:after="0"/>
              <w:rPr>
                <w:sz w:val="1"/>
                <w:szCs w:val="1"/>
                <w:color w:val="auto"/>
              </w:rPr>
            </w:pPr>
          </w:p>
        </w:tc>
      </w:tr>
      <w:tr>
        <w:trPr>
          <w:trHeight w:val="227"/>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156,184</w:t>
            </w:r>
          </w:p>
        </w:tc>
        <w:tc>
          <w:tcPr>
            <w:tcW w:w="0" w:type="dxa"/>
            <w:vAlign w:val="bottom"/>
          </w:tcPr>
          <w:p>
            <w:pPr>
              <w:spacing w:after="0"/>
              <w:rPr>
                <w:sz w:val="1"/>
                <w:szCs w:val="1"/>
                <w:color w:val="auto"/>
              </w:rPr>
            </w:pPr>
          </w:p>
        </w:tc>
      </w:tr>
      <w:tr>
        <w:trPr>
          <w:trHeight w:val="227"/>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product sales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50,159</w:t>
            </w: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106,025</w:t>
            </w:r>
          </w:p>
        </w:tc>
        <w:tc>
          <w:tcPr>
            <w:tcW w:w="0" w:type="dxa"/>
            <w:vAlign w:val="bottom"/>
          </w:tcPr>
          <w:p>
            <w:pPr>
              <w:spacing w:after="0"/>
              <w:rPr>
                <w:sz w:val="1"/>
                <w:szCs w:val="1"/>
                <w:color w:val="auto"/>
              </w:rPr>
            </w:pPr>
          </w:p>
        </w:tc>
      </w:tr>
      <w:tr>
        <w:trPr>
          <w:trHeight w:val="22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16,287</w:t>
            </w:r>
          </w:p>
        </w:tc>
        <w:tc>
          <w:tcPr>
            <w:tcW w:w="0" w:type="dxa"/>
            <w:vAlign w:val="bottom"/>
          </w:tcPr>
          <w:p>
            <w:pPr>
              <w:spacing w:after="0"/>
              <w:rPr>
                <w:sz w:val="1"/>
                <w:szCs w:val="1"/>
                <w:color w:val="auto"/>
              </w:rPr>
            </w:pPr>
          </w:p>
        </w:tc>
      </w:tr>
      <w:tr>
        <w:trPr>
          <w:trHeight w:val="227"/>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97,592</w:t>
            </w:r>
          </w:p>
        </w:tc>
        <w:tc>
          <w:tcPr>
            <w:tcW w:w="0" w:type="dxa"/>
            <w:vAlign w:val="bottom"/>
          </w:tcPr>
          <w:p>
            <w:pPr>
              <w:spacing w:after="0"/>
              <w:rPr>
                <w:sz w:val="1"/>
                <w:szCs w:val="1"/>
                <w:color w:val="auto"/>
              </w:rPr>
            </w:pPr>
          </w:p>
        </w:tc>
      </w:tr>
      <w:tr>
        <w:trPr>
          <w:trHeight w:val="220"/>
        </w:trPr>
        <w:tc>
          <w:tcPr>
            <w:tcW w:w="6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113,879</w:t>
            </w: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0" w:type="dxa"/>
            <w:vAlign w:val="bottom"/>
          </w:tcPr>
          <w:p>
            <w:pPr>
              <w:spacing w:after="0"/>
              <w:rPr>
                <w:sz w:val="1"/>
                <w:szCs w:val="1"/>
                <w:color w:val="auto"/>
              </w:rPr>
            </w:pPr>
          </w:p>
        </w:tc>
      </w:tr>
      <w:tr>
        <w:trPr>
          <w:trHeight w:val="20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7"/>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7"/>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0"/>
        </w:trPr>
        <w:tc>
          <w:tcPr>
            <w:tcW w:w="6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other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0" w:type="dxa"/>
            <w:vAlign w:val="bottom"/>
          </w:tcPr>
          <w:p>
            <w:pPr>
              <w:spacing w:after="0"/>
              <w:rPr>
                <w:sz w:val="1"/>
                <w:szCs w:val="1"/>
                <w:color w:val="auto"/>
              </w:rPr>
            </w:pPr>
          </w:p>
        </w:tc>
      </w:tr>
      <w:tr>
        <w:trPr>
          <w:trHeight w:val="227"/>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45"/>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7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78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auto"/>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46,472</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46,472</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77" w:right="3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Unrealized gain (loss) on investments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060"/>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306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LOSS</w:t>
      </w:r>
    </w:p>
    <w:p>
      <w:pPr>
        <w:spacing w:after="0" w:line="18" w:lineRule="exact"/>
        <w:rPr>
          <w:sz w:val="20"/>
          <w:szCs w:val="20"/>
          <w:color w:val="auto"/>
        </w:rPr>
      </w:pPr>
    </w:p>
    <w:p>
      <w:pPr>
        <w:jc w:val="center"/>
        <w:ind w:right="3060"/>
        <w:spacing w:after="0"/>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0" w:lineRule="exact"/>
        <w:rPr>
          <w:sz w:val="20"/>
          <w:szCs w:val="20"/>
          <w:color w:val="auto"/>
        </w:rPr>
      </w:pPr>
    </w:p>
    <w:tbl>
      <w:tblPr>
        <w:tblLayout w:type="fixed"/>
        <w:tblInd w:w="2660" w:type="dxa"/>
        <w:tblCellMar>
          <w:top w:w="0" w:type="dxa"/>
          <w:left w:w="0" w:type="dxa"/>
          <w:bottom w:w="0" w:type="dxa"/>
          <w:right w:w="0" w:type="dxa"/>
        </w:tblCellMar>
      </w:tblPr>
      <w:tr>
        <w:trPr>
          <w:trHeight w:val="207"/>
        </w:trPr>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2"/>
        </w:trPr>
        <w:tc>
          <w:tcPr>
            <w:tcW w:w="4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Pr>
          <w:p>
            <w:pPr>
              <w:spacing w:after="0"/>
              <w:rPr>
                <w:sz w:val="20"/>
                <w:szCs w:val="20"/>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100" w:type="dxa"/>
            <w:vAlign w:val="bottom"/>
          </w:tcPr>
          <w:p>
            <w:pPr>
              <w:spacing w:after="0"/>
              <w:rPr>
                <w:sz w:val="20"/>
                <w:szCs w:val="20"/>
                <w:color w:val="auto"/>
              </w:rPr>
            </w:pPr>
          </w:p>
        </w:tc>
        <w:tc>
          <w:tcPr>
            <w:tcW w:w="4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w:t>
            </w:r>
          </w:p>
        </w:tc>
      </w:tr>
      <w:tr>
        <w:trPr>
          <w:trHeight w:val="448"/>
        </w:trPr>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0"/>
        </w:trPr>
        <w:tc>
          <w:tcPr>
            <w:tcW w:w="4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(7,639)</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-626110</wp:posOffset>
            </wp:positionV>
            <wp:extent cx="7117080" cy="152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7080" cy="152400"/>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-329565</wp:posOffset>
            </wp:positionV>
            <wp:extent cx="7117080" cy="144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7080" cy="144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240"/>
            <w:col w:w="8140"/>
          </w:cols>
          <w:pgMar w:left="340" w:top="177" w:right="359" w:bottom="1440" w:gutter="0" w:footer="0" w:header="0"/>
        </w:sectPr>
      </w:pP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177" w:right="35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7"/>
        </w:trPr>
        <w:tc>
          <w:tcPr>
            <w:tcW w:w="4560" w:type="dxa"/>
            <w:vAlign w:val="bottom"/>
          </w:tcPr>
          <w:p>
            <w:pPr>
              <w:spacing w:after="0"/>
              <w:rPr>
                <w:sz w:val="12"/>
                <w:szCs w:val="12"/>
                <w:color w:val="auto"/>
              </w:rPr>
            </w:pPr>
          </w:p>
        </w:tc>
        <w:tc>
          <w:tcPr>
            <w:tcW w:w="172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560" w:type="dxa"/>
            <w:vAlign w:val="bottom"/>
          </w:tcPr>
          <w:p>
            <w:pPr>
              <w:spacing w:after="0"/>
              <w:rPr>
                <w:sz w:val="16"/>
                <w:szCs w:val="16"/>
                <w:color w:val="auto"/>
              </w:rPr>
            </w:pPr>
          </w:p>
        </w:tc>
        <w:tc>
          <w:tcPr>
            <w:tcW w:w="172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Shareholders’</w:t>
            </w:r>
          </w:p>
        </w:tc>
        <w:tc>
          <w:tcPr>
            <w:tcW w:w="0" w:type="dxa"/>
            <w:vAlign w:val="bottom"/>
          </w:tcPr>
          <w:p>
            <w:pPr>
              <w:spacing w:after="0"/>
              <w:rPr>
                <w:sz w:val="1"/>
                <w:szCs w:val="1"/>
                <w:color w:val="auto"/>
              </w:rPr>
            </w:pPr>
          </w:p>
        </w:tc>
      </w:tr>
      <w:tr>
        <w:trPr>
          <w:trHeight w:val="193"/>
        </w:trPr>
        <w:tc>
          <w:tcPr>
            <w:tcW w:w="4560" w:type="dxa"/>
            <w:vAlign w:val="bottom"/>
          </w:tcPr>
          <w:p>
            <w:pPr>
              <w:spacing w:after="0"/>
              <w:rPr>
                <w:sz w:val="16"/>
                <w:szCs w:val="16"/>
                <w:color w:val="auto"/>
              </w:rPr>
            </w:pPr>
          </w:p>
        </w:tc>
        <w:tc>
          <w:tcPr>
            <w:tcW w:w="7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1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5"/>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510,061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(375,815)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134,260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(7,471)</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34,322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34,322</w:t>
            </w:r>
          </w:p>
        </w:tc>
        <w:tc>
          <w:tcPr>
            <w:tcW w:w="0" w:type="dxa"/>
            <w:vAlign w:val="bottom"/>
          </w:tcPr>
          <w:p>
            <w:pPr>
              <w:spacing w:after="0"/>
              <w:rPr>
                <w:sz w:val="1"/>
                <w:szCs w:val="1"/>
                <w:color w:val="auto"/>
              </w:rPr>
            </w:pPr>
          </w:p>
        </w:tc>
      </w:tr>
      <w:tr>
        <w:trPr>
          <w:trHeight w:val="192"/>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9,928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9,928</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under the Employee Stock Purchase Plan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0" w:type="dxa"/>
            <w:vAlign w:val="bottom"/>
          </w:tcPr>
          <w:p>
            <w:pPr>
              <w:spacing w:after="0"/>
              <w:rPr>
                <w:sz w:val="1"/>
                <w:szCs w:val="1"/>
                <w:color w:val="auto"/>
              </w:rPr>
            </w:pPr>
          </w:p>
        </w:tc>
      </w:tr>
      <w:tr>
        <w:trPr>
          <w:trHeight w:val="227"/>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stock for restricted stock unit vesting</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withheld for employee tax remittance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0" w:type="dxa"/>
            <w:vAlign w:val="bottom"/>
          </w:tcPr>
          <w:p>
            <w:pPr>
              <w:spacing w:after="0"/>
              <w:rPr>
                <w:sz w:val="1"/>
                <w:szCs w:val="1"/>
                <w:color w:val="auto"/>
              </w:rPr>
            </w:pPr>
          </w:p>
        </w:tc>
      </w:tr>
      <w:tr>
        <w:trPr>
          <w:trHeight w:val="193"/>
        </w:trPr>
        <w:tc>
          <w:tcPr>
            <w:tcW w:w="4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Unrealized loss on investments</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25"/>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46,880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553,902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(383,286)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170,462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(16,709)</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37,183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37,183</w:t>
            </w:r>
          </w:p>
        </w:tc>
        <w:tc>
          <w:tcPr>
            <w:tcW w:w="0" w:type="dxa"/>
            <w:vAlign w:val="bottom"/>
          </w:tcPr>
          <w:p>
            <w:pPr>
              <w:spacing w:after="0"/>
              <w:rPr>
                <w:sz w:val="1"/>
                <w:szCs w:val="1"/>
                <w:color w:val="auto"/>
              </w:rPr>
            </w:pPr>
          </w:p>
        </w:tc>
      </w:tr>
      <w:tr>
        <w:trPr>
          <w:trHeight w:val="192"/>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under the Employee Stock Purchase Plan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0" w:type="dxa"/>
            <w:vAlign w:val="bottom"/>
          </w:tcPr>
          <w:p>
            <w:pPr>
              <w:spacing w:after="0"/>
              <w:rPr>
                <w:sz w:val="1"/>
                <w:szCs w:val="1"/>
                <w:color w:val="auto"/>
              </w:rPr>
            </w:pPr>
          </w:p>
        </w:tc>
      </w:tr>
      <w:tr>
        <w:trPr>
          <w:trHeight w:val="227"/>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stock for restricted stock unit vesting</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withheld for employee tax remittance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0" w:type="dxa"/>
            <w:vAlign w:val="bottom"/>
          </w:tcPr>
          <w:p>
            <w:pPr>
              <w:spacing w:after="0"/>
              <w:rPr>
                <w:sz w:val="1"/>
                <w:szCs w:val="1"/>
                <w:color w:val="auto"/>
              </w:rPr>
            </w:pPr>
          </w:p>
        </w:tc>
      </w:tr>
      <w:tr>
        <w:trPr>
          <w:trHeight w:val="193"/>
        </w:trPr>
        <w:tc>
          <w:tcPr>
            <w:tcW w:w="4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Unrealized loss on investments</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0" w:type="dxa"/>
            <w:vAlign w:val="bottom"/>
          </w:tcPr>
          <w:p>
            <w:pPr>
              <w:spacing w:after="0"/>
              <w:rPr>
                <w:sz w:val="1"/>
                <w:szCs w:val="1"/>
                <w:color w:val="auto"/>
              </w:rPr>
            </w:pPr>
          </w:p>
        </w:tc>
      </w:tr>
      <w:tr>
        <w:trPr>
          <w:trHeight w:val="225"/>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593,245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(399,995)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192,272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32,325</w:t>
            </w:r>
          </w:p>
        </w:tc>
        <w:tc>
          <w:tcPr>
            <w:tcW w:w="0" w:type="dxa"/>
            <w:vAlign w:val="bottom"/>
          </w:tcPr>
          <w:p>
            <w:pPr>
              <w:spacing w:after="0"/>
              <w:rPr>
                <w:sz w:val="1"/>
                <w:szCs w:val="1"/>
                <w:color w:val="auto"/>
              </w:rPr>
            </w:pPr>
          </w:p>
        </w:tc>
      </w:tr>
      <w:tr>
        <w:trPr>
          <w:trHeight w:val="192"/>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4,737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4,737</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under the Employee Stock Purchase Plan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0" w:type="dxa"/>
            <w:vAlign w:val="bottom"/>
          </w:tcPr>
          <w:p>
            <w:pPr>
              <w:spacing w:after="0"/>
              <w:rPr>
                <w:sz w:val="1"/>
                <w:szCs w:val="1"/>
                <w:color w:val="auto"/>
              </w:rPr>
            </w:pPr>
          </w:p>
        </w:tc>
      </w:tr>
      <w:tr>
        <w:trPr>
          <w:trHeight w:val="192"/>
        </w:trPr>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stock for restricted stock unit vesting</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withheld for employee tax remittance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0" w:type="dxa"/>
            <w:vAlign w:val="bottom"/>
          </w:tcPr>
          <w:p>
            <w:pPr>
              <w:spacing w:after="0"/>
              <w:rPr>
                <w:sz w:val="1"/>
                <w:szCs w:val="1"/>
                <w:color w:val="auto"/>
              </w:rPr>
            </w:pPr>
          </w:p>
        </w:tc>
      </w:tr>
      <w:tr>
        <w:trPr>
          <w:trHeight w:val="193"/>
        </w:trPr>
        <w:tc>
          <w:tcPr>
            <w:tcW w:w="4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Unrealized gain on investments</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0" w:type="dxa"/>
            <w:vAlign w:val="bottom"/>
          </w:tcPr>
          <w:p>
            <w:pPr>
              <w:spacing w:after="0"/>
              <w:rPr>
                <w:sz w:val="1"/>
                <w:szCs w:val="1"/>
                <w:color w:val="auto"/>
              </w:rPr>
            </w:pPr>
          </w:p>
        </w:tc>
      </w:tr>
      <w:tr>
        <w:trPr>
          <w:trHeight w:val="225"/>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47,829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629,229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(403,177)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225,952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11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00"/>
          </w:cols>
          <w:pgMar w:left="340" w:top="177" w:right="859" w:bottom="1440" w:gutter="0" w:footer="0" w:header="0"/>
        </w:sectPr>
      </w:pPr>
    </w:p>
    <w:bookmarkStart w:id="76" w:name="page77"/>
    <w:bookmarkEnd w:id="7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6"/>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r>
      <w:tr>
        <w:trPr>
          <w:trHeight w:val="25"/>
        </w:trPr>
        <w:tc>
          <w:tcPr>
            <w:tcW w:w="7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7"/>
        </w:trPr>
        <w:tc>
          <w:tcPr>
            <w:tcW w:w="7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w:t>
            </w:r>
          </w:p>
        </w:tc>
      </w:tr>
      <w:tr>
        <w:trPr>
          <w:trHeight w:val="22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flows from operating activities: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7"/>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r>
      <w:tr>
        <w:trPr>
          <w:trHeight w:val="227"/>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34,322</w:t>
            </w:r>
          </w:p>
        </w:tc>
      </w:tr>
      <w:tr>
        <w:trPr>
          <w:trHeight w:val="227"/>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27"/>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lease costs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r>
      <w:tr>
        <w:trPr>
          <w:trHeight w:val="227"/>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w:t>
            </w: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 and liabilities,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7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35,311</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29,040</w:t>
            </w:r>
          </w:p>
        </w:tc>
      </w:tr>
      <w:tr>
        <w:trPr>
          <w:trHeight w:val="22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(60,021)</w:t>
            </w: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64,435</w:t>
            </w: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(7,915)</w:t>
            </w: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7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w:t>
            </w:r>
          </w:p>
        </w:tc>
      </w:tr>
      <w:tr>
        <w:trPr>
          <w:trHeight w:val="22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7"/>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from common stock issuance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w:t>
            </w: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employee's behalf for taxes related to vesting of restricted stock unit awards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r>
      <w:tr>
        <w:trPr>
          <w:trHeight w:val="227"/>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0"/>
        </w:trPr>
        <w:tc>
          <w:tcPr>
            <w:tcW w:w="7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9,171</w:t>
            </w:r>
          </w:p>
        </w:tc>
      </w:tr>
      <w:tr>
        <w:trPr>
          <w:trHeight w:val="22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34,710</w:t>
            </w:r>
          </w:p>
        </w:tc>
      </w:tr>
      <w:tr>
        <w:trPr>
          <w:trHeight w:val="227"/>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33,831</w:t>
            </w:r>
          </w:p>
        </w:tc>
      </w:tr>
      <w:tr>
        <w:trPr>
          <w:trHeight w:val="245"/>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68,541</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80"/>
          </w:cols>
          <w:pgMar w:left="320" w:top="177" w:right="499" w:bottom="1440" w:gutter="0" w:footer="0" w:header="0"/>
        </w:sectPr>
      </w:pPr>
    </w:p>
    <w:bookmarkStart w:id="77" w:name="page78"/>
    <w:bookmarkEnd w:id="7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67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1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information:</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 and lease liability recognized</w:t>
            </w:r>
          </w:p>
        </w:tc>
        <w:tc>
          <w:tcPr>
            <w:tcW w:w="38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37,960</w:t>
            </w:r>
          </w:p>
        </w:tc>
        <w:tc>
          <w:tcPr>
            <w:tcW w:w="40" w:type="dxa"/>
            <w:vAlign w:val="bottom"/>
            <w:shd w:val="clear" w:color="auto" w:fill="CCEEFF"/>
          </w:tcPr>
          <w:p>
            <w:pPr>
              <w:spacing w:after="0"/>
              <w:rPr>
                <w:sz w:val="19"/>
                <w:szCs w:val="19"/>
                <w:color w:val="auto"/>
              </w:rPr>
            </w:pPr>
          </w:p>
        </w:tc>
        <w:tc>
          <w:tcPr>
            <w:tcW w:w="440" w:type="dxa"/>
            <w:vAlign w:val="bottom"/>
            <w:gridSpan w:val="4"/>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r>
      <w:tr>
        <w:trPr>
          <w:trHeight w:val="227"/>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to property and equipment and intangible assets included in accounts payable</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19"/>
                <w:szCs w:val="19"/>
                <w:color w:val="auto"/>
              </w:rPr>
            </w:pPr>
          </w:p>
        </w:tc>
      </w:tr>
      <w:tr>
        <w:trPr>
          <w:trHeight w:val="227"/>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held for employee tax remittance included in accounts payable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r>
      <w:tr>
        <w:trPr>
          <w:trHeight w:val="22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information:</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paid</w:t>
            </w:r>
          </w:p>
        </w:tc>
        <w:tc>
          <w:tcPr>
            <w:tcW w:w="38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40" w:type="dxa"/>
            <w:vAlign w:val="bottom"/>
            <w:shd w:val="clear" w:color="auto" w:fill="CCEEFF"/>
          </w:tcPr>
          <w:p>
            <w:pPr>
              <w:spacing w:after="0"/>
              <w:rPr>
                <w:sz w:val="19"/>
                <w:szCs w:val="19"/>
                <w:color w:val="auto"/>
              </w:rPr>
            </w:pPr>
          </w:p>
        </w:tc>
        <w:tc>
          <w:tcPr>
            <w:tcW w:w="440" w:type="dxa"/>
            <w:vAlign w:val="bottom"/>
            <w:gridSpan w:val="4"/>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r>
      <w:tr>
        <w:trPr>
          <w:trHeight w:val="232"/>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paid</w:t>
            </w:r>
          </w:p>
        </w:tc>
        <w:tc>
          <w:tcPr>
            <w:tcW w:w="380" w:type="dxa"/>
            <w:vAlign w:val="bottom"/>
            <w:gridSpan w:val="2"/>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40" w:type="dxa"/>
            <w:vAlign w:val="bottom"/>
          </w:tcPr>
          <w:p>
            <w:pPr>
              <w:spacing w:after="0"/>
              <w:rPr>
                <w:sz w:val="20"/>
                <w:szCs w:val="20"/>
                <w:color w:val="auto"/>
              </w:rPr>
            </w:pPr>
          </w:p>
        </w:tc>
        <w:tc>
          <w:tcPr>
            <w:tcW w:w="440" w:type="dxa"/>
            <w:vAlign w:val="bottom"/>
            <w:gridSpan w:val="4"/>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0"/>
                <w:szCs w:val="20"/>
                <w:color w:val="auto"/>
              </w:rPr>
            </w:pPr>
          </w:p>
        </w:tc>
      </w:tr>
      <w:tr>
        <w:trPr>
          <w:trHeight w:val="370"/>
        </w:trPr>
        <w:tc>
          <w:tcPr>
            <w:tcW w:w="6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gridSpan w:val="8"/>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
        </w:trPr>
        <w:tc>
          <w:tcPr>
            <w:tcW w:w="67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r>
      <w:tr>
        <w:trPr>
          <w:trHeight w:val="21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amounts within the consolidated balance sheets: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7"/>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69,088</w:t>
            </w:r>
          </w:p>
        </w:tc>
        <w:tc>
          <w:tcPr>
            <w:tcW w:w="40" w:type="dxa"/>
            <w:vAlign w:val="bottom"/>
          </w:tcPr>
          <w:p>
            <w:pPr>
              <w:spacing w:after="0"/>
              <w:rPr>
                <w:sz w:val="19"/>
                <w:szCs w:val="19"/>
                <w:color w:val="auto"/>
              </w:rPr>
            </w:pPr>
          </w:p>
        </w:tc>
        <w:tc>
          <w:tcPr>
            <w:tcW w:w="440" w:type="dxa"/>
            <w:vAlign w:val="bottom"/>
            <w:gridSpan w:val="4"/>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51,067</w:t>
            </w:r>
          </w:p>
        </w:tc>
        <w:tc>
          <w:tcPr>
            <w:tcW w:w="100" w:type="dxa"/>
            <w:vAlign w:val="bottom"/>
          </w:tcPr>
          <w:p>
            <w:pPr>
              <w:spacing w:after="0"/>
              <w:rPr>
                <w:sz w:val="19"/>
                <w:szCs w:val="19"/>
                <w:color w:val="auto"/>
              </w:rPr>
            </w:pPr>
          </w:p>
        </w:tc>
        <w:tc>
          <w:tcPr>
            <w:tcW w:w="38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68,330</w:t>
            </w:r>
          </w:p>
        </w:tc>
      </w:tr>
      <w:tr>
        <w:trPr>
          <w:trHeight w:val="227"/>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r>
      <w:tr>
        <w:trPr>
          <w:trHeight w:val="22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at end of period</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86,866</w:t>
            </w:r>
          </w:p>
        </w:tc>
        <w:tc>
          <w:tcPr>
            <w:tcW w:w="40" w:type="dxa"/>
            <w:vAlign w:val="bottom"/>
            <w:tcBorders>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51,067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68,541</w:t>
            </w:r>
          </w:p>
        </w:tc>
      </w:tr>
      <w:tr>
        <w:trPr>
          <w:trHeight w:val="20"/>
        </w:trPr>
        <w:tc>
          <w:tcPr>
            <w:tcW w:w="6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78" w:name="page79"/>
    <w:bookmarkEnd w:id="7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Vericel Corporation, a Michigan corporation (together with its consolidated subsidiaries referred to herein as the Company, or Vericel), was incorporated in March 1989 and began employee-based operations in 1991. The Company is a fully-integrated, commercial-stage biopharmaceutical company and is a leading provider of advanced therapies for the sports medicine and severe burn care markets. Vericel currently markets three commercial-stage products in the U.S., MACI®, Epicel® and NexoBrid®.</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MACI (autologous cultured chondrocytes on porcine collagen membrane) is an autologous cellularized scaffold product indicated for the repair of symptomatic, single or multiple full-thickness cartilage defects of the knee with or without bone involvement in adults. Epicel (cultured epidermal autografts) is a permanent skin replacement for the treatment of adult and pediatric patients with deep-dermal or full-thickness burns comprising greater than or equal to 30 percent of total body surface area (“TBSA”). The Company also holds an exclusive license from MediWound Ltd. (“MediWound”) for North American rights to NexoBrid (anacaulase-bcdb), a topically administered biological orphan product containing proteolytic enzymes, which is indicated for the removal of eschar in adults with deep partial-thickness and/or full thickness thermal burns. Following the FDA’s approval of a Biologics License Application for NexoBrid on December 28, 2022, the Company began commercial sales of NexoBrid in the U.S. during the third quarter of 2023. The Company operates its business primarily in the U.S. in one reportable segment - the research, product development, manufacture and distribution of cellular therapies and specialty biologics for use in the treatment of specific conditions.</w:t>
      </w:r>
    </w:p>
    <w:p>
      <w:pPr>
        <w:spacing w:after="0" w:line="21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life sciences industry including, but not limited to, development by the Company or its competitors of new technological innovations, dependence on key personnel, protection of proprietary technology, commercialization of existing and new products, and compliance with FDA regulations and approval requirements, as well as the ability to grow the Company’s business through appropriate commercial strategies.</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51"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7"/>
          <w:szCs w:val="17"/>
          <w:color w:val="auto"/>
        </w:rPr>
        <w:t>On May 11, 2023, the U.S. Department of Health and Human Services announced the expiration of the federal Public Health Emergency for COVID-19. At this juncture, the pandemic’s effects on the Company’s business and results of operations have largely moderated and it has seen a return to more normal operations. Should a resurgence of COVID-19 occur, or new virus variants emerge, it could result in additional disruptions that could impact the Company’s business and operations in the future, including U.S. hospital or surgical center staffing shortages, periodic cancellation or delay of elective MACI surgical procedures, intermittent restrictions on the ability of Company personnel to travel and access customers for selling, marketing, training, case support and product development feedback, delays in approvals by regulatory bodies, delays in product development efforts, and additional government requirements or other incremental mitigation efforts that may further impact the Company’s capacity to manufacture, sell and support the use of its products.</w:t>
      </w:r>
    </w:p>
    <w:p>
      <w:pPr>
        <w:spacing w:after="0" w:line="1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War in Ukraine</w:t>
      </w:r>
    </w:p>
    <w:p>
      <w:pPr>
        <w:spacing w:after="0" w:line="237"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ongoing war between Russia and Ukraine and the related sanctions and other penalties imposed by countries across the globe against Russia are continuing to create substantial uncertainty in the global economy and have contributed to heightened inflation and supply chain disruptions. While the Company does not have operations in Russia or Ukraine and does not have exposure to distributors, or third-party service providers in Russia or Ukraine, it is unable to predict the ultimate impact that these actions will have on the global economy or on its financial condition, results of operations, and cash flows as of the date of these consolidated financial statements.</w:t>
      </w:r>
    </w:p>
    <w:p>
      <w:pPr>
        <w:spacing w:after="0" w:line="1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War in Israel and Gaza</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 May 2019, the Company entered into exclusive license and supply agreements with MediWound, under which MediWound manufactures and supplies NexoBrid to the U.S. market on a unit price basis. MediWound develops and manufactures NexoBrid, in part, at its facilities in Yavne,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79" w:name="page80"/>
    <w:bookmarkEnd w:id="7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73" w:lineRule="auto"/>
        <w:rPr>
          <w:sz w:val="20"/>
          <w:szCs w:val="20"/>
          <w:color w:val="auto"/>
        </w:rPr>
      </w:pPr>
      <w:r>
        <w:rPr>
          <w:rFonts w:ascii="Times New Roman" w:cs="Times New Roman" w:eastAsia="Times New Roman" w:hAnsi="Times New Roman"/>
          <w:sz w:val="17"/>
          <w:szCs w:val="17"/>
          <w:color w:val="auto"/>
        </w:rPr>
        <w:t>The Company continues to monitor the ongoing conflict in Israel and is in close communication with MediWound leadership. MediWound’s NexoBrid manufacturing operations are continuing and, as of the date of this disclosure, MediWound does not anticipate a disruption to its ongoing supply of commercial NexoBrid to the United States. To the extent the war between Israel and Hamas intensifies or expands to include additional countries or militant groups in the region and MediWound’s facilities in Israel are damaged or destroyed, travel to and from Israel is halted or inhibited, or significant key MediWound operational personnel are called to military service, MediWound’s ability to continue to supply NexoBrid to the U.S. market could be disrupted.</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37"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222222"/>
        </w:rPr>
        <w:t xml:space="preserve">The accompanying consolidated financial statements have been prepared on a basis which assumes that the Company will continue as a going concern and contemplates the realization of assets and the satisfaction of liabilities and commitments in the normal course of business. As of December 31, 2023, the Company had an accumulated deficit of $403.2 million and had a net loss of $3.2 million for the year ended December 31, 2023. The Company had cash and cash equivalents of $69.1 million and investments of $65.8 million as of December 31, 2023. The Company expects that cash from the sales of its products and existing cash, cash equivalents, investments, and available borrowing capacity will be sufficient </w:t>
      </w:r>
      <w:r>
        <w:rPr>
          <w:rFonts w:ascii="Times New Roman" w:cs="Times New Roman" w:eastAsia="Times New Roman" w:hAnsi="Times New Roman"/>
          <w:sz w:val="18"/>
          <w:szCs w:val="18"/>
          <w:color w:val="000000"/>
        </w:rPr>
        <w:t>to support the Company’s current operations through at</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least 12 months from the issuance of these consolidated financial statements. If revenues decline for a sustained period, the Company may need to access additional capital; however, the Company may not be able to obtain additional financing on acceptable terms or at all. The terms of any additional financing may adversely affect the holdings or the rights of the Company’s shareholders.</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222222"/>
        </w:rPr>
        <w:t>Financial instruments that potentially subject the Company to significant concentration of credit risk consist primarily of cash, cash equivalents and investments in marketable debt securities. The Company may maintain deposits in financial institutions in excess of the insurance coverage offered by the Federal Deposit Insurance Corporation, the loss of which could have a negative effect on its operations and liquidity. The Company believes that it is not exposed to significant credit risk as its deposits, including cash and cash equivalents, are held at multiple high credit quality financial institutions. The Company has not experienced any losses on these deposits; however no assurances can be provided that there will not be losses experienced in the future. The Company believes that the market risk arising from its holdings of these financial instruments is mitigated based on the fact that many of these securities are either government-backed or of high credit rating.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GAAP. The consolidated financial statements include the accounts of the Company and its wholly-owned subsidiaries. All intercompany transactions and accounts have been eliminated in consolidation.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at the date of the consolidated financial statements, and the reported amounts of revenues and expenses during the reporting period. The more significant estimates reflected in the Company’s consolidated financial statements include, but are not limited to, certain judgments regarding revenue recognition, inventory valuation, stock option valuation, lease valuation, deferred tax assets and liabilities and accrued expenses. The Company is not aware of any specific event or circumstance that would require an update to its estimates or judgments reflected in these consolidated financial statements or a revision of the carrying value of its assets or liabilities as of the issuance of these consolidated financial statements. These estimates may change as new events occur and additional information is obtained. Actual results could materially differ from those estimates.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249"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Cash equivalents consist of short-term, highly liquid investments with original maturities of three months or less from the date of purchase and consist primarily of demand deposits, money market funds, U.S. government securities, U.S. government agency bonds and commercial paper.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0" w:name="page81"/>
    <w:bookmarkEnd w:id="8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as of December 31, 2023, represents amounts in a construction escrow account. See Note 5, “Leases” for further discussion.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Investments classified as short-term have maturities of less than one year. Investments classified as long-term are those that: (i) have a maturity of greater than one year, and (ii) the Company does not intend to liquidate within the next twelve months, although these funds are available for use and, therefore, are classified as available-for-sale. The Company’s investment strategy is to buy short-duration marketable securities with a high credit rating. As of December 31, 2023 and 2022, all marketable securities held by the Company had remaining contractual maturities of three years or less.</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Unrealized gains are included as a component of accumulated other comprehensive income in the consolidated balance sheets and consolidated statements of shareholders’ equity and a component of total comprehensive (loss) income in the consolidated statements of comprehensive (loss) income, until realized. Unrealized losses are evaluated for impairment under ASC 326</w:t>
      </w:r>
      <w:r>
        <w:rPr>
          <w:rFonts w:ascii="Times New Roman" w:cs="Times New Roman" w:eastAsia="Times New Roman" w:hAnsi="Times New Roman"/>
          <w:sz w:val="18"/>
          <w:szCs w:val="18"/>
          <w:i w:val="1"/>
          <w:iCs w:val="1"/>
          <w:color w:val="auto"/>
        </w:rPr>
        <w:t>, Financial Instruments - Credit Losses</w:t>
      </w:r>
      <w:r>
        <w:rPr>
          <w:rFonts w:ascii="Times New Roman" w:cs="Times New Roman" w:eastAsia="Times New Roman" w:hAnsi="Times New Roman"/>
          <w:sz w:val="18"/>
          <w:szCs w:val="18"/>
          <w:color w:val="auto"/>
        </w:rPr>
        <w:t xml:space="preserve"> (“ASC 326”), to determine if the impairment is credit-related or non-credit-related. Credit-related impairment is recognized as an allowance on the balance sheet with a corresponding adjustment to earnings, and non-credit-related impairment is recognized in other comprehensive (loss) income, net of taxes.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47"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 xml:space="preserve">The Company determines if an arrangement is a lease at inception,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All operating lease commitments with a lease term greater than 12 months are recognized as right-of-use assets and liabilities, on a discounted basis on the balance sheet. Leases with an initial term of 12 months or less are not recorded on the balance sheet. Certain of the Company’s lease agreements include lease payments that are adjusted periodically for an index or rate. The leases are initially measured using the present value of the projected payments adjusted for the index or rate in effect at the commencement date. In addition to rent, the leases may require the Company to pay additional amounts for taxes, insurance, maintenance and other expenses, which do not transfer a good or service to the Company and are generally referred to as non-lease components. Variable non-lease components are not measured as part of the right-of-use asset and liability. Only when lease components and their associated non-lease components are fixed are they accounted for as a single lease component and are recognized as part of a right-of-use asset and liability. The Company’s lease agreements do not contain any material residual value guarantees or material restrictive covenants.</w:t>
      </w:r>
    </w:p>
    <w:p>
      <w:pPr>
        <w:spacing w:after="0" w:line="215"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 has options to renew lease terms for facilities and other assets. Some leases contain clauses for renewal at the Company’s option with renewal terms that generally extend the lease term from 1 to 10 years. The exercise of lease renewal options is generally at the Company’s sole discretion. The Company evaluates renewal and termination options at the lease commencement date to determine if it is reasonably certain to exercise the option on the basis of economic factors. Certain lease agreements contain options to terminate the lease. A portfolio approach is applied to certain lease contracts with similar characteristics.</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uses a discount rate to calculate the present value of lease payments in order to determine lease classification and measurement of the lease asset and liability. In the absence of a rate of interest that is readily determinable in the contract, the Company estimates the incremental borrowing rate (“IBR”) for each lease based on the information available at commencement. The IBR reflects the rate of interest that the Company would pay on the lease commencement date to borrow an amount equal to the lease payments on a collateralized basis over a similar term in similar economic environments.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Inventories are measured at the lower of cost or net realizable value. Cost is calculated based upon standard-cost which approximates costs determined on the first-in, first-out method. The Company periodically reviews its inventories for excess or obsolescence and writes down obsolete or other unmarketable inventory to its estimated net realizable value. If the actual net realizable value is less than that estimated by the Company, or if it is determined that inventory utilization will further diminish based on estimates of demand, additional inventory write-downs may be required. In all cases, product inventory is carried at the lower of cost or its estimated net realizable value. Amounts written down are charged to cost of product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1" w:name="page82"/>
    <w:bookmarkEnd w:id="8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4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Accounts receivable are initially recorded at the contractual amount owed by the customer or based on expected payments from the insurance provider, hospital or patient. Allowances for doubtful accounts are established when the facts and circumstances indicate that a receivable may not be collectible. Potential credit risk exposure has been evaluated for the Company’s accounts receivable in accordance with ASC 326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assesses risk and determines a loss percentage by pooling accounts receivable based on similar risk characteristics. The loss percentage is calculated through the use of forecasts that are based on current and historical economic and financial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Property and equipment are initially measured and recognized at acquisition cost, including any directly attributable cost of preparing the asset for its intended use. After initial measurement, property and equipment are carried at cost less accumulated depreciation. Repair and maintenance costs of property and equipment are expensed as incurred.</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depreciable value of property and equipment is depreciated on a straight-line basis over the useful life of the asset. The useful life of an asset is usually equivalent to its economic life. The useful lives of property and equipment are as follows:</w:t>
      </w:r>
    </w:p>
    <w:p>
      <w:pPr>
        <w:spacing w:after="0" w:line="189" w:lineRule="exact"/>
        <w:rPr>
          <w:sz w:val="20"/>
          <w:szCs w:val="20"/>
          <w:color w:val="auto"/>
        </w:rPr>
      </w:pPr>
    </w:p>
    <w:p>
      <w:pPr>
        <w:ind w:left="960" w:hanging="313"/>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Machinery and equipment: 3 to 10 years</w:t>
      </w:r>
    </w:p>
    <w:p>
      <w:pPr>
        <w:spacing w:after="0" w:line="25"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Furniture, fixtures and office equipment: 5 years</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equipment and software: 3 years</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 shorter of the remaining life of the lease or 15 years</w:t>
      </w:r>
    </w:p>
    <w:p>
      <w:pPr>
        <w:spacing w:after="0" w:line="228"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The costs of assets retired or otherwise disposed of and the accumulated depreciation thereon are removed from the accounts, with any gain or loss realized upon sale or disposal credited or charged to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2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amortizes its intangible assets on a straight-line basis over their estimated economic lives, unless another amortization method is deemed to be more appropriate. In determining the useful lives of intangible assets, the Company considers the expected use of the assets and the effects of obsolescence, demand, competition, anticipated technological advances, market influence and other economic factors.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evaluates long-lived assets for impairment whenever events or changes in circumstances indicate that the carrying value of an asset may not be fully recoverable. No impairment was identified or recorded during the years ended December 31, 2023, 2022 and 2021.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47"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product revenue from sales to a customer following the five step model in Accounting Standards Codification 606,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Recognition (“</w:t>
      </w:r>
      <w:r>
        <w:rPr>
          <w:rFonts w:ascii="Times New Roman" w:cs="Times New Roman" w:eastAsia="Times New Roman" w:hAnsi="Times New Roman"/>
          <w:sz w:val="18"/>
          <w:szCs w:val="18"/>
          <w:color w:val="auto"/>
        </w:rPr>
        <w:t>ASC 606”): (i) identify contract(s) with a customer; (ii) identify the performance obligations in the contract; (iii) determine the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(iv) allocate the transaction price to the performance obligations in the contract; and (v) recognize revenues when (or as) the Company satisfies the performance obligation. Under this revenue standard, the Company recognizes revenue when its customer obtains control of the promised goods, in an amount that reflects the consideration which the Company expects to receive in exchange for those goods. There are no contractual rights of returns, refunds or similar obligations related to MACI, MACI biopsy kits or Epicel; however, in certain limited cases the Company will accept a product return if a surgery is canceled. Revenue is not recognized in certain canceled cases. There are limited contractual rights of returns, refunds, or similar obligations related to NexoBrid.</w:t>
      </w:r>
    </w:p>
    <w:p>
      <w:pPr>
        <w:spacing w:after="0" w:line="21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For MACI, MACI biopsy kits, Epicel and NexoBrid, there are no variable pricing arrangements related to warranties or rebates offered to customers. The majority of orders are due within 30 to 90 days of delivery. Shipping and handling fees are included as a component of revenue. The Company recognizes any commission fees as an expense when incurred. These fees are included in selling, general, and administrative expenses. See Note 3, “Revenue” for further discussion on revenues.</w:t>
      </w: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82" w:name="page83"/>
    <w:bookmarkEnd w:id="8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These expenditures relate to the development of new products, improvement of existing products, technical support of products and compliance with governmental regulations for the protection of consumers and patients.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49"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Company’s accounting for stock-based compensation requires it to determine the fair value of common stock issued in the form of stock option awards and restricted stock units. The fair value of restricted stock units held by employees and non-employee directors is determined based on the fair value of the Company’s common stock on the date of the grant. Compensation expense is recorded for restricted stock units that are expected to vest over the expected vesting period. The fair value of stock options held by employees and non-employee directors is determined using a Black-Scholes option valuation method. Key assumptions in determining fair value include volatility, risk-free interest rate, dividend yield and expected term. The assumptions used in calculating the fair value of stock options represent the Company’s best estimates; however, these estimates involve inherent uncertainties and the application of management’s judgment. As a result, if factors change and different assumptions are used, the stock-based compensation expense could be materially different in the future. In addition, the Company estimates the expected forfeiture rate and only recognizes expense for those stock options expected to vest over the service period. The estimated forfeiture rate considers the historical experience of the Company’s stock-based awards. If the actual forfeiture rate is different from the estimate, expense is adjusted accordingly. The Company records the expense for stock options and restricted stock units using a graded-vesting attribution method.</w:t>
      </w:r>
    </w:p>
    <w:p>
      <w:pPr>
        <w:spacing w:after="0" w:line="217"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 also has an Employee Stock Purchase Plan (“ESPP”) which is a compensatory plan. Compensation expense is recorded based on the fair value of the purchased options at the grant date, which corresponds to the first day of each purchase period, and is amortized over the purchase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(Loss) Income</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Comprehensive (loss) income is the change in shareholders’ equity during a period arising from unrealized gains or losses related to the Company’s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Deferred tax assets are recognized for deductible temporary differences and tax credit carryforwards and deferred tax liabilities are recognized for taxable temporary differences. Deferred tax assets are reduced by a valuation allowance when, in the opinion of management, it is more likely than not that some portion or all of the deferred tax assets will not be realized based on the weight of available evidence. When evaluating the realizability of the deferred tax assets, all evidence, both positive and negative, is considered. Items considered when evaluating the need for a valuation allowance include the ability to carry back losses, future reversals of existing temporary differences, tax planning strategies, and expectations of future earnings.</w:t>
      </w:r>
    </w:p>
    <w:p>
      <w:pPr>
        <w:spacing w:after="0" w:line="212"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The Company records uncertain tax positions in the consolidated financial statements only if it is more likely than not that the uncertain tax position will be sustained upon examination by the taxing authorities. The Company records interest and penalties related to uncertain tax positions in income tax expense.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Per Common Share</w:t>
      </w:r>
    </w:p>
    <w:p>
      <w:pPr>
        <w:spacing w:after="0" w:line="2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by the weighted-average number of shares of common stock outstanding during the period. Diluted earnings per common share is computed by dividing net income by the weighted-average number of shares of common stock outstanding during the period, plus the potential dilutive effect of other securities if those securities were converted or exercised. During periods in which the Company incurs net losses, both basic and diluted loss per common share is calculated by dividing the net loss by the weighted-average shares of common stock outstanding and potentially dilutive securities are excluded from the calculation because their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3" w:name="page84"/>
    <w:bookmarkEnd w:id="8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Company’s financial instruments include accounts receivables, accounts payable and accrued expenses for which the current carrying amounts approximate market value, based upon their short-term nature and marketable debt securities which are classified as available-for-sale and carried at fair value on a settlement date basis.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49"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No new accounting standards were adopted during the year ended December 31, 2023. The Company considers the applicability and impact of any recent Accounting Standards Updates (“ASUs”) issued by the Financial Accounting Standards Board (“FASB”), as noted below.</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November 2023</w:t>
      </w:r>
      <w:r>
        <w:rPr>
          <w:rFonts w:ascii="Times New Roman" w:cs="Times New Roman" w:eastAsia="Times New Roman" w:hAnsi="Times New Roman"/>
          <w:sz w:val="18"/>
          <w:szCs w:val="18"/>
          <w:color w:val="auto"/>
        </w:rPr>
        <w:t xml:space="preserve">,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to improve reportable segment disclosure requirements, primarily through enhanced disclosures about significant segment expenses. The disclosure requirements must be applied retrospectively to all prior periods presented in the financial statements. The effective date for the standard is for fiscal years beginning after December 15, 2023 and interim periods within fiscal years beginning after </w:t>
      </w:r>
      <w:r>
        <w:rPr>
          <w:rFonts w:ascii="Times New Roman" w:cs="Times New Roman" w:eastAsia="Times New Roman" w:hAnsi="Times New Roman"/>
          <w:sz w:val="18"/>
          <w:szCs w:val="18"/>
          <w:i w:val="1"/>
          <w:iCs w:val="1"/>
          <w:color w:val="auto"/>
        </w:rPr>
        <w:t>December 15, 2024</w:t>
      </w:r>
      <w:r>
        <w:rPr>
          <w:rFonts w:ascii="Times New Roman" w:cs="Times New Roman" w:eastAsia="Times New Roman" w:hAnsi="Times New Roman"/>
          <w:sz w:val="18"/>
          <w:szCs w:val="18"/>
          <w:color w:val="auto"/>
        </w:rPr>
        <w:t>, with early adoption permitted. The Company is currently evaluating the effects adoption of this guidance will have on the consolidated financial statements.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December 2023,</w:t>
      </w:r>
      <w:r>
        <w:rPr>
          <w:rFonts w:ascii="Times New Roman" w:cs="Times New Roman" w:eastAsia="Times New Roman" w:hAnsi="Times New Roman"/>
          <w:sz w:val="18"/>
          <w:szCs w:val="18"/>
          <w:color w:val="auto"/>
        </w:rPr>
        <w:t xml:space="preserve"> the FASB issued ASU 2023-09</w:t>
      </w:r>
      <w:r>
        <w:rPr>
          <w:rFonts w:ascii="Times New Roman" w:cs="Times New Roman" w:eastAsia="Times New Roman" w:hAnsi="Times New Roman"/>
          <w:sz w:val="18"/>
          <w:szCs w:val="18"/>
          <w:i w:val="1"/>
          <w:iCs w:val="1"/>
          <w:color w:val="auto"/>
        </w:rPr>
        <w:t>, Improvements to Income Tax Disclosures</w:t>
      </w:r>
      <w:r>
        <w:rPr>
          <w:rFonts w:ascii="Times New Roman" w:cs="Times New Roman" w:eastAsia="Times New Roman" w:hAnsi="Times New Roman"/>
          <w:sz w:val="18"/>
          <w:szCs w:val="18"/>
          <w:color w:val="auto"/>
        </w:rPr>
        <w:t xml:space="preserve">, to provide more detailed income tax disclosure requirements. The guidance requires entities to disclose disaggregated information about their effective tax rate reconciliation as well as information on income taxes paid. The disclosure requirements will be applied on a prospective basis, with the option to apply it retrospectively. The effective date for the standard is for fiscal years beginning after </w:t>
      </w:r>
      <w:r>
        <w:rPr>
          <w:rFonts w:ascii="Times New Roman" w:cs="Times New Roman" w:eastAsia="Times New Roman" w:hAnsi="Times New Roman"/>
          <w:sz w:val="18"/>
          <w:szCs w:val="18"/>
          <w:i w:val="1"/>
          <w:iCs w:val="1"/>
          <w:color w:val="auto"/>
        </w:rPr>
        <w:t>December 15, 2024,</w:t>
      </w:r>
      <w:r>
        <w:rPr>
          <w:rFonts w:ascii="Times New Roman" w:cs="Times New Roman" w:eastAsia="Times New Roman" w:hAnsi="Times New Roman"/>
          <w:sz w:val="18"/>
          <w:szCs w:val="18"/>
          <w:color w:val="auto"/>
        </w:rPr>
        <w:t xml:space="preserve"> with early adoption permitted. The Company is currently evaluating the effects adoption of this guidance will have on the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Product Sales, Net</w:t>
      </w:r>
    </w:p>
    <w:p>
      <w:pPr>
        <w:spacing w:after="0" w:line="237" w:lineRule="exact"/>
        <w:rPr>
          <w:sz w:val="20"/>
          <w:szCs w:val="20"/>
          <w:color w:val="auto"/>
        </w:rPr>
      </w:pPr>
    </w:p>
    <w:p>
      <w:pPr>
        <w:jc w:val="both"/>
        <w:ind w:firstLine="240"/>
        <w:spacing w:after="0" w:line="246" w:lineRule="auto"/>
        <w:rPr>
          <w:sz w:val="20"/>
          <w:szCs w:val="20"/>
          <w:color w:val="auto"/>
        </w:rPr>
      </w:pPr>
      <w:r>
        <w:rPr>
          <w:rFonts w:ascii="Times New Roman" w:cs="Times New Roman" w:eastAsia="Times New Roman" w:hAnsi="Times New Roman"/>
          <w:sz w:val="18"/>
          <w:szCs w:val="18"/>
          <w:color w:val="auto"/>
        </w:rPr>
        <w:t>As disclosed in Note 2, the Company recognizes product revenue from sales of MACI biopsy kits, MACI implants, Epicel grafts, and NexoBrid following the five-step model in Accounting Standards Codification 606, Revenue Recognition.</w:t>
      </w: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MACI Biopsy Kits</w:t>
      </w:r>
    </w:p>
    <w:p>
      <w:pPr>
        <w:spacing w:after="0" w:line="249"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MACI biopsy kits are sold directly to hospitals and ambulatory surgical centers based on contracted rates in an approved contract or sales order. The Company recognizes MACI kit revenue upon delivery of the biopsy kit, at which time the customer (the facility) is in control of the kit. The kit is used by the doctor to provide a sample of cartilage tissue to the Company, which can later be used to manufacture a MACI implant. The ordering of the kit does not obligate the Company to manufacture an implant nor does the receipt of the cartilage tissue by the Company from the customer following biopsy. The customer’s order of an implant is separate from the process of ordering the biopsy kit. Therefore, the sale of the biopsy kit and any subsequent sale of an implant are distinct contracts and are accounted for separately.</w:t>
      </w: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MACI Implants</w:t>
      </w:r>
    </w:p>
    <w:p>
      <w:pPr>
        <w:spacing w:after="0" w:line="24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Company contracts with two specialty pharmacies, Orsini Pharmaceutical Services, Inc. (“Orsini”) and AllCare Plus Pharmacy, Inc. (“AllCare”) to distribute MACI in a manner in which the Company retains the credit and collection risk from the end customer. The Company pays each specialty pharmacy a fee in each instance when it dispenses MACI for use in treating a patient. Both Orsini and AllCare perform collection activities to collect payment from customers. In addition, the Company sells MACI directly to hospitals pursuant to an agreed upon purchase order and to a distributor, DMS Pharmaceutical Group, Inc. (“DMS”) at a contracted rate for the treatment of patients at military facilities throughout the U.S. The Company engages a third party to provide services in connection with a patient support program to manage patient cases and to ensure that complete and correct billing information is provided to the insurers and hospitals.</w:t>
      </w:r>
    </w:p>
    <w:p>
      <w:pPr>
        <w:spacing w:after="0" w:line="21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Prior authorization and confirmation of coverage level by the patient’s private insurance plan, hospital or government payer is a prerequisite to the shipment of product to a patient. The Company recognizes product revenue from sales of all MACI implants upon delivery at which time the customer obtains control of the implant and the claim is billable. The total consideration that the Company expects to collect in exchange for MACI implants (the “Transaction Price”) may be fixed or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4" w:name="page85"/>
    <w:bookmarkEnd w:id="8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Direct sales to hospitals or distributors are recorded at a contracted price, and there are typically no forms of variable consideration.</w:t>
      </w:r>
    </w:p>
    <w:p>
      <w:pPr>
        <w:spacing w:after="0" w:line="247"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7"/>
          <w:szCs w:val="17"/>
          <w:color w:val="auto"/>
        </w:rPr>
        <w:t xml:space="preserve">When the Company sells MACI through its specialty pharmacies,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The Company estimates expected collections for these transactions using the portfolio approach. The Company records a reduction to revenue at the time of sale for its estimate of the amount of consideration that will not be collected. In addition, potential credit risk exposure has been evaluated for the Company’s accounts receivable in accordance with </w:t>
      </w:r>
      <w:r>
        <w:rPr>
          <w:rFonts w:ascii="Times New Roman" w:cs="Times New Roman" w:eastAsia="Times New Roman" w:hAnsi="Times New Roman"/>
          <w:sz w:val="17"/>
          <w:szCs w:val="17"/>
          <w:i w:val="1"/>
          <w:iCs w:val="1"/>
          <w:color w:val="auto"/>
        </w:rPr>
        <w:t>ASC 326, Financial Instruments - Credit Losses</w:t>
      </w:r>
      <w:r>
        <w:rPr>
          <w:rFonts w:ascii="Times New Roman" w:cs="Times New Roman" w:eastAsia="Times New Roman" w:hAnsi="Times New Roman"/>
          <w:sz w:val="17"/>
          <w:szCs w:val="17"/>
          <w:color w:val="auto"/>
        </w:rPr>
        <w:t>. The Company assesses risk and determines a loss percentage by pooling accounts receivable based on similar risk characteristics. The loss percentage is calculated through the use of forecasts that are based on current and historical economic and financial information. This loss percentage was applied to the accounts receivables as of December 31, 2023. The total allowance for uncollectible consideration was $5.6 million and $6.1 million as of December 31, 2023, and 2022, respectively. Changes to the estimate of the amount of consideration that will not be collected could have a material impact on the revenue recognized. A 50 basis points change to the estimated uncollectible percentage could result in an approximately $0.4 million decrease or increase in the revenue recognized for the year ended December 31, 2023.</w:t>
      </w:r>
    </w:p>
    <w:p>
      <w:pPr>
        <w:spacing w:after="0" w:line="20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Changes in estimates of the Transaction Price are recorded through revenue in the period in which such change occurs. Changes in estimates related to prior periods are shown in the Revenue by Product and Customer table below and relate primarily to changes in the initial expected reimbursement or collection expectation upon completion of the billing claims process for MACI implants that occurred in a prior year.</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Epicel</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sells Epicel directly to hospitals and burn centers based on contracted rates stated in an approved contract or purchase order. Similar to MACI, there is no obligation to manufacture Epicel grafts upon receipt of a skin biopsy, and Vericel has no contractual right to receive payment until the product is delivered to the hospital. The Company recognizes product revenue from sales of Epicel upon delivery to the hospital, at which time the customer is in control of the Epicel grafts and the claim is billable to the hospital.</w:t>
      </w: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NexoBrid</w:t>
      </w:r>
    </w:p>
    <w:p>
      <w:pPr>
        <w:spacing w:after="0" w:line="24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Company entered into exclusive license and supply agreements with MediWound in May 2019, pursuant to which MediWound will manufacture and supply NexoBrid on a unit price basis, which may be increased pursuant to the terms of the agreements. Additionally, beginning in 2020 the U.S. Biomedical Advanced Research and Development Authority (“BARDA”) procured quantities of NexoBrid from MediWound, for use as a medical countermeasure in the event of a mass casualty emergency in the U.S. involving thermal burns. The initial, quarterly, procurement of NexoBrid by BARDA under its agreement with MediWound completed during the third quarter of 2022. The Company recognized revenue based on a percentage of gross profits for sales of NexoBrid to BARDA upon delivery, at which time BARDA was in control of the product. As of December 31, 2023, the Company did not hold a direct contract or distribution agreement with BARDA, or take title to the product procured by BARDA.</w:t>
      </w:r>
    </w:p>
    <w:p>
      <w:pPr>
        <w:spacing w:after="0" w:line="21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On May 9, 2023, MediWound announced BARDA’s award of additional funding under the parties’ existing agreement, $3.0 million of which will support the replacement of NexoBrid, previously procured for emergency response preparedness, which has since expired. Pursuant to the terms of the Company’s license agreement with MediWound, the Company would recognize revenue based on a percentage of gross profits, minus a percentage of net sales, on any sales of NexoBrid directly to BARDA upon delivery, pursuant to this additional award.</w:t>
      </w:r>
    </w:p>
    <w:p>
      <w:pPr>
        <w:spacing w:after="0" w:line="20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Additionally, on December 28, 2022, the FDA approved a BLA for NexoBrid, granting a license for commercial use in the U.S. NexoBrid is a topically-administered biological orphan product containing proteolytic enzymes, which is indicated for the removal of eschar in adults with deep partial-thickness and/or full thickness thermal burns. In September 2023, the Company announced the U.S. commercial availability of NexoBrid and subsequently commenced commercial sales of the product.</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sells NexoBrid to specialty distributors. These customers subsequently resell NexoBrid to hospitals and burn centers. Product revenue is recorded net of reserves for specialty distributor fees, prompt payment discounts and allowances for returns, as applicable. The Company recognizes product revenue from sales of NexoBrid when the specialty distributors take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5" w:name="page86"/>
    <w:bookmarkEnd w:id="8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of the product, which typically occurs upon delivery to the specialty distributors.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Product and Customer</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and descriptions below show the products from which the Company generated its revenue for the periods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 by product (in thousands)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8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7"/>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MACI implants and kits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20" w:type="dxa"/>
            <w:vAlign w:val="bottom"/>
            <w:gridSpan w:val="2"/>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Implants based on contracted rate sold through a specialty pharmacy </w:t>
            </w:r>
            <w:r>
              <w:rPr>
                <w:rFonts w:ascii="Times New Roman" w:cs="Times New Roman" w:eastAsia="Times New Roman" w:hAnsi="Times New Roman"/>
                <w:sz w:val="23"/>
                <w:szCs w:val="23"/>
                <w:color w:val="auto"/>
                <w:vertAlign w:val="superscript"/>
              </w:rPr>
              <w:t>(a)</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105,948</w:t>
            </w:r>
          </w:p>
        </w:tc>
        <w:tc>
          <w:tcPr>
            <w:tcW w:w="4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81,388</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71,969</w:t>
            </w:r>
          </w:p>
        </w:tc>
        <w:tc>
          <w:tcPr>
            <w:tcW w:w="0" w:type="dxa"/>
            <w:vAlign w:val="bottom"/>
          </w:tcPr>
          <w:p>
            <w:pPr>
              <w:spacing w:after="0"/>
              <w:rPr>
                <w:sz w:val="1"/>
                <w:szCs w:val="1"/>
                <w:color w:val="auto"/>
              </w:rPr>
            </w:pPr>
          </w:p>
        </w:tc>
      </w:tr>
      <w:tr>
        <w:trPr>
          <w:trHeight w:val="227"/>
        </w:trPr>
        <w:tc>
          <w:tcPr>
            <w:tcW w:w="6820" w:type="dxa"/>
            <w:vAlign w:val="bottom"/>
            <w:gridSpan w:val="2"/>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Implants subject to third party reimbursement sold through a specialty pharmacy </w:t>
            </w:r>
            <w:r>
              <w:rPr>
                <w:rFonts w:ascii="Times New Roman" w:cs="Times New Roman" w:eastAsia="Times New Roman" w:hAnsi="Times New Roman"/>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0" w:type="dxa"/>
            <w:vAlign w:val="bottom"/>
          </w:tcPr>
          <w:p>
            <w:pPr>
              <w:spacing w:after="0"/>
              <w:rPr>
                <w:sz w:val="1"/>
                <w:szCs w:val="1"/>
                <w:color w:val="auto"/>
              </w:rPr>
            </w:pPr>
          </w:p>
        </w:tc>
      </w:tr>
      <w:tr>
        <w:trPr>
          <w:trHeight w:val="227"/>
        </w:trPr>
        <w:tc>
          <w:tcPr>
            <w:tcW w:w="6820" w:type="dxa"/>
            <w:vAlign w:val="bottom"/>
            <w:gridSpan w:val="2"/>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Implants sold direct based on contracted rates </w:t>
            </w:r>
            <w:r>
              <w:rPr>
                <w:rFonts w:ascii="Times New Roman" w:cs="Times New Roman" w:eastAsia="Times New Roman" w:hAnsi="Times New Roman"/>
                <w:sz w:val="23"/>
                <w:szCs w:val="23"/>
                <w:color w:val="auto"/>
                <w:vertAlign w:val="superscript"/>
              </w:rPr>
              <w:t>(c)</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18,714</w:t>
            </w:r>
          </w:p>
        </w:tc>
        <w:tc>
          <w:tcPr>
            <w:tcW w:w="0" w:type="dxa"/>
            <w:vAlign w:val="bottom"/>
          </w:tcPr>
          <w:p>
            <w:pPr>
              <w:spacing w:after="0"/>
              <w:rPr>
                <w:sz w:val="1"/>
                <w:szCs w:val="1"/>
                <w:color w:val="auto"/>
              </w:rPr>
            </w:pPr>
          </w:p>
        </w:tc>
      </w:tr>
      <w:tr>
        <w:trPr>
          <w:trHeight w:val="227"/>
        </w:trPr>
        <w:tc>
          <w:tcPr>
            <w:tcW w:w="6820" w:type="dxa"/>
            <w:vAlign w:val="bottom"/>
            <w:gridSpan w:val="2"/>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Implants sold direct subject to third-party reimbursement </w:t>
            </w:r>
            <w:r>
              <w:rPr>
                <w:rFonts w:ascii="Times New Roman" w:cs="Times New Roman" w:eastAsia="Times New Roman" w:hAnsi="Times New Roman"/>
                <w:sz w:val="23"/>
                <w:szCs w:val="23"/>
                <w:color w:val="auto"/>
                <w:vertAlign w:val="superscript"/>
              </w:rPr>
              <w:t>(d)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0" w:type="dxa"/>
            <w:vAlign w:val="bottom"/>
          </w:tcPr>
          <w:p>
            <w:pPr>
              <w:spacing w:after="0"/>
              <w:rPr>
                <w:sz w:val="1"/>
                <w:szCs w:val="1"/>
                <w:color w:val="auto"/>
              </w:rPr>
            </w:pPr>
          </w:p>
        </w:tc>
      </w:tr>
      <w:tr>
        <w:trPr>
          <w:trHeight w:val="227"/>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Biopsy kits - direct bill</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0" w:type="dxa"/>
            <w:vAlign w:val="bottom"/>
          </w:tcPr>
          <w:p>
            <w:pPr>
              <w:spacing w:after="0"/>
              <w:rPr>
                <w:sz w:val="1"/>
                <w:szCs w:val="1"/>
                <w:color w:val="auto"/>
              </w:rPr>
            </w:pPr>
          </w:p>
        </w:tc>
      </w:tr>
      <w:tr>
        <w:trPr>
          <w:trHeight w:val="227"/>
        </w:trPr>
        <w:tc>
          <w:tcPr>
            <w:tcW w:w="6820" w:type="dxa"/>
            <w:vAlign w:val="bottom"/>
            <w:gridSpan w:val="2"/>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Change in estimates related to prior periods </w:t>
            </w:r>
            <w:r>
              <w:rPr>
                <w:rFonts w:ascii="Times New Roman" w:cs="Times New Roman" w:eastAsia="Times New Roman" w:hAnsi="Times New Roman"/>
                <w:sz w:val="23"/>
                <w:szCs w:val="23"/>
                <w:color w:val="auto"/>
                <w:vertAlign w:val="superscript"/>
              </w:rPr>
              <w:t>(e)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0"/>
        </w:trPr>
        <w:tc>
          <w:tcPr>
            <w:tcW w:w="6820" w:type="dxa"/>
            <w:vAlign w:val="bottom"/>
            <w:gridSpan w:val="2"/>
          </w:tcPr>
          <w:p>
            <w:pPr>
              <w:ind w:left="420"/>
              <w:spacing w:after="0"/>
              <w:rPr>
                <w:sz w:val="20"/>
                <w:szCs w:val="20"/>
                <w:color w:val="auto"/>
              </w:rPr>
            </w:pPr>
            <w:r>
              <w:rPr>
                <w:rFonts w:ascii="Times New Roman" w:cs="Times New Roman" w:eastAsia="Times New Roman" w:hAnsi="Times New Roman"/>
                <w:sz w:val="18"/>
                <w:szCs w:val="18"/>
                <w:i w:val="1"/>
                <w:iCs w:val="1"/>
                <w:color w:val="auto"/>
              </w:rPr>
              <w:t>Total MACI implants and kits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111,554</w:t>
            </w:r>
          </w:p>
        </w:tc>
        <w:tc>
          <w:tcPr>
            <w:tcW w:w="0" w:type="dxa"/>
            <w:vAlign w:val="bottom"/>
          </w:tcPr>
          <w:p>
            <w:pPr>
              <w:spacing w:after="0"/>
              <w:rPr>
                <w:sz w:val="1"/>
                <w:szCs w:val="1"/>
                <w:color w:val="auto"/>
              </w:rPr>
            </w:pPr>
          </w:p>
        </w:tc>
      </w:tr>
      <w:tr>
        <w:trPr>
          <w:trHeight w:val="227"/>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Epicel</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 bill (hospital)</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41,521</w:t>
            </w:r>
          </w:p>
        </w:tc>
        <w:tc>
          <w:tcPr>
            <w:tcW w:w="0" w:type="dxa"/>
            <w:vAlign w:val="bottom"/>
          </w:tcPr>
          <w:p>
            <w:pPr>
              <w:spacing w:after="0"/>
              <w:rPr>
                <w:sz w:val="1"/>
                <w:szCs w:val="1"/>
                <w:color w:val="auto"/>
              </w:rPr>
            </w:pPr>
          </w:p>
        </w:tc>
      </w:tr>
      <w:tr>
        <w:trPr>
          <w:trHeight w:val="267"/>
        </w:trPr>
        <w:tc>
          <w:tcPr>
            <w:tcW w:w="6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6820" w:type="dxa"/>
            <w:vAlign w:val="bottom"/>
            <w:tcBorders>
              <w:bottom w:val="single" w:sz="8" w:color="CCEEFF"/>
            </w:tcBorders>
            <w:gridSpan w:val="2"/>
          </w:tcPr>
          <w:p>
            <w:pPr>
              <w:ind w:left="20"/>
              <w:spacing w:after="0" w:line="226" w:lineRule="exact"/>
              <w:rPr>
                <w:sz w:val="20"/>
                <w:szCs w:val="20"/>
                <w:color w:val="auto"/>
              </w:rPr>
            </w:pPr>
            <w:r>
              <w:rPr>
                <w:rFonts w:ascii="Times New Roman" w:cs="Times New Roman" w:eastAsia="Times New Roman" w:hAnsi="Times New Roman"/>
                <w:sz w:val="18"/>
                <w:szCs w:val="18"/>
                <w:i w:val="1"/>
                <w:iCs w:val="1"/>
                <w:color w:val="auto"/>
              </w:rPr>
              <w:t xml:space="preserve">NexoBrid revenue </w:t>
            </w:r>
            <w:r>
              <w:rPr>
                <w:rFonts w:ascii="Times New Roman" w:cs="Times New Roman" w:eastAsia="Times New Roman" w:hAnsi="Times New Roman"/>
                <w:sz w:val="23"/>
                <w:szCs w:val="23"/>
                <w:i w:val="1"/>
                <w:iCs w:val="1"/>
                <w:color w:val="auto"/>
                <w:vertAlign w:val="superscript"/>
              </w:rPr>
              <w:t>(f)</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0" w:type="dxa"/>
            <w:vAlign w:val="bottom"/>
          </w:tcPr>
          <w:p>
            <w:pPr>
              <w:spacing w:after="0"/>
              <w:rPr>
                <w:sz w:val="1"/>
                <w:szCs w:val="1"/>
                <w:color w:val="auto"/>
              </w:rPr>
            </w:pPr>
          </w:p>
        </w:tc>
      </w:tr>
      <w:tr>
        <w:trPr>
          <w:trHeight w:val="245"/>
        </w:trPr>
        <w:tc>
          <w:tcPr>
            <w:tcW w:w="6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197,516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156,184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34225" cy="2540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254000"/>
                    </a:xfrm>
                    <a:prstGeom prst="rect">
                      <a:avLst/>
                    </a:prstGeom>
                    <a:noFill/>
                  </pic:spPr>
                </pic:pic>
              </a:graphicData>
            </a:graphic>
          </wp:anchor>
        </w:drawing>
      </w:r>
    </w:p>
    <w:p>
      <w:pPr>
        <w:spacing w:after="0" w:line="184" w:lineRule="exact"/>
        <w:rPr>
          <w:sz w:val="20"/>
          <w:szCs w:val="20"/>
          <w:color w:val="auto"/>
        </w:rPr>
      </w:pPr>
    </w:p>
    <w:p>
      <w:pPr>
        <w:ind w:left="180" w:right="180" w:hanging="156"/>
        <w:spacing w:after="0" w:line="293" w:lineRule="auto"/>
        <w:tabs>
          <w:tab w:leader="none" w:pos="21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pharmacies have a direct contract with the underlying insurance provider. The amount of reimbursement is based on contracted rates at the time of sale supported by the pharmacy’s direct contracts.</w:t>
      </w:r>
    </w:p>
    <w:p>
      <w:pPr>
        <w:spacing w:after="0" w:line="140" w:lineRule="exact"/>
        <w:rPr>
          <w:rFonts w:ascii="Times New Roman" w:cs="Times New Roman" w:eastAsia="Times New Roman" w:hAnsi="Times New Roman"/>
          <w:sz w:val="14"/>
          <w:szCs w:val="14"/>
          <w:color w:val="auto"/>
        </w:rPr>
      </w:pPr>
    </w:p>
    <w:p>
      <w:pPr>
        <w:ind w:left="180" w:right="160" w:hanging="156"/>
        <w:spacing w:after="0" w:line="293" w:lineRule="auto"/>
        <w:tabs>
          <w:tab w:leader="none" w:pos="221"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pharmacy does not have a direct contract with the underlying payer and are subject to third-party reimbursement. The amount of reimbursement is established based on publicly available rates, fee schedules or past payer precedents.</w:t>
      </w:r>
    </w:p>
    <w:p>
      <w:pPr>
        <w:spacing w:after="0" w:line="140" w:lineRule="exact"/>
        <w:rPr>
          <w:rFonts w:ascii="Times New Roman" w:cs="Times New Roman" w:eastAsia="Times New Roman" w:hAnsi="Times New Roman"/>
          <w:sz w:val="14"/>
          <w:szCs w:val="14"/>
          <w:color w:val="auto"/>
        </w:rPr>
      </w:pPr>
    </w:p>
    <w:p>
      <w:pPr>
        <w:ind w:left="180" w:right="260" w:hanging="156"/>
        <w:spacing w:after="0" w:line="293" w:lineRule="auto"/>
        <w:tabs>
          <w:tab w:leader="none" w:pos="21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Also represents direct sales under a contract to specialty distributor DMS.</w:t>
      </w:r>
    </w:p>
    <w:p>
      <w:pPr>
        <w:spacing w:after="0" w:line="140" w:lineRule="exact"/>
        <w:rPr>
          <w:rFonts w:ascii="Times New Roman" w:cs="Times New Roman" w:eastAsia="Times New Roman" w:hAnsi="Times New Roman"/>
          <w:sz w:val="14"/>
          <w:szCs w:val="14"/>
          <w:color w:val="auto"/>
        </w:rPr>
      </w:pPr>
    </w:p>
    <w:p>
      <w:pPr>
        <w:ind w:left="180" w:right="360" w:hanging="156"/>
        <w:spacing w:after="0" w:line="293" w:lineRule="auto"/>
        <w:tabs>
          <w:tab w:leader="none" w:pos="221"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140" w:lineRule="exact"/>
        <w:rPr>
          <w:rFonts w:ascii="Times New Roman" w:cs="Times New Roman" w:eastAsia="Times New Roman" w:hAnsi="Times New Roman"/>
          <w:sz w:val="14"/>
          <w:szCs w:val="14"/>
          <w:color w:val="auto"/>
        </w:rPr>
      </w:pPr>
    </w:p>
    <w:p>
      <w:pPr>
        <w:ind w:left="180" w:right="60" w:hanging="156"/>
        <w:spacing w:after="0" w:line="293" w:lineRule="auto"/>
        <w:tabs>
          <w:tab w:leader="none" w:pos="21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changes in estimates related to implants sold through Orsini or AllCare and relate to changes to the initial expected reimbursement or collection expectations upon completion of the billing claims process. The change in estimates is a result of additional information, changes in collection expectations or actual cash collections received in the current period.</w:t>
      </w:r>
    </w:p>
    <w:p>
      <w:pPr>
        <w:spacing w:after="0" w:line="140" w:lineRule="exact"/>
        <w:rPr>
          <w:rFonts w:ascii="Times New Roman" w:cs="Times New Roman" w:eastAsia="Times New Roman" w:hAnsi="Times New Roman"/>
          <w:sz w:val="14"/>
          <w:szCs w:val="14"/>
          <w:color w:val="auto"/>
        </w:rPr>
      </w:pPr>
    </w:p>
    <w:p>
      <w:pPr>
        <w:ind w:left="180" w:right="200" w:hanging="156"/>
        <w:spacing w:after="0" w:line="293" w:lineRule="auto"/>
        <w:tabs>
          <w:tab w:leader="none" w:pos="19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commercial revenue for the year ended December 31, 2023. In the years ended December 31, 2022 and 2021, represents revenue based on a percentage of gross profits for sales of NexoBrid to BARDA, pursuant to the license agreement between the Company and MediWound (see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-1607185</wp:posOffset>
            </wp:positionV>
            <wp:extent cx="7134225" cy="2457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-1268095</wp:posOffset>
            </wp:positionV>
            <wp:extent cx="7134225" cy="2457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-929640</wp:posOffset>
            </wp:positionV>
            <wp:extent cx="7134225" cy="2457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-590550</wp:posOffset>
            </wp:positionV>
            <wp:extent cx="7134225" cy="2457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2457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-251460</wp:posOffset>
            </wp:positionV>
            <wp:extent cx="7134225" cy="2457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245745"/>
                    </a:xfrm>
                    <a:prstGeom prst="rect">
                      <a:avLst/>
                    </a:prstGeom>
                    <a:noFill/>
                  </pic:spPr>
                </pic:pic>
              </a:graphicData>
            </a:graphic>
          </wp:anchor>
        </w:drawing>
      </w:r>
    </w:p>
    <w:p>
      <w:pPr>
        <w:spacing w:after="0" w:line="3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total revenue and accounts receivable concentrations from a single customer consisted of the following:</w:t>
      </w:r>
    </w:p>
    <w:p>
      <w:pPr>
        <w:spacing w:after="0" w:line="285"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For the year ended and as of</w:t>
            </w:r>
          </w:p>
        </w:tc>
        <w:tc>
          <w:tcPr>
            <w:tcW w:w="222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Accounts Receivable</w:t>
            </w:r>
          </w:p>
        </w:tc>
      </w:tr>
      <w:tr>
        <w:trPr>
          <w:trHeight w:val="220"/>
        </w:trPr>
        <w:tc>
          <w:tcPr>
            <w:tcW w:w="6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00" w:type="dxa"/>
            <w:vAlign w:val="bottom"/>
          </w:tcPr>
          <w:p>
            <w:pPr>
              <w:spacing w:after="0"/>
              <w:rPr>
                <w:sz w:val="19"/>
                <w:szCs w:val="19"/>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7"/>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6" w:name="page87"/>
    <w:bookmarkEnd w:id="8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Selected Balance Sheet Components</w:t>
      </w:r>
    </w:p>
    <w:p>
      <w:pPr>
        <w:spacing w:after="0" w:line="2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8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7"/>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15,101</w:t>
            </w:r>
          </w:p>
        </w:tc>
        <w:tc>
          <w:tcPr>
            <w:tcW w:w="0" w:type="dxa"/>
            <w:vAlign w:val="bottom"/>
          </w:tcPr>
          <w:p>
            <w:pPr>
              <w:spacing w:after="0"/>
              <w:rPr>
                <w:sz w:val="1"/>
                <w:szCs w:val="1"/>
                <w:color w:val="auto"/>
              </w:rPr>
            </w:pP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2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0"/>
        </w:trPr>
        <w:tc>
          <w:tcPr>
            <w:tcW w:w="7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inventory</w:t>
            </w: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15,986</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Property and Equipment</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78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7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8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7"/>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0" w:type="dxa"/>
            <w:vAlign w:val="bottom"/>
          </w:tcPr>
          <w:p>
            <w:pPr>
              <w:spacing w:after="0"/>
              <w:rPr>
                <w:sz w:val="1"/>
                <w:szCs w:val="1"/>
                <w:color w:val="auto"/>
              </w:rPr>
            </w:pP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22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w:t>
            </w:r>
          </w:p>
        </w:tc>
        <w:tc>
          <w:tcPr>
            <w:tcW w:w="0" w:type="dxa"/>
            <w:vAlign w:val="bottom"/>
          </w:tcPr>
          <w:p>
            <w:pPr>
              <w:spacing w:after="0"/>
              <w:rPr>
                <w:sz w:val="1"/>
                <w:szCs w:val="1"/>
                <w:color w:val="auto"/>
              </w:rPr>
            </w:pP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13,689</w:t>
            </w:r>
          </w:p>
        </w:tc>
        <w:tc>
          <w:tcPr>
            <w:tcW w:w="0" w:type="dxa"/>
            <w:vAlign w:val="bottom"/>
          </w:tcPr>
          <w:p>
            <w:pPr>
              <w:spacing w:after="0"/>
              <w:rPr>
                <w:sz w:val="1"/>
                <w:szCs w:val="1"/>
                <w:color w:val="auto"/>
              </w:rPr>
            </w:pPr>
          </w:p>
        </w:tc>
      </w:tr>
      <w:tr>
        <w:trPr>
          <w:trHeight w:val="22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0" w:type="dxa"/>
            <w:vAlign w:val="bottom"/>
          </w:tcPr>
          <w:p>
            <w:pPr>
              <w:spacing w:after="0"/>
              <w:rPr>
                <w:sz w:val="1"/>
                <w:szCs w:val="1"/>
                <w:color w:val="auto"/>
              </w:rPr>
            </w:pP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right-of-use lease</w:t>
            </w:r>
          </w:p>
        </w:tc>
        <w:tc>
          <w:tcPr>
            <w:tcW w:w="3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0"/>
        </w:trPr>
        <w:tc>
          <w:tcPr>
            <w:tcW w:w="7860" w:type="dxa"/>
            <w:vAlign w:val="bottom"/>
            <w:tcBorders>
              <w:top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3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63,841</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34,139</w:t>
            </w:r>
          </w:p>
        </w:tc>
        <w:tc>
          <w:tcPr>
            <w:tcW w:w="0" w:type="dxa"/>
            <w:vAlign w:val="bottom"/>
          </w:tcPr>
          <w:p>
            <w:pPr>
              <w:spacing w:after="0"/>
              <w:rPr>
                <w:sz w:val="1"/>
                <w:szCs w:val="1"/>
                <w:color w:val="auto"/>
              </w:rPr>
            </w:pPr>
          </w:p>
        </w:tc>
      </w:tr>
      <w:tr>
        <w:trPr>
          <w:trHeight w:val="227"/>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(18,302)</w:t>
            </w:r>
          </w:p>
        </w:tc>
        <w:tc>
          <w:tcPr>
            <w:tcW w:w="0" w:type="dxa"/>
            <w:vAlign w:val="bottom"/>
          </w:tcPr>
          <w:p>
            <w:pPr>
              <w:spacing w:after="0"/>
              <w:rPr>
                <w:sz w:val="1"/>
                <w:szCs w:val="1"/>
                <w:color w:val="auto"/>
              </w:rPr>
            </w:pPr>
          </w:p>
        </w:tc>
      </w:tr>
      <w:tr>
        <w:trPr>
          <w:trHeight w:val="245"/>
        </w:trPr>
        <w:tc>
          <w:tcPr>
            <w:tcW w:w="78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2022 and 2021 was $4.0 million, $4.0 million and $3.0 million, respectively.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Company’s intangible assets of $7.5 million is comprised of a license for NexoBrid, as a result of regulatory approval received on December 28, 2022. The intangible asset is amortized to cost of product sales.</w:t>
      </w:r>
    </w:p>
    <w:p>
      <w:pPr>
        <w:spacing w:after="0" w:line="223"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60" w:type="dxa"/>
            <w:vAlign w:val="bottom"/>
            <w:gridSpan w:val="5"/>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Life (in</w:t>
            </w: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gridSpan w:val="2"/>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240" w:type="dxa"/>
            <w:vAlign w:val="bottom"/>
          </w:tcPr>
          <w:p>
            <w:pPr>
              <w:spacing w:after="0"/>
              <w:rPr>
                <w:sz w:val="11"/>
                <w:szCs w:val="11"/>
                <w:color w:val="auto"/>
              </w:rPr>
            </w:pPr>
          </w:p>
        </w:tc>
        <w:tc>
          <w:tcPr>
            <w:tcW w:w="80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tcPr>
          <w:p>
            <w:pPr>
              <w:jc w:val="center"/>
              <w:ind w:right="411"/>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780" w:type="dxa"/>
            <w:vAlign w:val="bottom"/>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3"/>
        </w:trPr>
        <w:tc>
          <w:tcPr>
            <w:tcW w:w="1640" w:type="dxa"/>
            <w:vAlign w:val="bottom"/>
            <w:gridSpan w:val="2"/>
            <w:vMerge w:val="continue"/>
          </w:tcPr>
          <w:p>
            <w:pPr>
              <w:spacing w:after="0"/>
              <w:rPr>
                <w:sz w:val="16"/>
                <w:szCs w:val="16"/>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39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 license</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Straight-line</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Amortization expense for the year ended December 31, 2023 was $0.6 million. There was no amortization expense recognized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7" w:name="page88"/>
    <w:bookmarkEnd w:id="8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Future amortization expense of intangible assets as of December 31, 2023 is estimated to be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Accrued Expenses</w:t>
            </w: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8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7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8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gridSpan w:val="3"/>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 related compensation</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related accruals</w:t>
            </w:r>
          </w:p>
        </w:tc>
        <w:tc>
          <w:tcPr>
            <w:tcW w:w="38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reimbursement-related liabilities</w:t>
            </w:r>
          </w:p>
        </w:tc>
        <w:tc>
          <w:tcPr>
            <w:tcW w:w="3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8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accrued expenses</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leases facilities in Ann Arbor, Michigan, Cambridge, Massachusetts and Burlington, Massachusetts. The Ann Arbor facility includes office space, and the Cambridge facilities include clean rooms, laboratories for MACI and Epicel manufacturing and office space. The Company also leases offsite warehouse space and other computer-related equipment.</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With respect to the Ann Arbor facility, during 2023, the Company entered into an amendment to that lease extending its term until April 30, 2025.</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Monthly contractual payments range from $17,000 to $18,000.</w:t>
      </w:r>
    </w:p>
    <w:p>
      <w:pPr>
        <w:spacing w:after="0" w:line="22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January 28, 2022, the Company entered into a lease agreement (the “Burlington Lease”) to lease approximately 126,000 square feet of manufacturing, laboratory and office space in Burlington, Massachusetts (the “Premises”), which is currently being constructed. Once constructed, the Premises will serve as the Company’s new corporate headquarters and primary manufacturing facility.</w:t>
      </w:r>
    </w:p>
    <w:p>
      <w:pPr>
        <w:spacing w:after="0" w:line="20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In April 2023, in connection with the Burlington Lease, the Company entered into a construction escrow agreement (the “Construction Escrow Agreement”) with the facility’s landlord and an escrow agent. Pursuant to the terms of the Construction Escrow Agreement, in April 2023, the Company began funding, into an escrow account maintained by the escrow agent, a portion of its share of tenant improvement construction costs at the facility, which are designated as restricted cash. At the same time, the facility’s landlord began funding a portion of its tenant improvement allowance through a separate escrow account. To date, the Company has transferred into its escrow account 50% of its required cost amount, or approximately $28.3 million. The Company anticipates funding the remaining 50% of its required cost amount in early 2024.</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term of the Burlington Lease began on June 1, 2023, (the “Commencement Date”), when the Company gained control of and commenced tenant improvement work at the Premises. The Company’s obligation to pay rent for the Premises will begin on the earlier of: 13 months from the Commencement Date; or the date on which the Company first occupies the Premises to conduct operations (the “Rent Commencement Date”). The initial term of the Lease is 144 months following the Rent Commencement Date. The Company has a one-time option to extend the term of the Lease for an additional 10 years, exercisable under certain conditions and at a market rate determined in accordance with the Burlington Lease.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8" w:name="page89"/>
    <w:bookmarkEnd w:id="8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240"/>
        <w:spacing w:after="0" w:line="273" w:lineRule="auto"/>
        <w:rPr>
          <w:sz w:val="20"/>
          <w:szCs w:val="20"/>
          <w:color w:val="auto"/>
        </w:rPr>
      </w:pPr>
      <w:r>
        <w:rPr>
          <w:rFonts w:ascii="Times New Roman" w:cs="Times New Roman" w:eastAsia="Times New Roman" w:hAnsi="Times New Roman"/>
          <w:sz w:val="17"/>
          <w:szCs w:val="17"/>
          <w:color w:val="auto"/>
        </w:rPr>
        <w:t>The annual base rent of the Burlington Lease is initially $57 per square foot per year, subject to annual increases of 2.5%. Monthly contractual payments are expected to range from $0.6 million to $0.8 million. Additionally, the Company is responsible for reimbursing the landlord for the Company’s share of the Premises’ property taxes and certain other operating expenses. The Burlington Lease also provides for a tenant improvement allowance from the landlord in an amount equal to $200 per square foot of the Premises, or approximately $24.4 million. The tenant improvement allowance will be used towards the design and construction of the tenant improvements made to the Premises, subject to the terms set forth in the Burlington Lease.</w:t>
      </w:r>
    </w:p>
    <w:p>
      <w:pPr>
        <w:spacing w:after="0" w:line="182" w:lineRule="exact"/>
        <w:rPr>
          <w:sz w:val="20"/>
          <w:szCs w:val="20"/>
          <w:color w:val="auto"/>
        </w:rPr>
      </w:pPr>
    </w:p>
    <w:p>
      <w:pPr>
        <w:ind w:right="80" w:firstLine="240"/>
        <w:spacing w:after="0" w:line="234" w:lineRule="auto"/>
        <w:rPr>
          <w:sz w:val="20"/>
          <w:szCs w:val="20"/>
          <w:color w:val="auto"/>
        </w:rPr>
      </w:pPr>
      <w:r>
        <w:rPr>
          <w:rFonts w:ascii="Times New Roman" w:cs="Times New Roman" w:eastAsia="Times New Roman" w:hAnsi="Times New Roman"/>
          <w:sz w:val="18"/>
          <w:szCs w:val="18"/>
          <w:color w:val="auto"/>
        </w:rPr>
        <w:t>The Company was not involved in the initial construction of the core and shell of the building. On June 1, 2023, the Company gained control of the Premises to begin construction of its tenant improvements. As such, the corresponding right-of-use asset and lease liability of $35.5 million was recorded on the Company’s consolidated balance sheet. As there was not an implicit rate within the lease available, the Company estimated the incremental borrowing rate of 7.7%, based on the rate of interest the Company would have to pay to borrow a similar amount on a collateralized basis over a similar term. The lease term of 13.1 years does not include the lease extension option, as the Company is not reasonably certain to exercise that option. The Company has determined that certain improvements to the Premises are landlord-owned improvements and costs incurred for these improvements are accounted for as a variable lease payment. In the year ended December 31, 2023, the Company recorded a right-of-use asset related to landlord-owned improvements incurred of approximately $2.0 million.</w:t>
      </w:r>
    </w:p>
    <w:p>
      <w:pPr>
        <w:spacing w:after="0" w:line="227"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January 2022, in connection with the execution of the Burlington Lease, the Company issued a letter of credit collateralized by cash deposits of approximately $6.0 million. Subsequent to the execution of the Revolving Credit Agreement on July 29, 2022 (see Note 8, “Revolving Credit Agreement” for further details), the letter of credit is issued under the sub-facility limit of the Revolving Credit Agreement. Such letter of credit shall be reduced to approximately $4.2 million and $1.8 million at the conclusion of the third and sixth lease years, respectively, provided certain conditions set forth in the Burlington Lease are satisfied.</w:t>
      </w:r>
    </w:p>
    <w:p>
      <w:pPr>
        <w:spacing w:after="0" w:line="199" w:lineRule="exact"/>
        <w:rPr>
          <w:sz w:val="20"/>
          <w:szCs w:val="20"/>
          <w:color w:val="auto"/>
        </w:rPr>
      </w:pPr>
    </w:p>
    <w:p>
      <w:pPr>
        <w:jc w:val="both"/>
        <w:ind w:firstLine="240"/>
        <w:spacing w:after="0" w:line="246" w:lineRule="auto"/>
        <w:rPr>
          <w:sz w:val="20"/>
          <w:szCs w:val="20"/>
          <w:color w:val="auto"/>
        </w:rPr>
      </w:pPr>
      <w:r>
        <w:rPr>
          <w:rFonts w:ascii="Times New Roman" w:cs="Times New Roman" w:eastAsia="Times New Roman" w:hAnsi="Times New Roman"/>
          <w:sz w:val="18"/>
          <w:szCs w:val="18"/>
          <w:color w:val="auto"/>
        </w:rPr>
        <w:t>For the year ended December 31, 2023, 2022 and 2021, lease expense of less than $0.1 million was recorded related to short-term leases. For the years ended December 31, 2023, 2022 and 2021, the Company recognized $10.3 million, $6.9 million and $7.3 million, respectively, of operating lease expense. For the years ended December 31, 2023, 2022 and 2021, the Company recognized less than $0.1 million of financing lease expense.</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Operating and finance lease assets and liabilities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600" w:type="dxa"/>
            <w:vAlign w:val="bottom"/>
            <w:gridSpan w:val="2"/>
            <w:vMerge w:val="continue"/>
          </w:tcPr>
          <w:p>
            <w:pPr>
              <w:spacing w:after="0"/>
              <w:rPr>
                <w:sz w:val="16"/>
                <w:szCs w:val="16"/>
                <w:color w:val="auto"/>
              </w:rPr>
            </w:pPr>
          </w:p>
        </w:tc>
        <w:tc>
          <w:tcPr>
            <w:tcW w:w="63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7"/>
        </w:trPr>
        <w:tc>
          <w:tcPr>
            <w:tcW w:w="1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9"/>
                <w:szCs w:val="19"/>
                <w:color w:val="auto"/>
              </w:rPr>
            </w:pPr>
          </w:p>
        </w:tc>
        <w:tc>
          <w:tcPr>
            <w:tcW w:w="6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41,535</w:t>
            </w:r>
          </w:p>
        </w:tc>
        <w:tc>
          <w:tcPr>
            <w:tcW w:w="0" w:type="dxa"/>
            <w:vAlign w:val="bottom"/>
          </w:tcPr>
          <w:p>
            <w:pPr>
              <w:spacing w:after="0"/>
              <w:rPr>
                <w:sz w:val="1"/>
                <w:szCs w:val="1"/>
                <w:color w:val="auto"/>
              </w:rPr>
            </w:pPr>
          </w:p>
        </w:tc>
      </w:tr>
      <w:tr>
        <w:trPr>
          <w:trHeight w:val="227"/>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5"/>
        </w:trPr>
        <w:tc>
          <w:tcPr>
            <w:tcW w:w="1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leased assets</w:t>
            </w:r>
          </w:p>
        </w:tc>
        <w:tc>
          <w:tcPr>
            <w:tcW w:w="6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41,572</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600" w:type="dxa"/>
            <w:vAlign w:val="bottom"/>
            <w:gridSpan w:val="2"/>
            <w:vMerge w:val="continue"/>
          </w:tcPr>
          <w:p>
            <w:pPr>
              <w:spacing w:after="0"/>
              <w:rPr>
                <w:sz w:val="15"/>
                <w:szCs w:val="15"/>
                <w:color w:val="auto"/>
              </w:rPr>
            </w:pPr>
          </w:p>
        </w:tc>
        <w:tc>
          <w:tcPr>
            <w:tcW w:w="6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6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80" w:type="dxa"/>
            <w:vAlign w:val="bottom"/>
          </w:tcPr>
          <w:p>
            <w:pPr>
              <w:spacing w:after="0"/>
              <w:rPr>
                <w:sz w:val="19"/>
                <w:szCs w:val="19"/>
                <w:color w:val="auto"/>
              </w:rPr>
            </w:pPr>
          </w:p>
        </w:tc>
        <w:tc>
          <w:tcPr>
            <w:tcW w:w="5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0" w:type="dxa"/>
            <w:vAlign w:val="bottom"/>
          </w:tcPr>
          <w:p>
            <w:pPr>
              <w:spacing w:after="0"/>
              <w:rPr>
                <w:sz w:val="1"/>
                <w:szCs w:val="1"/>
                <w:color w:val="auto"/>
              </w:rPr>
            </w:pPr>
          </w:p>
        </w:tc>
      </w:tr>
      <w:tr>
        <w:trPr>
          <w:trHeight w:val="22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7"/>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Non-current</w:t>
            </w:r>
          </w:p>
        </w:tc>
        <w:tc>
          <w:tcPr>
            <w:tcW w:w="6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43,268</w:t>
            </w:r>
          </w:p>
        </w:tc>
        <w:tc>
          <w:tcPr>
            <w:tcW w:w="0" w:type="dxa"/>
            <w:vAlign w:val="bottom"/>
          </w:tcPr>
          <w:p>
            <w:pPr>
              <w:spacing w:after="0"/>
              <w:rPr>
                <w:sz w:val="1"/>
                <w:szCs w:val="1"/>
                <w:color w:val="auto"/>
              </w:rPr>
            </w:pPr>
          </w:p>
        </w:tc>
      </w:tr>
      <w:tr>
        <w:trPr>
          <w:trHeight w:val="227"/>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Total leased liabilities</w:t>
            </w:r>
          </w:p>
        </w:tc>
        <w:tc>
          <w:tcPr>
            <w:tcW w:w="6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88,043</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47,611</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Cash paid for amounts included in the measurement of the Company’s operating lease liabilities was $1.7 million, $5.3 million, and $6.0 million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89" w:name="page90"/>
    <w:bookmarkEnd w:id="8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December 31, 2023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5"/>
        </w:trPr>
        <w:tc>
          <w:tcPr>
            <w:tcW w:w="7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0" w:type="dxa"/>
            <w:vAlign w:val="bottom"/>
          </w:tcPr>
          <w:p>
            <w:pPr>
              <w:spacing w:after="0"/>
              <w:rPr>
                <w:sz w:val="1"/>
                <w:szCs w:val="1"/>
                <w:color w:val="auto"/>
              </w:rPr>
            </w:pPr>
          </w:p>
        </w:tc>
      </w:tr>
      <w:tr>
        <w:trPr>
          <w:trHeight w:val="22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13,677</w:t>
            </w:r>
          </w:p>
        </w:tc>
        <w:tc>
          <w:tcPr>
            <w:tcW w:w="0" w:type="dxa"/>
            <w:vAlign w:val="bottom"/>
          </w:tcPr>
          <w:p>
            <w:pPr>
              <w:spacing w:after="0"/>
              <w:rPr>
                <w:sz w:val="1"/>
                <w:szCs w:val="1"/>
                <w:color w:val="auto"/>
              </w:rPr>
            </w:pPr>
          </w:p>
        </w:tc>
      </w:tr>
      <w:tr>
        <w:trPr>
          <w:trHeight w:val="22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w:t>
            </w:r>
          </w:p>
        </w:tc>
        <w:tc>
          <w:tcPr>
            <w:tcW w:w="0" w:type="dxa"/>
            <w:vAlign w:val="bottom"/>
          </w:tcPr>
          <w:p>
            <w:pPr>
              <w:spacing w:after="0"/>
              <w:rPr>
                <w:sz w:val="1"/>
                <w:szCs w:val="1"/>
                <w:color w:val="auto"/>
              </w:rPr>
            </w:pPr>
          </w:p>
        </w:tc>
      </w:tr>
      <w:tr>
        <w:trPr>
          <w:trHeight w:val="22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14,351</w:t>
            </w:r>
          </w:p>
        </w:tc>
        <w:tc>
          <w:tcPr>
            <w:tcW w:w="0" w:type="dxa"/>
            <w:vAlign w:val="bottom"/>
          </w:tcPr>
          <w:p>
            <w:pPr>
              <w:spacing w:after="0"/>
              <w:rPr>
                <w:sz w:val="1"/>
                <w:szCs w:val="1"/>
                <w:color w:val="auto"/>
              </w:rPr>
            </w:pPr>
          </w:p>
        </w:tc>
      </w:tr>
      <w:tr>
        <w:trPr>
          <w:trHeight w:val="22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w:t>
            </w:r>
          </w:p>
        </w:tc>
        <w:tc>
          <w:tcPr>
            <w:tcW w:w="0" w:type="dxa"/>
            <w:vAlign w:val="bottom"/>
          </w:tcPr>
          <w:p>
            <w:pPr>
              <w:spacing w:after="0"/>
              <w:rPr>
                <w:sz w:val="1"/>
                <w:szCs w:val="1"/>
                <w:color w:val="auto"/>
              </w:rPr>
            </w:pPr>
          </w:p>
        </w:tc>
      </w:tr>
      <w:tr>
        <w:trPr>
          <w:trHeight w:val="227"/>
        </w:trPr>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88,486</w:t>
            </w:r>
          </w:p>
        </w:tc>
        <w:tc>
          <w:tcPr>
            <w:tcW w:w="0" w:type="dxa"/>
            <w:vAlign w:val="bottom"/>
          </w:tcPr>
          <w:p>
            <w:pPr>
              <w:spacing w:after="0"/>
              <w:rPr>
                <w:sz w:val="1"/>
                <w:szCs w:val="1"/>
                <w:color w:val="auto"/>
              </w:rPr>
            </w:pPr>
          </w:p>
        </w:tc>
      </w:tr>
      <w:tr>
        <w:trPr>
          <w:trHeight w:val="220"/>
        </w:trPr>
        <w:tc>
          <w:tcPr>
            <w:tcW w:w="7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lease payments</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157,116</w:t>
            </w:r>
          </w:p>
        </w:tc>
        <w:tc>
          <w:tcPr>
            <w:tcW w:w="0" w:type="dxa"/>
            <w:vAlign w:val="bottom"/>
          </w:tcPr>
          <w:p>
            <w:pPr>
              <w:spacing w:after="0"/>
              <w:rPr>
                <w:sz w:val="1"/>
                <w:szCs w:val="1"/>
                <w:color w:val="auto"/>
              </w:rPr>
            </w:pPr>
          </w:p>
        </w:tc>
      </w:tr>
      <w:tr>
        <w:trPr>
          <w:trHeight w:val="227"/>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tenant improvement allowances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(20,721)</w:t>
            </w:r>
          </w:p>
        </w:tc>
        <w:tc>
          <w:tcPr>
            <w:tcW w:w="0" w:type="dxa"/>
            <w:vAlign w:val="bottom"/>
          </w:tcPr>
          <w:p>
            <w:pPr>
              <w:spacing w:after="0"/>
              <w:rPr>
                <w:sz w:val="1"/>
                <w:szCs w:val="1"/>
                <w:color w:val="auto"/>
              </w:rPr>
            </w:pPr>
          </w:p>
        </w:tc>
      </w:tr>
      <w:tr>
        <w:trPr>
          <w:trHeight w:val="227"/>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(48,352)</w:t>
            </w:r>
          </w:p>
        </w:tc>
        <w:tc>
          <w:tcPr>
            <w:tcW w:w="0" w:type="dxa"/>
            <w:vAlign w:val="bottom"/>
          </w:tcPr>
          <w:p>
            <w:pPr>
              <w:spacing w:after="0"/>
              <w:rPr>
                <w:sz w:val="1"/>
                <w:szCs w:val="1"/>
                <w:color w:val="auto"/>
              </w:rPr>
            </w:pPr>
          </w:p>
        </w:tc>
      </w:tr>
      <w:tr>
        <w:trPr>
          <w:trHeight w:val="220"/>
        </w:trPr>
        <w:tc>
          <w:tcPr>
            <w:tcW w:w="7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88,043</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Lease terms and discount rates are as follows:</w:t>
            </w: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79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7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04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95"/>
              </w:rPr>
              <w:t>10.0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center"/>
              <w:ind w:right="273"/>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7"/>
        </w:trPr>
        <w:tc>
          <w:tcPr>
            <w:tcW w:w="7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140" w:type="dxa"/>
            <w:vAlign w:val="bottom"/>
            <w:gridSpan w:val="2"/>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273"/>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7"/>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04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273"/>
              <w:spacing w:after="0"/>
              <w:rPr>
                <w:sz w:val="20"/>
                <w:szCs w:val="20"/>
                <w:color w:val="auto"/>
              </w:rPr>
            </w:pPr>
            <w:r>
              <w:rPr>
                <w:rFonts w:ascii="Times New Roman" w:cs="Times New Roman" w:eastAsia="Times New Roman" w:hAnsi="Times New Roman"/>
                <w:sz w:val="18"/>
                <w:szCs w:val="18"/>
                <w:color w:val="auto"/>
                <w:w w:val="95"/>
              </w:rPr>
              <w:t>5.4%</w:t>
            </w:r>
          </w:p>
        </w:tc>
        <w:tc>
          <w:tcPr>
            <w:tcW w:w="0" w:type="dxa"/>
            <w:vAlign w:val="bottom"/>
          </w:tcPr>
          <w:p>
            <w:pPr>
              <w:spacing w:after="0"/>
              <w:rPr>
                <w:sz w:val="1"/>
                <w:szCs w:val="1"/>
                <w:color w:val="auto"/>
              </w:rPr>
            </w:pPr>
          </w:p>
        </w:tc>
      </w:tr>
      <w:tr>
        <w:trPr>
          <w:trHeight w:val="232"/>
        </w:trPr>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140" w:type="dxa"/>
            <w:vAlign w:val="bottom"/>
            <w:gridSpan w:val="2"/>
          </w:tcPr>
          <w:p>
            <w:pPr>
              <w:jc w:val="center"/>
              <w:ind w:left="35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center"/>
              <w:ind w:right="273"/>
              <w:spacing w:after="0"/>
              <w:rPr>
                <w:sz w:val="20"/>
                <w:szCs w:val="20"/>
                <w:color w:val="auto"/>
              </w:rPr>
            </w:pPr>
            <w:r>
              <w:rPr>
                <w:rFonts w:ascii="Times New Roman" w:cs="Times New Roman" w:eastAsia="Times New Roman" w:hAnsi="Times New Roman"/>
                <w:sz w:val="18"/>
                <w:szCs w:val="18"/>
                <w:color w:val="auto"/>
                <w:w w:val="95"/>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249" w:lineRule="exact"/>
        <w:rPr>
          <w:sz w:val="20"/>
          <w:szCs w:val="20"/>
          <w:color w:val="auto"/>
        </w:rPr>
      </w:pPr>
    </w:p>
    <w:p>
      <w:pPr>
        <w:jc w:val="both"/>
        <w:ind w:right="100" w:firstLine="240"/>
        <w:spacing w:after="0" w:line="263" w:lineRule="auto"/>
        <w:rPr>
          <w:sz w:val="20"/>
          <w:szCs w:val="20"/>
          <w:color w:val="auto"/>
        </w:rPr>
      </w:pPr>
      <w:r>
        <w:rPr>
          <w:rFonts w:ascii="Times New Roman" w:cs="Times New Roman" w:eastAsia="Times New Roman" w:hAnsi="Times New Roman"/>
          <w:sz w:val="18"/>
          <w:szCs w:val="18"/>
          <w:color w:val="auto"/>
        </w:rPr>
        <w:t xml:space="preserve">Marketable debt securities held by the Company are classified as available-for-sale pursuant to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and carried at fair value in the accompanying consolidated balance sheets on a settlement date basis. The following tables summarize the gross unrealized gains and losses of the Company’s marketable securities:</w:t>
      </w:r>
    </w:p>
    <w:p>
      <w:pPr>
        <w:spacing w:after="0" w:line="329"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3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80" w:type="dxa"/>
            <w:vAlign w:val="bottom"/>
          </w:tcPr>
          <w:p>
            <w:pPr>
              <w:spacing w:after="0"/>
              <w:rPr>
                <w:sz w:val="16"/>
                <w:szCs w:val="16"/>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5"/>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0" w:type="dxa"/>
            <w:vAlign w:val="bottom"/>
          </w:tcPr>
          <w:p>
            <w:pPr>
              <w:spacing w:after="0"/>
              <w:rPr>
                <w:sz w:val="1"/>
                <w:szCs w:val="1"/>
                <w:color w:val="auto"/>
              </w:rPr>
            </w:pPr>
          </w:p>
        </w:tc>
      </w:tr>
      <w:tr>
        <w:trPr>
          <w:trHeight w:val="227"/>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45"/>
        </w:trPr>
        <w:tc>
          <w:tcPr>
            <w:tcW w:w="34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Classified as: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4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0" w:type="dxa"/>
            <w:vAlign w:val="bottom"/>
          </w:tcPr>
          <w:p>
            <w:pPr>
              <w:spacing w:after="0"/>
              <w:rPr>
                <w:sz w:val="1"/>
                <w:szCs w:val="1"/>
                <w:color w:val="auto"/>
              </w:rPr>
            </w:pPr>
          </w:p>
        </w:tc>
      </w:tr>
      <w:tr>
        <w:trPr>
          <w:trHeight w:val="227"/>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0" w:type="dxa"/>
            <w:vAlign w:val="bottom"/>
          </w:tcPr>
          <w:p>
            <w:pPr>
              <w:spacing w:after="0"/>
              <w:rPr>
                <w:sz w:val="1"/>
                <w:szCs w:val="1"/>
                <w:color w:val="auto"/>
              </w:rPr>
            </w:pPr>
          </w:p>
        </w:tc>
      </w:tr>
      <w:tr>
        <w:trPr>
          <w:trHeight w:val="245"/>
        </w:trPr>
        <w:tc>
          <w:tcPr>
            <w:tcW w:w="34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77" w:right="239" w:bottom="1440" w:gutter="0" w:footer="0" w:header="0"/>
        </w:sectPr>
      </w:pPr>
    </w:p>
    <w:bookmarkStart w:id="90" w:name="page91"/>
    <w:bookmarkEnd w:id="9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5"/>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0"/>
        </w:trPr>
        <w:tc>
          <w:tcPr>
            <w:tcW w:w="3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9"/>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6"/>
                <w:szCs w:val="16"/>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5"/>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w:t>
            </w:r>
          </w:p>
        </w:tc>
      </w:tr>
      <w:tr>
        <w:trPr>
          <w:trHeight w:val="22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51,328</w:t>
            </w:r>
          </w:p>
        </w:tc>
      </w:tr>
      <w:tr>
        <w:trPr>
          <w:trHeight w:val="227"/>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21,499</w:t>
            </w:r>
          </w:p>
        </w:tc>
      </w:tr>
      <w:tr>
        <w:trPr>
          <w:trHeight w:val="220"/>
        </w:trPr>
        <w:tc>
          <w:tcPr>
            <w:tcW w:w="3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89,411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88,433</w:t>
            </w: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4"/>
        </w:trPr>
        <w:tc>
          <w:tcPr>
            <w:tcW w:w="34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Classified as:</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2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68,471</w:t>
            </w:r>
          </w:p>
        </w:tc>
      </w:tr>
      <w:tr>
        <w:trPr>
          <w:trHeight w:val="227"/>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19,962</w:t>
            </w:r>
          </w:p>
        </w:tc>
      </w:tr>
      <w:tr>
        <w:trPr>
          <w:trHeight w:val="220"/>
        </w:trPr>
        <w:tc>
          <w:tcPr>
            <w:tcW w:w="3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88,433</w:t>
            </w:r>
          </w:p>
        </w:tc>
      </w:tr>
      <w:tr>
        <w:trPr>
          <w:trHeight w:val="20"/>
        </w:trPr>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have been no impairments of the Company’s assets measured and carried at fair value during the years ended December 31, 2023 or 2022.</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1" w:name="page92"/>
    <w:bookmarkEnd w:id="9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Restricted Stock Units and Equity Incentive Plans</w:t>
      </w:r>
    </w:p>
    <w:p>
      <w:pPr>
        <w:spacing w:after="0" w:line="22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has historically had various stock incentive plans and agreements that provide for the issuance of non-qualified and incentive stock options and restricted stock units as well as other equity awards. Such awards may be granted by the Company’s Board of Directors to certain of the Company’s employees, directors and consultants.</w:t>
      </w:r>
    </w:p>
    <w:p>
      <w:pPr>
        <w:spacing w:after="0" w:line="20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Options granted to employees and non-employees under these plans expire no later than ten years from the date of grant. Options and restricted stock units generally become exercisable or vest over a four year period (other than options and restricted stock units awarded annually to non-employee directors, which generally vest over one year, and options and restricted stock units awarded to non-employee directors upon initial appointment to the Vericel Board of Directors, which generally vest over a three year period), under a graded-vesting methodology for stock options and annually on the anniversary grant date for restricted stock units, following the date of grant. The Company generally issues new shares upon the exercise of stock options or vesting of restricted stock units.</w:t>
      </w:r>
    </w:p>
    <w:p>
      <w:pPr>
        <w:spacing w:after="0" w:line="21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Vericel Corporation 2022 Omnibus Incentive Plan (“2022 Plan”) was approved on April 27, 2022, and provides incentives through the grant of stock options, stock appreciation rights, restricted stock awards and restricted stock units. The exercise price of stock options granted under the 2022 Plan shall not be less than the fair market value of the Company’s common stock on the date of grant. The 2022 Plan replaced the 1992 Stock Option Plan, the 2001 Stock Option Plan, the Amended and Restated 2004 Equity Incentive Plan, the 2009 Second Amended and Restated Omnibus Incentive Plan, the 2017 Omnibus Incentive Plan, and the Amended and Restated 2019 Omnibus Incentive Plan (collectively the “Prior Plans”), and no new grants have been granted under the Prior Plans after approval of the 2022 Plan. However, the expiration or forfeiture of options previously granted under the Prior Plans will increase the number of shares available for issuance under the 2022 Plan.</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December 31, 2023, there were 2,572,326 shares available for future grant under the 2022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Expense</w:t>
      </w:r>
    </w:p>
    <w:p>
      <w:pPr>
        <w:spacing w:after="0" w:line="224"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Non-cash stock-based compensation expense (service-based stock options, restricted stock units and employee stock purchase plan) is summarized in the following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4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7"/>
        </w:trPr>
        <w:tc>
          <w:tcPr>
            <w:tcW w:w="5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0" w:type="dxa"/>
            <w:vAlign w:val="bottom"/>
          </w:tcPr>
          <w:p>
            <w:pPr>
              <w:spacing w:after="0"/>
              <w:rPr>
                <w:sz w:val="1"/>
                <w:szCs w:val="1"/>
                <w:color w:val="auto"/>
              </w:rPr>
            </w:pPr>
          </w:p>
        </w:tc>
      </w:tr>
      <w:tr>
        <w:trPr>
          <w:trHeight w:val="227"/>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0" w:type="dxa"/>
            <w:vAlign w:val="bottom"/>
          </w:tcPr>
          <w:p>
            <w:pPr>
              <w:spacing w:after="0"/>
              <w:rPr>
                <w:sz w:val="1"/>
                <w:szCs w:val="1"/>
                <w:color w:val="auto"/>
              </w:rPr>
            </w:pPr>
          </w:p>
        </w:tc>
      </w:tr>
      <w:tr>
        <w:trPr>
          <w:trHeight w:val="227"/>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26,521</w:t>
            </w:r>
          </w:p>
        </w:tc>
        <w:tc>
          <w:tcPr>
            <w:tcW w:w="0" w:type="dxa"/>
            <w:vAlign w:val="bottom"/>
          </w:tcPr>
          <w:p>
            <w:pPr>
              <w:spacing w:after="0"/>
              <w:rPr>
                <w:sz w:val="1"/>
                <w:szCs w:val="1"/>
                <w:color w:val="auto"/>
              </w:rPr>
            </w:pPr>
          </w:p>
        </w:tc>
      </w:tr>
      <w:tr>
        <w:trPr>
          <w:trHeight w:val="220"/>
        </w:trPr>
        <w:tc>
          <w:tcPr>
            <w:tcW w:w="5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34,322</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Service-Based Stock Options</w:t>
      </w:r>
    </w:p>
    <w:p>
      <w:pPr>
        <w:spacing w:after="0" w:line="224"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The fair value of each service-based stock option grant for the reported periods is estimated on the date of the grant using the Black-Scholes option-pricing model using the assumptions noted in the following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Service-Based Stock Options</w:t>
            </w: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32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jc w:val="center"/>
              <w:ind w:right="8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jc w:val="center"/>
              <w:ind w:right="87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7"/>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7"/>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- 66.7%</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- 75.3%</w:t>
            </w:r>
          </w:p>
        </w:tc>
        <w:tc>
          <w:tcPr>
            <w:tcW w:w="16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71.5 - 76.7%</w:t>
            </w:r>
          </w:p>
        </w:tc>
        <w:tc>
          <w:tcPr>
            <w:tcW w:w="0" w:type="dxa"/>
            <w:vAlign w:val="bottom"/>
          </w:tcPr>
          <w:p>
            <w:pPr>
              <w:spacing w:after="0"/>
              <w:rPr>
                <w:sz w:val="1"/>
                <w:szCs w:val="1"/>
                <w:color w:val="auto"/>
              </w:rPr>
            </w:pPr>
          </w:p>
        </w:tc>
      </w:tr>
      <w:tr>
        <w:trPr>
          <w:trHeight w:val="227"/>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- 4.7%</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- 4.4%</w:t>
            </w:r>
          </w:p>
        </w:tc>
        <w:tc>
          <w:tcPr>
            <w:tcW w:w="16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0.53 -1.5%</w:t>
            </w:r>
          </w:p>
        </w:tc>
        <w:tc>
          <w:tcPr>
            <w:tcW w:w="0" w:type="dxa"/>
            <w:vAlign w:val="bottom"/>
          </w:tcPr>
          <w:p>
            <w:pPr>
              <w:spacing w:after="0"/>
              <w:rPr>
                <w:sz w:val="1"/>
                <w:szCs w:val="1"/>
                <w:color w:val="auto"/>
              </w:rPr>
            </w:pPr>
          </w:p>
        </w:tc>
      </w:tr>
      <w:tr>
        <w:trPr>
          <w:trHeight w:val="227"/>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940" w:type="dxa"/>
            <w:vAlign w:val="bottom"/>
          </w:tcPr>
          <w:p>
            <w:pPr>
              <w:spacing w:after="0"/>
              <w:rPr>
                <w:sz w:val="19"/>
                <w:szCs w:val="19"/>
                <w:color w:val="auto"/>
              </w:rPr>
            </w:pPr>
          </w:p>
        </w:tc>
        <w:tc>
          <w:tcPr>
            <w:tcW w:w="1220" w:type="dxa"/>
            <w:vAlign w:val="bottom"/>
          </w:tcPr>
          <w:p>
            <w:pPr>
              <w:jc w:val="center"/>
              <w:ind w:right="876"/>
              <w:spacing w:after="0"/>
              <w:rPr>
                <w:sz w:val="20"/>
                <w:szCs w:val="20"/>
                <w:color w:val="auto"/>
              </w:rPr>
            </w:pPr>
            <w:r>
              <w:rPr>
                <w:rFonts w:ascii="Times New Roman" w:cs="Times New Roman" w:eastAsia="Times New Roman" w:hAnsi="Times New Roman"/>
                <w:sz w:val="18"/>
                <w:szCs w:val="18"/>
                <w:color w:val="auto"/>
                <w:w w:val="97"/>
              </w:rPr>
              <w:t>5.5</w:t>
            </w:r>
          </w:p>
        </w:tc>
        <w:tc>
          <w:tcPr>
            <w:tcW w:w="160" w:type="dxa"/>
            <w:vAlign w:val="bottom"/>
          </w:tcPr>
          <w:p>
            <w:pPr>
              <w:spacing w:after="0"/>
              <w:rPr>
                <w:sz w:val="19"/>
                <w:szCs w:val="19"/>
                <w:color w:val="auto"/>
              </w:rPr>
            </w:pP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5.3 - 6.3</w:t>
            </w:r>
          </w:p>
        </w:tc>
        <w:tc>
          <w:tcPr>
            <w:tcW w:w="16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5.3 - 6.3</w:t>
            </w:r>
          </w:p>
        </w:tc>
        <w:tc>
          <w:tcPr>
            <w:tcW w:w="0" w:type="dxa"/>
            <w:vAlign w:val="bottom"/>
          </w:tcPr>
          <w:p>
            <w:pPr>
              <w:spacing w:after="0"/>
              <w:rPr>
                <w:sz w:val="1"/>
                <w:szCs w:val="1"/>
                <w:color w:val="auto"/>
              </w:rPr>
            </w:pPr>
          </w:p>
        </w:tc>
      </w:tr>
      <w:tr>
        <w:trPr>
          <w:trHeight w:val="227"/>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2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$18.85</w:t>
            </w:r>
          </w:p>
        </w:tc>
        <w:tc>
          <w:tcPr>
            <w:tcW w:w="16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$19.83</w:t>
            </w:r>
          </w:p>
        </w:tc>
        <w:tc>
          <w:tcPr>
            <w:tcW w:w="16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$32.96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92" w:name="page93"/>
    <w:bookmarkEnd w:id="9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for service-based stock options for the indicated periods: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80" w:type="dxa"/>
            <w:vAlign w:val="bottom"/>
          </w:tcPr>
          <w:p>
            <w:pPr>
              <w:spacing w:after="0"/>
              <w:rPr>
                <w:sz w:val="13"/>
                <w:szCs w:val="13"/>
                <w:color w:val="auto"/>
              </w:rPr>
            </w:pPr>
          </w:p>
        </w:tc>
        <w:tc>
          <w:tcPr>
            <w:tcW w:w="10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1"/>
                <w:szCs w:val="11"/>
                <w:color w:val="auto"/>
              </w:rPr>
            </w:pPr>
          </w:p>
        </w:tc>
        <w:tc>
          <w:tcPr>
            <w:tcW w:w="1060" w:type="dxa"/>
            <w:vAlign w:val="bottom"/>
          </w:tcPr>
          <w:p>
            <w:pPr>
              <w:jc w:val="center"/>
              <w:ind w:right="61"/>
              <w:spacing w:after="0" w:line="13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58"/>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Service-Based Stock Options</w:t>
            </w:r>
          </w:p>
        </w:tc>
        <w:tc>
          <w:tcPr>
            <w:tcW w:w="17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3"/>
                <w:szCs w:val="13"/>
                <w:color w:val="auto"/>
              </w:rPr>
            </w:pPr>
          </w:p>
        </w:tc>
        <w:tc>
          <w:tcPr>
            <w:tcW w:w="1440" w:type="dxa"/>
            <w:vAlign w:val="bottom"/>
          </w:tcPr>
          <w:p>
            <w:pPr>
              <w:jc w:val="right"/>
              <w:ind w:right="155"/>
              <w:spacing w:after="0" w:line="158"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3"/>
                <w:szCs w:val="13"/>
                <w:color w:val="auto"/>
              </w:rPr>
            </w:pPr>
          </w:p>
        </w:tc>
        <w:tc>
          <w:tcPr>
            <w:tcW w:w="174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80" w:type="dxa"/>
            <w:vAlign w:val="bottom"/>
          </w:tcPr>
          <w:p>
            <w:pPr>
              <w:spacing w:after="0"/>
              <w:rPr>
                <w:sz w:val="13"/>
                <w:szCs w:val="13"/>
                <w:color w:val="auto"/>
              </w:rPr>
            </w:pPr>
          </w:p>
        </w:tc>
        <w:tc>
          <w:tcPr>
            <w:tcW w:w="1060" w:type="dxa"/>
            <w:vAlign w:val="bottom"/>
          </w:tcPr>
          <w:p>
            <w:pPr>
              <w:jc w:val="center"/>
              <w:ind w:right="81"/>
              <w:spacing w:after="0" w:line="158"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3"/>
        </w:trPr>
        <w:tc>
          <w:tcPr>
            <w:tcW w:w="4820" w:type="dxa"/>
            <w:vAlign w:val="bottom"/>
            <w:gridSpan w:val="2"/>
            <w:vMerge w:val="continue"/>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6"/>
                <w:szCs w:val="16"/>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80" w:type="dxa"/>
            <w:vAlign w:val="bottom"/>
          </w:tcPr>
          <w:p>
            <w:pPr>
              <w:spacing w:after="0"/>
              <w:rPr>
                <w:sz w:val="16"/>
                <w:szCs w:val="16"/>
                <w:color w:val="auto"/>
              </w:rPr>
            </w:pPr>
          </w:p>
        </w:tc>
        <w:tc>
          <w:tcPr>
            <w:tcW w:w="10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27"/>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6,609,147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56,708</w:t>
            </w:r>
          </w:p>
        </w:tc>
        <w:tc>
          <w:tcPr>
            <w:tcW w:w="0" w:type="dxa"/>
            <w:vAlign w:val="bottom"/>
          </w:tcPr>
          <w:p>
            <w:pPr>
              <w:spacing w:after="0"/>
              <w:rPr>
                <w:sz w:val="1"/>
                <w:szCs w:val="1"/>
                <w:color w:val="auto"/>
              </w:rPr>
            </w:pPr>
          </w:p>
        </w:tc>
      </w:tr>
      <w:tr>
        <w:trPr>
          <w:trHeight w:val="227"/>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6,716,686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88,387</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4,967,797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As of December 31, 2023, 6,525,103 shares are vested and expected to vest. As of December 31, 2023, there was approximately $20.4 million of total unrecognized compensation cost related to non-vested service-based stock options granted under the 2022 Plan and the Prior Plans. That cost is expected to be recognized over a weighted-average period of 2.2 years.</w:t>
      </w:r>
    </w:p>
    <w:p>
      <w:pPr>
        <w:spacing w:after="0" w:line="17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total intrinsic value of stock options exercised for the years ended December 31, 2023, 2022, and 2021 was $7.5 million, $5.4 million and $39.5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for restricted stock units for the indicated periods:</w:t>
      </w:r>
    </w:p>
    <w:p>
      <w:pPr>
        <w:spacing w:after="0" w:line="119"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Restricted</w:t>
            </w:r>
          </w:p>
        </w:tc>
        <w:tc>
          <w:tcPr>
            <w:tcW w:w="17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Weighted-Average Grant</w:t>
            </w:r>
          </w:p>
        </w:tc>
        <w:tc>
          <w:tcPr>
            <w:tcW w:w="0" w:type="dxa"/>
            <w:vAlign w:val="bottom"/>
          </w:tcPr>
          <w:p>
            <w:pPr>
              <w:spacing w:after="0"/>
              <w:rPr>
                <w:sz w:val="1"/>
                <w:szCs w:val="1"/>
                <w:color w:val="auto"/>
              </w:rPr>
            </w:pPr>
          </w:p>
        </w:tc>
      </w:tr>
      <w:tr>
        <w:trPr>
          <w:trHeight w:val="192"/>
        </w:trPr>
        <w:tc>
          <w:tcPr>
            <w:tcW w:w="4100" w:type="dxa"/>
            <w:vAlign w:val="bottom"/>
            <w:gridSpan w:val="2"/>
            <w:vMerge w:val="continue"/>
          </w:tcPr>
          <w:p>
            <w:pPr>
              <w:spacing w:after="0"/>
              <w:rPr>
                <w:sz w:val="16"/>
                <w:szCs w:val="16"/>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0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6"/>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648,174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930,936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weighted-average grant-date fair value of restricted stock units granted during the years ended December 31, 2023, 2022, and 2021 was $30.36, $33.71 and $52.07, respectively.</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At December 31, 2023 the total unrecognized compensation cost related to the restricted stock units was $17.2 million, and the weighted-average period over which that cost is expected to be recognized was 2.6 years. The total fair value of restricted stock units vested in the years ended December 31, 2023 and 2022 was $6.8 million and $4.6 million respectively.</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Employees are able to purchase stock under the ESPP. The ESPP allows for the issuance of an aggregate of 1.0 million shares of common stock of which 848,470 have been issued since the inception of the benefit in 2015. Participation in this plan is available to substantially all employees. The ESPP is a compensatory plan accounted for under the expense recognition provisions of the share-based payment accounting standards. Compensation expense is recorded based on the fair market value of the purchase options at the grant date, which corresponds to the first day of each purchase period and is amortized over the purchase period.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Revolving Credit Agreement</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On July 29, 2022, the Company, as borrower, entered into a $150.0 million five-year senior secured revolving credit agreement by and among the Company, the other loan parties thereto, the lenders party thereto, and JPMorgan Chase Bank, N.A., as the administrative agent (the “Revolving Credit Agreement”). The Revolving Credit Agreement includes a $15.0 million sub-facility for the issuance of letters of credit, of which the Company is utilizing approximately $6.2 million. Amounts available under the Revolving Credit Agreement are for the working capital needs and other general corporate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3" w:name="page94"/>
    <w:bookmarkEnd w:id="93"/>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purposes of the Company. The Company incurred and capitalized approximately $1.1 million of debt issuance costs related to the Revolving Credit Agreement.</w:t>
      </w:r>
    </w:p>
    <w:p>
      <w:pPr>
        <w:spacing w:after="0" w:line="18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Outstanding borrowings under the Revolving Credit Agreement bear interest, with pricing based from time to time at the Company’s election at (i) the Secured Overnight Financing Rate (“SOFR”) plus 0.10% plus a spread ranging from 1.25% to 2.50% as determined by the Company’s Total Net Leverage Ratio (as defined in the Revolving Credit Agreement) or (ii) the alternative base rate (as defined in the Revolving Credit Agreement) plus a spread ranging from 0.25% to 1.50% as determined by the Company’s Total Net Leverage Ratio. The Revolving Credit Agreement also includes a commitment fee, which ranges from 0.20% to 0.25% as determined by the Company’s Total Net Leverage Ratio.</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is permitted to voluntarily prepay borrowings under the Revolving Credit Agreement, in whole or in part, without premium or penalty. On any business day on which the total amount of outstanding Revolving Loans (as defined in the Revolving Credit Agreement) and letters of credit exceeds the total Revolving Commitments (as defined in the Revolving Credit Agreement), the Company must prepay the Revolving Loans in an amount equal to such excess. As of December 31, 2023, there are no outstanding borrowings under the Revolving Credit Agreement.</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Revolving Credit Agreement contains a number of affirmative, negative, reporting and financial covenants, in each case subject to certain exceptions and materiality thresholds. The Revolving Credit Agreement requires the Company to be in quarterly compliance, measured on a trailing four quarter basis, with a financial covenant. The maximum Total Net Leverage Ratio (as defined in the Revolving Credit Agreement is 3.50 to 1.00. The Company may elect to increase the maximum Total Net Leverage Ratio to 4.00 to 1.00 for a period of four consecutive quarters in connection with a Permitted Acquisition (as defined in the Revolving Credit Agreement).</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Revolving Credit Agreement contains usual and customary restrictions on the ability of the Company and its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20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Obligations under the Revolving Credit Agreement are secured by first priority liens over substantially all of the assets of Vericel Corporation, excluding certain subsidiaries (subject to customary exclusions set forth in the Revolving Credit Agreement and the other transaction documents).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Loss Per Common Share</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summary of net loss per common share is presented below:</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amounts)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9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2"/>
        </w:trPr>
        <w:tc>
          <w:tcPr>
            <w:tcW w:w="5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5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46,472</w:t>
            </w:r>
          </w:p>
        </w:tc>
        <w:tc>
          <w:tcPr>
            <w:tcW w:w="0" w:type="dxa"/>
            <w:vAlign w:val="bottom"/>
          </w:tcPr>
          <w:p>
            <w:pPr>
              <w:spacing w:after="0"/>
              <w:rPr>
                <w:sz w:val="1"/>
                <w:szCs w:val="1"/>
                <w:color w:val="auto"/>
              </w:rPr>
            </w:pPr>
          </w:p>
        </w:tc>
      </w:tr>
      <w:tr>
        <w:trPr>
          <w:trHeight w:val="227"/>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stock options and restricted stock units</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47,590</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47,130</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46,472</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6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Diluted loss per common share</w:t>
            </w:r>
          </w:p>
        </w:tc>
        <w:tc>
          <w:tcPr>
            <w:tcW w:w="380" w:type="dxa"/>
            <w:vAlign w:val="bottom"/>
            <w:tcBorders>
              <w:bottom w:val="single" w:sz="8" w:color="auto"/>
            </w:tcBorders>
          </w:tcPr>
          <w:p>
            <w:pPr>
              <w:jc w:val="right"/>
              <w:ind w:right="19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7"/>
                <w:szCs w:val="17"/>
                <w:color w:val="auto"/>
              </w:rPr>
            </w:pPr>
          </w:p>
        </w:tc>
        <w:tc>
          <w:tcPr>
            <w:tcW w:w="380" w:type="dxa"/>
            <w:vAlign w:val="bottom"/>
            <w:tcBorders>
              <w:bottom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9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diluted net loss per common share:</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0" w:type="dxa"/>
            <w:vAlign w:val="bottom"/>
          </w:tcPr>
          <w:p>
            <w:pPr>
              <w:spacing w:after="0"/>
              <w:rPr>
                <w:sz w:val="1"/>
                <w:szCs w:val="1"/>
                <w:color w:val="auto"/>
              </w:rPr>
            </w:pPr>
          </w:p>
        </w:tc>
      </w:tr>
      <w:tr>
        <w:trPr>
          <w:trHeight w:val="232"/>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4" w:name="page95"/>
    <w:bookmarkEnd w:id="94"/>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Shareholder’s Equity</w:t>
      </w:r>
    </w:p>
    <w:p>
      <w:pPr>
        <w:spacing w:after="0" w:line="2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51" w:lineRule="exact"/>
        <w:rPr>
          <w:sz w:val="20"/>
          <w:szCs w:val="20"/>
          <w:color w:val="auto"/>
        </w:rPr>
      </w:pPr>
    </w:p>
    <w:p>
      <w:pPr>
        <w:jc w:val="both"/>
        <w:ind w:firstLine="240"/>
        <w:spacing w:after="0"/>
        <w:rPr>
          <w:sz w:val="20"/>
          <w:szCs w:val="20"/>
          <w:color w:val="auto"/>
        </w:rPr>
      </w:pPr>
      <w:r>
        <w:rPr>
          <w:rFonts w:ascii="Times New Roman" w:cs="Times New Roman" w:eastAsia="Times New Roman" w:hAnsi="Times New Roman"/>
          <w:sz w:val="18"/>
          <w:szCs w:val="18"/>
          <w:color w:val="222222"/>
        </w:rPr>
        <w:t>On August 27, 2021, the Company entered into a Sales Agreement with Leerink Partners (f/k/a SVB Leerink LLC), as sales agent, pursuant to which it may offer and sell up to $200.0 million of shares of the Company’s common stock, no par value per share (“ATM Shares”). The ATM Shares to be offered and sold under the Sales Agreement will be issued and sold pursuant to an automatically effective shelf registration statement on Form S-3ASR (File No. 333-259119) filed by the Company on August 27, 2021, which expires three years from the filing date. The Company also filed a prospectus supplement relating to the offering and sale of the ATM Shares on August 27, 2021. The Company is not obligated to make any sales of ATM Shares, and Leerink Partners is not required to sell any specific number or dollar amount of the ATM Shares under the Sales Agreement. The Company capitalized certain legal, professional accounting and other third-party fees that were directly associated with in-process stock financings as deferred offering costs until such financings are consummated. As of December 31, 2023, the Company has sold no shares pursuant to the Sales Agreement.</w:t>
      </w:r>
    </w:p>
    <w:p>
      <w:pPr>
        <w:spacing w:after="0" w:line="221" w:lineRule="exact"/>
        <w:rPr>
          <w:sz w:val="20"/>
          <w:szCs w:val="20"/>
          <w:color w:val="auto"/>
        </w:rPr>
      </w:pPr>
    </w:p>
    <w:p>
      <w:pPr>
        <w:ind w:left="260" w:hanging="253"/>
        <w:spacing w:after="0"/>
        <w:tabs>
          <w:tab w:leader="none" w:pos="2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3"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fair value measurements are classified and disclosed in one of the following three categories:</w:t>
      </w:r>
    </w:p>
    <w:p>
      <w:pPr>
        <w:spacing w:after="0" w:line="219" w:lineRule="exact"/>
        <w:rPr>
          <w:rFonts w:ascii="Times New Roman" w:cs="Times New Roman" w:eastAsia="Times New Roman" w:hAnsi="Times New Roman"/>
          <w:sz w:val="18"/>
          <w:szCs w:val="18"/>
          <w:b w:val="1"/>
          <w:bCs w:val="1"/>
          <w:color w:val="auto"/>
        </w:rPr>
      </w:pPr>
    </w:p>
    <w:p>
      <w:pPr>
        <w:ind w:left="640" w:hanging="313"/>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5"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w:t>
      </w:r>
    </w:p>
    <w:p>
      <w:pPr>
        <w:ind w:left="640" w:right="20" w:hanging="313"/>
        <w:spacing w:after="0" w:line="255" w:lineRule="auto"/>
        <w:tabs>
          <w:tab w:leader="none" w:pos="6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18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commercial paper, corporate notes, U.S. government securities, and U.S. government agency bonds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There were no transfers into or out of Level 3 from December 31, 2021 to December 31, 2023.</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valuation of the Company’s financial instruments that are measured at fair value on a recurring basis:</w:t>
      </w:r>
    </w:p>
    <w:p>
      <w:pPr>
        <w:sectPr>
          <w:pgSz w:w="11900" w:h="16838" w:orient="portrait"/>
          <w:cols w:equalWidth="0" w:num="1">
            <w:col w:w="11240"/>
          </w:cols>
          <w:pgMar w:left="320" w:top="177" w:right="339" w:bottom="1440" w:gutter="0" w:footer="0" w:header="0"/>
        </w:sectPr>
      </w:pPr>
    </w:p>
    <w:p>
      <w:pPr>
        <w:spacing w:after="0" w:line="36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1927860</wp:posOffset>
            </wp:positionH>
            <wp:positionV relativeFrom="paragraph">
              <wp:posOffset>31750</wp:posOffset>
            </wp:positionV>
            <wp:extent cx="25247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24760" cy="8255"/>
                    </a:xfrm>
                    <a:prstGeom prst="rect">
                      <a:avLst/>
                    </a:prstGeom>
                    <a:noFill/>
                  </pic:spPr>
                </pic:pic>
              </a:graphicData>
            </a:graphic>
          </wp:anchor>
        </w:drawing>
      </w:r>
    </w:p>
    <w:p>
      <w:pPr>
        <w:spacing w:after="0" w:line="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31750</wp:posOffset>
            </wp:positionV>
            <wp:extent cx="25584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58415" cy="8255"/>
                    </a:xfrm>
                    <a:prstGeom prst="rect">
                      <a:avLst/>
                    </a:prstGeom>
                    <a:noFill/>
                  </pic:spPr>
                </pic:pic>
              </a:graphicData>
            </a:graphic>
          </wp:anchor>
        </w:drawing>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30" w:lineRule="exact"/>
        <w:rPr>
          <w:sz w:val="20"/>
          <w:szCs w:val="20"/>
          <w:color w:val="auto"/>
        </w:rPr>
      </w:pPr>
    </w:p>
    <w:p>
      <w:pPr>
        <w:sectPr>
          <w:pgSz w:w="11900" w:h="16838" w:orient="portrait"/>
          <w:cols w:equalWidth="0" w:num="2">
            <w:col w:w="7840" w:space="720"/>
            <w:col w:w="2680"/>
          </w:cols>
          <w:pgMar w:left="320" w:top="177" w:right="3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7"/>
        </w:trPr>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r>
      <w:tr>
        <w:trPr>
          <w:trHeight w:val="227"/>
        </w:trPr>
        <w:tc>
          <w:tcPr>
            <w:tcW w:w="2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920" w:type="dxa"/>
            <w:vAlign w:val="bottom"/>
            <w:gridSpan w:val="2"/>
            <w:shd w:val="clear" w:color="auto" w:fill="CCEEFF"/>
          </w:tcPr>
          <w:p>
            <w:pPr>
              <w:ind w:left="120"/>
              <w:spacing w:after="0" w:line="226"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notes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920" w:type="dxa"/>
            <w:vAlign w:val="bottom"/>
            <w:gridSpan w:val="2"/>
            <w:shd w:val="clear" w:color="auto" w:fill="CCEEFF"/>
          </w:tcPr>
          <w:p>
            <w:pPr>
              <w:ind w:left="120"/>
              <w:spacing w:after="0" w:line="226" w:lineRule="exact"/>
              <w:rPr>
                <w:sz w:val="20"/>
                <w:szCs w:val="20"/>
                <w:color w:val="auto"/>
              </w:rPr>
            </w:pPr>
            <w:r>
              <w:rPr>
                <w:rFonts w:ascii="Times New Roman" w:cs="Times New Roman" w:eastAsia="Times New Roman" w:hAnsi="Times New Roman"/>
                <w:sz w:val="18"/>
                <w:szCs w:val="18"/>
                <w:color w:val="auto"/>
              </w:rPr>
              <w:t xml:space="preserve">U.S. government agency bonds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920" w:type="dxa"/>
            <w:vAlign w:val="bottom"/>
            <w:gridSpan w:val="2"/>
          </w:tcPr>
          <w:p>
            <w:pPr>
              <w:ind w:left="140"/>
              <w:spacing w:after="0" w:line="226" w:lineRule="exact"/>
              <w:rPr>
                <w:sz w:val="20"/>
                <w:szCs w:val="20"/>
                <w:color w:val="auto"/>
              </w:rPr>
            </w:pPr>
            <w:r>
              <w:rPr>
                <w:rFonts w:ascii="Times New Roman" w:cs="Times New Roman" w:eastAsia="Times New Roman" w:hAnsi="Times New Roman"/>
                <w:sz w:val="18"/>
                <w:szCs w:val="18"/>
                <w:color w:val="auto"/>
              </w:rPr>
              <w:t xml:space="preserve">U.S. government securities </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28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firstLine="247"/>
        <w:spacing w:after="0" w:line="217" w:lineRule="auto"/>
        <w:tabs>
          <w:tab w:leader="none" w:pos="417"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Approximately $23.9 million of U.S. government securities and $1.2 million of commercial paper had an original maturity of 90 days or less and is recorded as a cash equivalent as of December 31, 2023. Approximately $6.5 million of U.S. government agency bonds and $8.0 million of commercial paper had an original maturity of 90 days or less and is recorded as a cash equivalent as of December 31, 2022.</w:t>
      </w:r>
    </w:p>
    <w:p>
      <w:pPr>
        <w:spacing w:after="0" w:line="221"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The fair values of the cash equivalents and marketable securities are based on observable market prices. The Company’s accounts receivables, accounts payable and accrued expenses are valued at cost which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95" w:name="page96"/>
    <w:bookmarkEnd w:id="9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loss before income taxes are summarized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78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7"/>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0" w:type="dxa"/>
            <w:vAlign w:val="bottom"/>
          </w:tcPr>
          <w:p>
            <w:pPr>
              <w:spacing w:after="0"/>
              <w:rPr>
                <w:sz w:val="1"/>
                <w:szCs w:val="1"/>
                <w:color w:val="auto"/>
              </w:rPr>
            </w:pPr>
          </w:p>
        </w:tc>
      </w:tr>
      <w:tr>
        <w:trPr>
          <w:trHeight w:val="227"/>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5"/>
        </w:trPr>
        <w:tc>
          <w:tcPr>
            <w:tcW w:w="5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 reconciliation of income taxes computed using the U.S. federal statutory rate to the taxes reported in the consolidated statements of operations is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5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7"/>
        </w:trPr>
        <w:tc>
          <w:tcPr>
            <w:tcW w:w="5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(2,368)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(15,988)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gridSpan w:val="2"/>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(7,471)</w:t>
            </w:r>
          </w:p>
        </w:tc>
        <w:tc>
          <w:tcPr>
            <w:tcW w:w="0" w:type="dxa"/>
            <w:vAlign w:val="bottom"/>
          </w:tcPr>
          <w:p>
            <w:pPr>
              <w:spacing w:after="0"/>
              <w:rPr>
                <w:sz w:val="1"/>
                <w:szCs w:val="1"/>
                <w:color w:val="auto"/>
              </w:rPr>
            </w:pPr>
          </w:p>
        </w:tc>
      </w:tr>
      <w:tr>
        <w:trPr>
          <w:trHeight w:val="227"/>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computed at federal statutory rate</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(3,357)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27"/>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440" w:type="dxa"/>
            <w:vAlign w:val="bottom"/>
          </w:tcPr>
          <w:p>
            <w:pPr>
              <w:spacing w:after="0"/>
              <w:rPr>
                <w:sz w:val="19"/>
                <w:szCs w:val="19"/>
                <w:color w:val="auto"/>
              </w:rPr>
            </w:pPr>
          </w:p>
        </w:tc>
        <w:tc>
          <w:tcPr>
            <w:tcW w:w="14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stock-based compensation</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(4,311)</w:t>
            </w:r>
          </w:p>
        </w:tc>
        <w:tc>
          <w:tcPr>
            <w:tcW w:w="0" w:type="dxa"/>
            <w:vAlign w:val="bottom"/>
          </w:tcPr>
          <w:p>
            <w:pPr>
              <w:spacing w:after="0"/>
              <w:rPr>
                <w:sz w:val="1"/>
                <w:szCs w:val="1"/>
                <w:color w:val="auto"/>
              </w:rPr>
            </w:pPr>
          </w:p>
        </w:tc>
      </w:tr>
      <w:tr>
        <w:trPr>
          <w:trHeight w:val="227"/>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and state rate change</w:t>
            </w:r>
          </w:p>
        </w:tc>
        <w:tc>
          <w:tcPr>
            <w:tcW w:w="440" w:type="dxa"/>
            <w:vAlign w:val="bottom"/>
          </w:tcPr>
          <w:p>
            <w:pPr>
              <w:spacing w:after="0"/>
              <w:rPr>
                <w:sz w:val="19"/>
                <w:szCs w:val="19"/>
                <w:color w:val="auto"/>
              </w:rPr>
            </w:pPr>
          </w:p>
        </w:tc>
        <w:tc>
          <w:tcPr>
            <w:tcW w:w="14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orphan drug credits</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27"/>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9"/>
                <w:szCs w:val="19"/>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2,466</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3,343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6,567</w:t>
            </w:r>
          </w:p>
        </w:tc>
        <w:tc>
          <w:tcPr>
            <w:tcW w:w="0" w:type="dxa"/>
            <w:vAlign w:val="bottom"/>
          </w:tcPr>
          <w:p>
            <w:pPr>
              <w:spacing w:after="0"/>
              <w:rPr>
                <w:sz w:val="1"/>
                <w:szCs w:val="1"/>
                <w:color w:val="auto"/>
              </w:rPr>
            </w:pPr>
          </w:p>
        </w:tc>
      </w:tr>
      <w:tr>
        <w:trPr>
          <w:trHeight w:val="220"/>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Reported income taxes</w:t>
            </w:r>
          </w:p>
        </w:tc>
        <w:tc>
          <w:tcPr>
            <w:tcW w:w="4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Deferred tax assets (liabilities) consist of the following:</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55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60" w:type="dxa"/>
            <w:vAlign w:val="bottom"/>
            <w:gridSpan w:val="6"/>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5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50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3"/>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4,505</w:t>
            </w:r>
          </w:p>
        </w:tc>
        <w:tc>
          <w:tcPr>
            <w:tcW w:w="20" w:type="dxa"/>
            <w:vAlign w:val="bottom"/>
          </w:tcPr>
          <w:p>
            <w:pPr>
              <w:spacing w:after="0"/>
              <w:rPr>
                <w:sz w:val="19"/>
                <w:szCs w:val="19"/>
                <w:color w:val="auto"/>
              </w:rPr>
            </w:pPr>
          </w:p>
        </w:tc>
        <w:tc>
          <w:tcPr>
            <w:tcW w:w="48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benefits and stock-based compensation</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24,812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18,028</w:t>
            </w:r>
          </w:p>
        </w:tc>
        <w:tc>
          <w:tcPr>
            <w:tcW w:w="0" w:type="dxa"/>
            <w:vAlign w:val="bottom"/>
          </w:tcPr>
          <w:p>
            <w:pPr>
              <w:spacing w:after="0"/>
              <w:rPr>
                <w:sz w:val="1"/>
                <w:szCs w:val="1"/>
                <w:color w:val="auto"/>
              </w:rPr>
            </w:pPr>
          </w:p>
        </w:tc>
      </w:tr>
      <w:tr>
        <w:trPr>
          <w:trHeight w:val="227"/>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27"/>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20,849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reserve</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0" w:type="dxa"/>
            <w:vAlign w:val="bottom"/>
          </w:tcPr>
          <w:p>
            <w:pPr>
              <w:spacing w:after="0"/>
              <w:rPr>
                <w:sz w:val="1"/>
                <w:szCs w:val="1"/>
                <w:color w:val="auto"/>
              </w:rPr>
            </w:pPr>
          </w:p>
        </w:tc>
      </w:tr>
      <w:tr>
        <w:trPr>
          <w:trHeight w:val="227"/>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 credit carryforward</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0"/>
        </w:trPr>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70,667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60,129</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(49,755)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(47,290)</w:t>
            </w:r>
          </w:p>
        </w:tc>
        <w:tc>
          <w:tcPr>
            <w:tcW w:w="0" w:type="dxa"/>
            <w:vAlign w:val="bottom"/>
          </w:tcPr>
          <w:p>
            <w:pPr>
              <w:spacing w:after="0"/>
              <w:rPr>
                <w:sz w:val="1"/>
                <w:szCs w:val="1"/>
                <w:color w:val="auto"/>
              </w:rPr>
            </w:pPr>
          </w:p>
        </w:tc>
      </w:tr>
      <w:tr>
        <w:trPr>
          <w:trHeight w:val="220"/>
        </w:trPr>
        <w:tc>
          <w:tcPr>
            <w:tcW w:w="5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12,839</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(19,296)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(10,891)</w:t>
            </w: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0" w:type="dxa"/>
            <w:vAlign w:val="bottom"/>
          </w:tcPr>
          <w:p>
            <w:pPr>
              <w:spacing w:after="0"/>
              <w:rPr>
                <w:sz w:val="1"/>
                <w:szCs w:val="1"/>
                <w:color w:val="auto"/>
              </w:rPr>
            </w:pPr>
          </w:p>
        </w:tc>
      </w:tr>
      <w:tr>
        <w:trPr>
          <w:trHeight w:val="220"/>
        </w:trPr>
        <w:tc>
          <w:tcPr>
            <w:tcW w:w="55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net deferred tax liabilities</w:t>
            </w:r>
          </w:p>
        </w:tc>
        <w:tc>
          <w:tcPr>
            <w:tcW w:w="4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color w:val="auto"/>
              </w:rPr>
              <w:t>(20,912)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(12,839)</w:t>
            </w:r>
          </w:p>
        </w:tc>
        <w:tc>
          <w:tcPr>
            <w:tcW w:w="0" w:type="dxa"/>
            <w:vAlign w:val="bottom"/>
          </w:tcPr>
          <w:p>
            <w:pPr>
              <w:spacing w:after="0"/>
              <w:rPr>
                <w:sz w:val="1"/>
                <w:szCs w:val="1"/>
                <w:color w:val="auto"/>
              </w:rPr>
            </w:pPr>
          </w:p>
        </w:tc>
      </w:tr>
      <w:tr>
        <w:trPr>
          <w:trHeight w:val="245"/>
        </w:trPr>
        <w:tc>
          <w:tcPr>
            <w:tcW w:w="55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deferred tax assets and liabilities</w:t>
            </w: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6" w:name="page97"/>
    <w:bookmarkEnd w:id="96"/>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As of December 31, 2023, the Company had U.S. federal net operating loss carryforwards of $11.7 million, of which $8.3 million begin to expire in 2033 and the remainder do not expire but are subject to 80% limitation. As of December 31, 2023, the Company had state net operating loss carryforwards of $16.6 million that begin to expire in 2034. The projected annual limitation on the use of the net operating losses that existed prior to September 17, 2014 resulting from the Company’s change in control in 2014 per Section 382 of the Internal Revenue Code is $0.8 million. As a result, a significant portion of the net operating losses and tax credit carryforwards will expire prior to their utilization, regardless of the level of future profitability. As of December 31, 2023, the Company’s U.S. federal tax credit carryforwards available to offset future profits are $10.8 million. These credit carryforwards expire between 2034 and 2043.</w:t>
      </w:r>
    </w:p>
    <w:p>
      <w:pPr>
        <w:spacing w:after="0" w:line="213"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accordance with the accounting guidance for income taxes, the Company estimates whether recoverability of its deferred tax assets is “more likely than not”, based on forecasts of taxable income in the related tax jurisdictions. In this estimate, the Company uses historical results, projected future operating results based upon approved business plans, eligible carry forward periods, tax planning opportunities and other relevant considerations. Based on these factors, including historical losses incurred by the Company, a full valuation allowance for the deferred tax assets, including the deferred tax assets for the aforementioned net operating losses and credits has been provided, since they are not more likely than not to be realized. If sufficient positive evidence exists in future periods to support a release of some or all of the valuation allowance, such a release would likely have a material impact on the Company’s results of operations. The change in the valuation allowance was an increase of $2.5 million and $3.3 million for the years ended December 31, 2023 and 2022, respectively.</w:t>
      </w:r>
    </w:p>
    <w:p>
      <w:pPr>
        <w:spacing w:after="0" w:line="216"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Company assesses uncertain tax positions in accordance with the guidance for accounting for uncertain tax positions. This pronouncement prescribes a recognition threshold and measurement methodology for recording within the consolidated financial statements uncertain tax positions taken, or expected to be taken, in the Company’s income tax returns. To the extent the uncertain tax positions do not meet the “more likely than not” threshold, the Company derecognizes such positions. To the extent the uncertain tax positions meet the “more likely than not” threshold, the Company measures and records the highest probable benefit, and establishes appropriate reserves for benefits that exceed the amount likely to be sustained upon examination. The Company currently has not recorded any uncertain tax positions and does not anticipate that unrecognized tax benefits will significantly increase or decrease within the next twelve months.</w:t>
      </w:r>
    </w:p>
    <w:p>
      <w:pPr>
        <w:spacing w:after="0" w:line="21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Company files U.S. federal and state income tax returns with varying statute of limitations. During the year-ended December 31, 2020, examinations by U.S. tax authorities were completed for 2017 and 2018. Due to the Company’s net operating loss carryforwards, federal income tax returns from incorporation are still subject to examination. The Company files in several state tax jurisdictions and is subject to examination in years ranging from incorporation to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Employee Savings Plan</w:t>
      </w:r>
    </w:p>
    <w:p>
      <w:pPr>
        <w:spacing w:after="0" w:line="22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has a 401(k) savings plan that allows participating employees to contribute a portion of their salary, subject to annual limits and minimum qualifications. The Board may, at its sole discretion, approve Company matching contributions to the plan. The Company made contributions of $1.2 million, $1.1 million and $1.0 million for the years ended December 31, 2023, 2022 and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NexoBrid License and Supply Agreements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On May 6, 2019, the Company entered into exclusive license and supply agreements with MediWound to commercialize NexoBrid in North America. The FDA subsequently approved a BLA for the product on December 28, 2022. NexoBrid is a topically-administered biological orphan product, which contains proteolytic enzymes and is indicated for the removal of eschar in adults with deep partial-thickness and/or full thickness thermal burns.</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Pursuant to the terms of the license agreement, following the FDA approval of NexoBrid, MediWound transferred the BLA to Vericel effective February 20, 2023. Both MediWound and Vericel, under the supervision of a Central Steering Committee comprised of members of both companies will continue to guide the development of NexoBrid in North America (the “Central Steering Committee”). NexoBrid is approved in the European Union (“EU”) and other international markets and has been designated as an orphan biologic in the U.S., EU and other international markets.</w:t>
      </w:r>
    </w:p>
    <w:p>
      <w:pPr>
        <w:spacing w:after="0" w:line="20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May 2019, the Company paid MediWound $17.5 million in consideration for the license, which was recorded as research and development expense during 2019. In December 2022, the FDA approved the BLA for NexoBrid, which resulted in the achievement of a $7.5 million regulatory milestone payment pursuant to the terms of the license agreement. The Company recorded the $7.5 million milestone for the licensing rights to commercially sell NexoBrid in the U.S. as an intangible asset as of December 31, 2022 (see Note 4, “Selected Balance Sheet Components” for further details). The $7.5 million milestone payment was paid to MediWound in February of 2023.</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7" w:name="page98"/>
    <w:bookmarkEnd w:id="97"/>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The Company commenced commercial sales of NexoBrid in the U.S. in September 2023. The Company is obligated to pay MediWound up to $125.0 million, which is contingent upon meeting certain sales milestones. The first sales milestone payment of $7.5 million would be triggered when annual net sales of NexoBrid or improvements to it in North America exceed $75.0 million. As of December 31, 2023, the sales milestone payments are not yet probable and therefore, not recorded as a liability. The Company also will pay MediWound tiered royalties on net sales ranging from mid-high single-digit to mid-teen percentages, subject to customary reductions. Pursuant to the terms of the Company’s supply agreement with MediWound, MediWound is manufacturing and will continue to manufacture NexoBrid for the Company on a unit price basis, which may be increased pursuant to the terms of the supply agreement. MediWound is obligated to supply the Company with NexoBrid for sale in North America on an exclusive basis for the first five years of the term of the supply agreement. Under the supply agreement, the Company possesses the option to extend the initial term of the agreement by an additional 24 months, which it did in May 2022. After the initial term, the Company may extend the supply agreement on an annual basis for up to 10 additional years, at its sole discretion. Under the supply agreement, the Company is permitted to establish an alternate source of supply in certain circumstances, including the event of a supply failure.</w:t>
      </w:r>
    </w:p>
    <w:p>
      <w:pPr>
        <w:spacing w:after="0" w:line="217"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Additionally, beginning in 2020 BARDA procured quantities of NexoBrid from MediWound for use as a medical countermeasure in the event of a mass casualty emergency in the U.S. involving thermal burns. The initial, quarterly, procurement of NexoBrid by BARDA under its agreement with MediWound completed during the third quarter of 2022. As a part of BARDA’s commitment to procure NexoBrid, the Company has received a percentage of gross profit for sales directly to BARDA. As of December 31, 2023, the Company did not hold a direct contract or distribution agreement with BARDA, or take title to the product procured by BARDA.</w:t>
      </w:r>
    </w:p>
    <w:p>
      <w:pPr>
        <w:spacing w:after="0" w:line="21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On May 9, 2023, MediWound announced BARDA’s award of additional funding under the parties’ existing agreement, $3.0 million of which will support the replacement of NexoBrid, previously procured for emergency response preparedness, which has since expired. Pursuant to the terms of the Company’s license agreement with MediWound, the Company will recognize revenue based on a percentage of gross profits, minus a percentage of net sales, on any sales of NexoBrid directly to BARDA, upon delivery, pursuant to this additional award.</w:t>
      </w:r>
    </w:p>
    <w:p>
      <w:pPr>
        <w:spacing w:after="0" w:line="204" w:lineRule="exact"/>
        <w:rPr>
          <w:sz w:val="20"/>
          <w:szCs w:val="20"/>
          <w:color w:val="auto"/>
        </w:rPr>
      </w:pPr>
    </w:p>
    <w:p>
      <w:pPr>
        <w:ind w:left="240" w:right="8440" w:hanging="233"/>
        <w:spacing w:after="0" w:line="528" w:lineRule="auto"/>
        <w:tabs>
          <w:tab w:leader="none" w:pos="266"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spacing w:after="0" w:line="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From time-to-time, the Company could be a party to various legal proceedings arising in the ordinary course of business. The costs and outcome of litigation, regulatory, investigatory or other proceedings cannot be predicted with certainty, and some lawsuits, claims, actions or proceedings may be disposed of unfavorably to the Company and could have a material adverse effect on the Company’s results of operations or financial condition.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consolidated financial statements.</w:t>
      </w:r>
    </w:p>
    <w:p>
      <w:pPr>
        <w:spacing w:after="0" w:line="21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As of December 31, 2023, the Company had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Manufacturing and Supply Agreements</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Matricel — </w:t>
      </w:r>
      <w:r>
        <w:rPr>
          <w:rFonts w:ascii="Times New Roman" w:cs="Times New Roman" w:eastAsia="Times New Roman" w:hAnsi="Times New Roman"/>
          <w:sz w:val="18"/>
          <w:szCs w:val="18"/>
          <w:color w:val="auto"/>
        </w:rPr>
        <w:t>On July 1, 2023, the Company renewed its long-term supply agreement with Matricel GmbH (“Matricel”) for the supply of ACI-Maix collagen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membranes used in the manufacture of MACI (the “Matricel Supply Agreement”). In the event Matricel is unable to supply the membranes, the Company may license the technology and procure the membranes from another source. The Matricel Supply Agreement provides that Matricel shall supply the ACI-Maix membranes exclusively to the Company during the term of the agreement. The Matricel Supply Agreement is effective until December 31, 2030, with an option to extend its term for three additional years to December 31, 2033. Thereafter, the Matricel Supply Agreement may be renewed for additional three-year periods. Under the terms of the Matricel Supply Agreement, the Company has committed to annual minimum purchase values totaling approximately €12.5 million over the eight-year term.</w:t>
      </w:r>
    </w:p>
    <w:p>
      <w:pPr>
        <w:spacing w:after="0" w:line="187"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Manufacture, Supply and Other Agreements — </w:t>
      </w:r>
      <w:r>
        <w:rPr>
          <w:rFonts w:ascii="Times New Roman" w:cs="Times New Roman" w:eastAsia="Times New Roman" w:hAnsi="Times New Roman"/>
          <w:sz w:val="18"/>
          <w:szCs w:val="18"/>
          <w:color w:val="auto"/>
        </w:rPr>
        <w:t>The Company has entered into various agreements relating to the manufacture of its products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supply of certain components. If the manufacturing or supply agreements expire or are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8" w:name="page99"/>
    <w:bookmarkEnd w:id="98"/>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otherwise terminated, the Company may not be able to identify and obtain ancillary materials that are necessary to develop its products and such expiration and termination could have a material effect on the Company’s business.</w:t>
      </w:r>
    </w:p>
    <w:p>
      <w:pPr>
        <w:spacing w:after="0" w:line="189"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The Company’s purchase commitments consist of minimum purchase amounts of raw materials and finished goods used in the Company’s cell manufacturing process to manufacture its marketed cell therapy products. In addition, the Company also pays for usage of offsite warehouse space.</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Future minimum purchase commitments related to the Company’s contractual obligations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 (In thousands)</w:t>
            </w:r>
          </w:p>
        </w:tc>
        <w:tc>
          <w:tcPr>
            <w:tcW w:w="220" w:type="dxa"/>
            <w:vAlign w:val="bottom"/>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76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98"/>
              <w:spacing w:after="0" w:line="127"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3"/>
        </w:trPr>
        <w:tc>
          <w:tcPr>
            <w:tcW w:w="3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7"/>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commitments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0" w:type="dxa"/>
            <w:vAlign w:val="bottom"/>
          </w:tcPr>
          <w:p>
            <w:pPr>
              <w:spacing w:after="0"/>
              <w:rPr>
                <w:sz w:val="1"/>
                <w:szCs w:val="1"/>
                <w:color w:val="auto"/>
              </w:rPr>
            </w:pPr>
          </w:p>
        </w:tc>
      </w:tr>
      <w:tr>
        <w:trPr>
          <w:trHeight w:val="227"/>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Warehouse operating agreement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99" w:name="page100"/>
    <w:bookmarkEnd w:id="99"/>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Management of the Company, with the participation of the Company’s Chief Executive Officer (“CEO”) and Chief Financial Officer (“CFO”), has evaluated the effectiveness of the Company’s disclosure controls and procedures as defined in Rules 13a-15(e) and 15d-15(e) under the Securities and Exchange Act of 1934, as amended (the “Exchange Act”). Based on that evaluation, the Company’s CEO and CFO (its “Certifying Officers”) concluded that the Company’s disclosure controls and procedures were effective as of the period covered by this report.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Rules 13a-15(f) and 15d-15(f) under the Exchange Act). Our internal control over financial reporting is a process designed under the supervision of our CEO and CFO to provide reasonable assurance regarding the reliability of financial reporting and the preparation of our consolidated financial statements for external purposes in accordance with generally accepted accounting principles.</w:t>
      </w:r>
    </w:p>
    <w:p>
      <w:pPr>
        <w:spacing w:after="0" w:line="20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 xml:space="preserve">Management of the Company evaluated the effectiveness of our internal control over financial reporting using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(2013). Based on this evaluation, management concluded that our internal control over financial reporting was effective as of December 31, 2023.</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2023 has been audited by PricewaterhouseCoopers LLP, an independent registered public accounting firm, as attested to in their report which appears in Item 8 of this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During the three months ended December 31, 2023, there were no material changes made in our internal control over financial reporting (as such term is defined in Rules 13a-15(f) and 15d-15(f) of the Exchange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00" w:name="page101"/>
    <w:bookmarkEnd w:id="100"/>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4"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with respect to our 2023 Annual Meeting of Shareholders to be filed with the SEC no later than 120 days after the close of our year ended December 31, 2023,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4"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The information required with respect to this item will be incorporated herein by reference to our Definitive Proxy Statement for our 2024 Annual Meeting of Shareholders or an amendment of this report to be filed with the SEC no later than 120 days after the close of our year ended December 31,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Shareholder Matters</w:t>
      </w:r>
    </w:p>
    <w:p>
      <w:pPr>
        <w:spacing w:after="0" w:line="224"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The information required with respect to this item will be incorporated herein by reference to our Definitive Proxy Statement for our 2024 Annual Meeting of Shareholders or an amendment of this report to be filed with the SEC no later than 120 days after the close of our year ended December 31,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4"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The information required with respect to this item will be incorporated herein by reference to our Definitive Proxy Statement for our 2024 Annual Meeting of Shareholders or an amendment of this report to be filed with the SEC no later than 120 days after the close of our year ended December 31,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24"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The information required with respect to this item will be incorporated herein by reference to our Definitive Proxy Statement for our 2024 Annual Meeting of Shareholders or an amendment of this report to be filed with the SEC no later than 120 days after the close of our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01" w:name="page102"/>
    <w:bookmarkEnd w:id="101"/>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 and Financial Statement Schedules</w:t>
      </w:r>
    </w:p>
    <w:p>
      <w:pPr>
        <w:spacing w:after="0" w:line="224" w:lineRule="exact"/>
        <w:rPr>
          <w:sz w:val="20"/>
          <w:szCs w:val="20"/>
          <w:color w:val="auto"/>
        </w:rPr>
      </w:pPr>
    </w:p>
    <w:p>
      <w:pPr>
        <w:ind w:left="480" w:hanging="233"/>
        <w:spacing w:after="0"/>
        <w:tabs>
          <w:tab w:leader="none" w:pos="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19" w:lineRule="exact"/>
        <w:rPr>
          <w:rFonts w:ascii="Times New Roman" w:cs="Times New Roman" w:eastAsia="Times New Roman" w:hAnsi="Times New Roman"/>
          <w:sz w:val="18"/>
          <w:szCs w:val="18"/>
          <w:color w:val="auto"/>
        </w:rPr>
      </w:pPr>
    </w:p>
    <w:p>
      <w:pPr>
        <w:ind w:left="820" w:hanging="173"/>
        <w:spacing w:after="0"/>
        <w:tabs>
          <w:tab w:leader="none" w:pos="8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Financial Statements (see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auto"/>
        </w:rPr>
        <w:t>).</w:t>
      </w:r>
    </w:p>
    <w:p>
      <w:pPr>
        <w:spacing w:after="0" w:line="25" w:lineRule="exact"/>
        <w:rPr>
          <w:rFonts w:ascii="Times New Roman" w:cs="Times New Roman" w:eastAsia="Times New Roman" w:hAnsi="Times New Roman"/>
          <w:sz w:val="18"/>
          <w:szCs w:val="18"/>
          <w:color w:val="auto"/>
        </w:rPr>
      </w:pPr>
    </w:p>
    <w:p>
      <w:pPr>
        <w:ind w:left="820" w:hanging="173"/>
        <w:spacing w:after="0"/>
        <w:tabs>
          <w:tab w:leader="none" w:pos="82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information is included in the Consolidated Financial Statements or Notes thereto.</w:t>
      </w:r>
    </w:p>
    <w:p>
      <w:pPr>
        <w:spacing w:after="0" w:line="17" w:lineRule="exact"/>
        <w:rPr>
          <w:rFonts w:ascii="Times New Roman" w:cs="Times New Roman" w:eastAsia="Times New Roman" w:hAnsi="Times New Roman"/>
          <w:sz w:val="17"/>
          <w:szCs w:val="17"/>
          <w:color w:val="auto"/>
        </w:rPr>
      </w:pPr>
    </w:p>
    <w:p>
      <w:pPr>
        <w:ind w:left="820" w:hanging="173"/>
        <w:spacing w:after="0"/>
        <w:tabs>
          <w:tab w:leader="none" w:pos="8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Exhibit Index</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77" w:right="1440" w:bottom="1440" w:gutter="0" w:footer="0" w:header="0"/>
        </w:sectPr>
      </w:pPr>
    </w:p>
    <w:bookmarkStart w:id="102" w:name="page103"/>
    <w:bookmarkEnd w:id="102"/>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40" w:type="dxa"/>
        <w:tblCellMar>
          <w:top w:w="0" w:type="dxa"/>
          <w:left w:w="0" w:type="dxa"/>
          <w:bottom w:w="0" w:type="dxa"/>
          <w:right w:w="0" w:type="dxa"/>
        </w:tblCellMar>
      </w:tblPr>
      <w:tr>
        <w:trPr>
          <w:trHeight w:val="236"/>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15"/>
          </w:tcPr>
          <w:p>
            <w:pPr>
              <w:ind w:left="460"/>
              <w:spacing w:after="0"/>
              <w:rPr>
                <w:sz w:val="20"/>
                <w:szCs w:val="20"/>
                <w:color w:val="auto"/>
              </w:rPr>
            </w:pPr>
            <w:r>
              <w:rPr>
                <w:rFonts w:ascii="Times New Roman" w:cs="Times New Roman" w:eastAsia="Times New Roman" w:hAnsi="Times New Roman"/>
                <w:sz w:val="18"/>
                <w:szCs w:val="18"/>
                <w:b w:val="1"/>
                <w:bCs w:val="1"/>
                <w:color w:val="auto"/>
                <w:w w:val="97"/>
              </w:rPr>
              <w:t>EXHIBIT INDEX</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53"/>
        </w:trPr>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480" w:type="dxa"/>
            <w:vAlign w:val="bottom"/>
            <w:gridSpan w:val="25"/>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0" w:type="dxa"/>
            <w:vAlign w:val="bottom"/>
          </w:tcPr>
          <w:p>
            <w:pPr>
              <w:spacing w:after="0"/>
              <w:rPr>
                <w:sz w:val="1"/>
                <w:szCs w:val="1"/>
                <w:color w:val="auto"/>
              </w:rPr>
            </w:pPr>
          </w:p>
        </w:tc>
      </w:tr>
      <w:tr>
        <w:trPr>
          <w:trHeight w:val="240"/>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80" w:type="dxa"/>
            <w:vAlign w:val="bottom"/>
            <w:gridSpan w:val="25"/>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02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860" w:type="dxa"/>
            <w:vAlign w:val="bottom"/>
            <w:tcBorders>
              <w:top w:val="single" w:sz="8" w:color="auto"/>
            </w:tcBorders>
            <w:gridSpan w:val="24"/>
            <w:shd w:val="clear" w:color="auto" w:fill="CCEEFF"/>
          </w:tcPr>
          <w:p>
            <w:pPr>
              <w:spacing w:after="0" w:line="180"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Restated Articles of Incorporation of the Company.</w:t>
              </w:r>
            </w:hyperlink>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8-K</w:t>
            </w: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000-22025</w:t>
            </w: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8"/>
              </w:rPr>
              <w:t>December 17, 2009</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gridSpan w:val="26"/>
          </w:tcPr>
          <w:p>
            <w:pPr>
              <w:spacing w:after="0" w:line="187"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Certificate of Amendment to Restated Articles of Incorporation of</w:t>
              </w:r>
            </w:hyperlink>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333-160044</w:t>
            </w:r>
          </w:p>
        </w:tc>
        <w:tc>
          <w:tcPr>
            <w:tcW w:w="8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16"/>
                <w:szCs w:val="16"/>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31, 2010</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tcBorders>
            <w:gridSpan w:val="22"/>
          </w:tcPr>
          <w:p>
            <w:pPr>
              <w:spacing w:after="0" w:line="140"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the Company dated February 9, 2010.</w:t>
              </w:r>
            </w:hyperlink>
          </w:p>
        </w:tc>
        <w:tc>
          <w:tcPr>
            <w:tcW w:w="8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60" w:type="dxa"/>
            <w:vAlign w:val="bottom"/>
            <w:gridSpan w:val="26"/>
            <w:shd w:val="clear" w:color="auto" w:fill="CCEEFF"/>
          </w:tcPr>
          <w:p>
            <w:pPr>
              <w:spacing w:after="0" w:line="187"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Certificate of Amendment to Restated Articles of Incorporation of</w:t>
              </w:r>
            </w:hyperlink>
          </w:p>
        </w:tc>
        <w:tc>
          <w:tcPr>
            <w:tcW w:w="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000-22025</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March 25, 2011</w:t>
            </w:r>
          </w:p>
        </w:tc>
        <w:tc>
          <w:tcPr>
            <w:tcW w:w="0" w:type="dxa"/>
            <w:vAlign w:val="bottom"/>
          </w:tcPr>
          <w:p>
            <w:pPr>
              <w:spacing w:after="0"/>
              <w:rPr>
                <w:sz w:val="1"/>
                <w:szCs w:val="1"/>
                <w:color w:val="auto"/>
              </w:rPr>
            </w:pPr>
          </w:p>
        </w:tc>
      </w:tr>
      <w:tr>
        <w:trPr>
          <w:trHeight w:val="187"/>
        </w:trPr>
        <w:tc>
          <w:tcPr>
            <w:tcW w:w="10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600" w:type="dxa"/>
            <w:vAlign w:val="bottom"/>
            <w:tcBorders>
              <w:top w:val="single" w:sz="8" w:color="0000FF"/>
              <w:bottom w:val="single" w:sz="8" w:color="0000FF"/>
            </w:tcBorders>
            <w:gridSpan w:val="7"/>
            <w:shd w:val="clear" w:color="auto" w:fill="CCEEFF"/>
          </w:tcPr>
          <w:p>
            <w:pPr>
              <w:spacing w:after="0" w:line="140"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the Company dated March 22, 2011.</w:t>
              </w:r>
            </w:hyperlink>
          </w:p>
        </w:tc>
        <w:tc>
          <w:tcPr>
            <w:tcW w:w="210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820" w:type="dxa"/>
            <w:vAlign w:val="bottom"/>
            <w:tcBorders>
              <w:top w:val="single" w:sz="8" w:color="CCEEFF"/>
              <w:bottom w:val="single" w:sz="8" w:color="CCEEFF"/>
            </w:tcBorders>
            <w:gridSpan w:val="2"/>
            <w:vMerge w:val="continue"/>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gridSpan w:val="26"/>
          </w:tcPr>
          <w:p>
            <w:pPr>
              <w:spacing w:after="0" w:line="187"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Certificate of Amendment to the Restated Articles of Incorporation</w:t>
              </w:r>
            </w:hyperlink>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6"/>
                <w:szCs w:val="16"/>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November 24, 2014</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tcBorders>
            <w:gridSpan w:val="23"/>
          </w:tcPr>
          <w:p>
            <w:pPr>
              <w:spacing w:after="0" w:line="140"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of the Company, dated November 21, 2014.</w:t>
              </w:r>
            </w:hyperlink>
          </w:p>
        </w:tc>
        <w:tc>
          <w:tcPr>
            <w:tcW w:w="180" w:type="dxa"/>
            <w:vAlign w:val="bottom"/>
            <w:gridSpan w:val="3"/>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02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3.5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960" w:type="dxa"/>
            <w:vAlign w:val="bottom"/>
            <w:gridSpan w:val="26"/>
            <w:shd w:val="clear" w:color="auto" w:fill="CCEEFF"/>
          </w:tcPr>
          <w:p>
            <w:pPr>
              <w:spacing w:after="0" w:line="187"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Amended and restated bylaws.</w:t>
              </w:r>
            </w:hyperlink>
          </w:p>
        </w:tc>
        <w:tc>
          <w:tcPr>
            <w:tcW w:w="820" w:type="dxa"/>
            <w:vAlign w:val="bottom"/>
            <w:gridSpan w:val="2"/>
            <w:shd w:val="clear" w:color="auto" w:fill="CCEEFF"/>
          </w:tcPr>
          <w:p>
            <w:pPr>
              <w:jc w:val="center"/>
              <w:ind w:right="100"/>
              <w:spacing w:after="0" w:line="187"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000-22025</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November 12, 2010</w:t>
            </w:r>
          </w:p>
        </w:tc>
        <w:tc>
          <w:tcPr>
            <w:tcW w:w="0" w:type="dxa"/>
            <w:vAlign w:val="bottom"/>
          </w:tcPr>
          <w:p>
            <w:pPr>
              <w:spacing w:after="0"/>
              <w:rPr>
                <w:sz w:val="1"/>
                <w:szCs w:val="1"/>
                <w:color w:val="auto"/>
              </w:rPr>
            </w:pPr>
          </w:p>
        </w:tc>
      </w:tr>
      <w:tr>
        <w:trPr>
          <w:trHeight w:val="187"/>
        </w:trPr>
        <w:tc>
          <w:tcPr>
            <w:tcW w:w="102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180" w:type="dxa"/>
            <w:vAlign w:val="bottom"/>
            <w:tcBorders>
              <w:top w:val="single" w:sz="8" w:color="0000FF"/>
            </w:tcBorders>
            <w:gridSpan w:val="3"/>
          </w:tcPr>
          <w:p>
            <w:pPr>
              <w:spacing w:after="0" w:line="187"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Description of Capital Stock.</w:t>
              </w:r>
            </w:hyperlink>
          </w:p>
        </w:tc>
        <w:tc>
          <w:tcPr>
            <w:tcW w:w="2780" w:type="dxa"/>
            <w:vAlign w:val="bottom"/>
            <w:tcBorders>
              <w:top w:val="single" w:sz="8" w:color="CCEEFF"/>
            </w:tcBorders>
            <w:gridSpan w:val="23"/>
          </w:tcPr>
          <w:p>
            <w:pPr>
              <w:spacing w:after="0"/>
              <w:rPr>
                <w:sz w:val="16"/>
                <w:szCs w:val="16"/>
                <w:color w:val="auto"/>
              </w:rPr>
            </w:pPr>
          </w:p>
        </w:tc>
        <w:tc>
          <w:tcPr>
            <w:tcW w:w="820" w:type="dxa"/>
            <w:vAlign w:val="bottom"/>
            <w:tcBorders>
              <w:top w:val="single" w:sz="8" w:color="CCEEFF"/>
            </w:tcBorders>
            <w:gridSpan w:val="2"/>
          </w:tcPr>
          <w:p>
            <w:pPr>
              <w:jc w:val="center"/>
              <w:ind w:right="100"/>
              <w:spacing w:after="0" w:line="187" w:lineRule="exact"/>
              <w:rPr>
                <w:sz w:val="20"/>
                <w:szCs w:val="20"/>
                <w:color w:val="auto"/>
              </w:rPr>
            </w:pPr>
            <w:r>
              <w:rPr>
                <w:rFonts w:ascii="Times New Roman" w:cs="Times New Roman" w:eastAsia="Times New Roman" w:hAnsi="Times New Roman"/>
                <w:sz w:val="18"/>
                <w:szCs w:val="18"/>
                <w:color w:val="auto"/>
                <w:w w:val="97"/>
              </w:rPr>
              <w:t>10-K</w:t>
            </w:r>
          </w:p>
        </w:tc>
        <w:tc>
          <w:tcPr>
            <w:tcW w:w="104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4.5</w:t>
            </w:r>
          </w:p>
        </w:tc>
        <w:tc>
          <w:tcPr>
            <w:tcW w:w="80" w:type="dxa"/>
            <w:vAlign w:val="bottom"/>
            <w:tcBorders>
              <w:top w:val="single" w:sz="8" w:color="CCEEFF"/>
            </w:tcBorders>
          </w:tcPr>
          <w:p>
            <w:pPr>
              <w:spacing w:after="0"/>
              <w:rPr>
                <w:sz w:val="16"/>
                <w:szCs w:val="16"/>
                <w:color w:val="auto"/>
              </w:rPr>
            </w:pPr>
          </w:p>
        </w:tc>
        <w:tc>
          <w:tcPr>
            <w:tcW w:w="164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February 25, 2020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10.1 #</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60" w:type="dxa"/>
            <w:vAlign w:val="bottom"/>
            <w:gridSpan w:val="26"/>
            <w:shd w:val="clear" w:color="auto" w:fill="CCEEFF"/>
          </w:tcPr>
          <w:p>
            <w:pPr>
              <w:spacing w:after="0" w:line="187"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Indemnification Agreement entered into between the</w:t>
              </w:r>
            </w:hyperlink>
          </w:p>
        </w:tc>
        <w:tc>
          <w:tcPr>
            <w:tcW w:w="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000-22025</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August 31, 2010</w:t>
            </w:r>
          </w:p>
        </w:tc>
        <w:tc>
          <w:tcPr>
            <w:tcW w:w="0" w:type="dxa"/>
            <w:vAlign w:val="bottom"/>
          </w:tcPr>
          <w:p>
            <w:pPr>
              <w:spacing w:after="0"/>
              <w:rPr>
                <w:sz w:val="1"/>
                <w:szCs w:val="1"/>
                <w:color w:val="auto"/>
              </w:rPr>
            </w:pPr>
          </w:p>
        </w:tc>
      </w:tr>
      <w:tr>
        <w:trPr>
          <w:trHeight w:val="187"/>
        </w:trPr>
        <w:tc>
          <w:tcPr>
            <w:tcW w:w="10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80" w:type="dxa"/>
            <w:vAlign w:val="bottom"/>
            <w:tcBorders>
              <w:top w:val="single" w:sz="8" w:color="0000FF"/>
              <w:bottom w:val="single" w:sz="8" w:color="0000FF"/>
            </w:tcBorders>
            <w:gridSpan w:val="5"/>
            <w:shd w:val="clear" w:color="auto" w:fill="CCEEFF"/>
          </w:tcPr>
          <w:p>
            <w:pPr>
              <w:spacing w:after="0" w:line="140"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Company and each of its directors.</w:t>
              </w:r>
            </w:hyperlink>
          </w:p>
        </w:tc>
        <w:tc>
          <w:tcPr>
            <w:tcW w:w="1900" w:type="dxa"/>
            <w:vAlign w:val="bottom"/>
            <w:tcBorders>
              <w:top w:val="single" w:sz="8" w:color="0000FF"/>
              <w:bottom w:val="single" w:sz="8" w:color="CCEEFF"/>
            </w:tcBorders>
            <w:gridSpan w:val="11"/>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820" w:type="dxa"/>
            <w:vAlign w:val="bottom"/>
            <w:tcBorders>
              <w:top w:val="single" w:sz="8" w:color="CCEEFF"/>
              <w:bottom w:val="single" w:sz="8" w:color="CCEEFF"/>
            </w:tcBorders>
            <w:gridSpan w:val="2"/>
            <w:vMerge w:val="continue"/>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10.2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gridSpan w:val="26"/>
          </w:tcPr>
          <w:p>
            <w:pPr>
              <w:spacing w:after="0" w:line="187"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Senior Executive Incentive Bonus Plan.</w:t>
              </w:r>
            </w:hyperlink>
          </w:p>
        </w:tc>
        <w:tc>
          <w:tcPr>
            <w:tcW w:w="820" w:type="dxa"/>
            <w:vAlign w:val="bottom"/>
            <w:gridSpan w:val="2"/>
          </w:tcPr>
          <w:p>
            <w:pPr>
              <w:jc w:val="center"/>
              <w:ind w:right="100"/>
              <w:spacing w:after="0" w:line="187"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000-22025</w:t>
            </w:r>
          </w:p>
        </w:tc>
        <w:tc>
          <w:tcPr>
            <w:tcW w:w="80" w:type="dxa"/>
            <w:vAlign w:val="bottom"/>
          </w:tcPr>
          <w:p>
            <w:pPr>
              <w:spacing w:after="0"/>
              <w:rPr>
                <w:sz w:val="16"/>
                <w:szCs w:val="16"/>
                <w:color w:val="auto"/>
              </w:rPr>
            </w:pPr>
          </w:p>
        </w:tc>
        <w:tc>
          <w:tcPr>
            <w:tcW w:w="10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5"/>
              </w:rPr>
              <w:t>10.3</w:t>
            </w:r>
          </w:p>
        </w:tc>
        <w:tc>
          <w:tcPr>
            <w:tcW w:w="80" w:type="dxa"/>
            <w:vAlign w:val="bottom"/>
          </w:tcPr>
          <w:p>
            <w:pPr>
              <w:spacing w:after="0"/>
              <w:rPr>
                <w:sz w:val="16"/>
                <w:szCs w:val="16"/>
                <w:color w:val="auto"/>
              </w:rPr>
            </w:pPr>
          </w:p>
        </w:tc>
        <w:tc>
          <w:tcPr>
            <w:tcW w:w="16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March 25, 2011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60" w:type="dxa"/>
            <w:vAlign w:val="bottom"/>
            <w:gridSpan w:val="26"/>
            <w:shd w:val="clear" w:color="auto" w:fill="CCEEFF"/>
          </w:tcPr>
          <w:p>
            <w:pPr>
              <w:spacing w:after="0" w:line="187"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Asset Purchase Agreement, dated as of April 19, 2014, by and</w:t>
              </w:r>
            </w:hyperlink>
          </w:p>
        </w:tc>
        <w:tc>
          <w:tcPr>
            <w:tcW w:w="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April 23, 2014</w:t>
            </w:r>
          </w:p>
        </w:tc>
        <w:tc>
          <w:tcPr>
            <w:tcW w:w="0" w:type="dxa"/>
            <w:vAlign w:val="bottom"/>
          </w:tcPr>
          <w:p>
            <w:pPr>
              <w:spacing w:after="0"/>
              <w:rPr>
                <w:sz w:val="1"/>
                <w:szCs w:val="1"/>
                <w:color w:val="auto"/>
              </w:rPr>
            </w:pPr>
          </w:p>
        </w:tc>
      </w:tr>
      <w:tr>
        <w:trPr>
          <w:trHeight w:val="187"/>
        </w:trPr>
        <w:tc>
          <w:tcPr>
            <w:tcW w:w="10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0000FF"/>
              <w:bottom w:val="single" w:sz="8" w:color="0000FF"/>
            </w:tcBorders>
            <w:gridSpan w:val="4"/>
            <w:shd w:val="clear" w:color="auto" w:fill="CCEEFF"/>
          </w:tcPr>
          <w:p>
            <w:pPr>
              <w:spacing w:after="0" w:line="140"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between the Company and Sanofi.</w:t>
              </w:r>
            </w:hyperlink>
          </w:p>
        </w:tc>
        <w:tc>
          <w:tcPr>
            <w:tcW w:w="6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60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76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30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820" w:type="dxa"/>
            <w:vAlign w:val="bottom"/>
            <w:tcBorders>
              <w:top w:val="single" w:sz="8" w:color="CCEEFF"/>
              <w:bottom w:val="single" w:sz="8" w:color="CCEEFF"/>
            </w:tcBorders>
            <w:gridSpan w:val="2"/>
            <w:vMerge w:val="continue"/>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10.4 #</w:t>
            </w: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960" w:type="dxa"/>
            <w:vAlign w:val="bottom"/>
            <w:tcBorders>
              <w:top w:val="single" w:sz="8" w:color="CCEEFF"/>
            </w:tcBorders>
            <w:gridSpan w:val="26"/>
          </w:tcPr>
          <w:p>
            <w:pPr>
              <w:spacing w:after="0" w:line="187"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Second Amended and Restated 2009 Omnibus Incentive Plan.</w:t>
              </w:r>
            </w:hyperlink>
          </w:p>
        </w:tc>
        <w:tc>
          <w:tcPr>
            <w:tcW w:w="820" w:type="dxa"/>
            <w:vAlign w:val="bottom"/>
            <w:tcBorders>
              <w:top w:val="single" w:sz="8" w:color="CCEEFF"/>
            </w:tcBorders>
            <w:gridSpan w:val="2"/>
          </w:tcPr>
          <w:p>
            <w:pPr>
              <w:jc w:val="center"/>
              <w:ind w:right="120"/>
              <w:spacing w:after="0" w:line="187" w:lineRule="exact"/>
              <w:rPr>
                <w:sz w:val="20"/>
                <w:szCs w:val="20"/>
                <w:color w:val="auto"/>
              </w:rPr>
            </w:pPr>
            <w:r>
              <w:rPr>
                <w:rFonts w:ascii="Times New Roman" w:cs="Times New Roman" w:eastAsia="Times New Roman" w:hAnsi="Times New Roman"/>
                <w:sz w:val="18"/>
                <w:szCs w:val="18"/>
                <w:color w:val="auto"/>
                <w:w w:val="98"/>
              </w:rPr>
              <w:t>Sch. 14A</w:t>
            </w:r>
          </w:p>
        </w:tc>
        <w:tc>
          <w:tcPr>
            <w:tcW w:w="104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gridSpan w:val="2"/>
          </w:tcPr>
          <w:p>
            <w:pPr>
              <w:jc w:val="center"/>
              <w:ind w:right="100"/>
              <w:spacing w:after="0" w:line="187" w:lineRule="exact"/>
              <w:rPr>
                <w:sz w:val="20"/>
                <w:szCs w:val="20"/>
                <w:color w:val="auto"/>
              </w:rPr>
            </w:pPr>
            <w:r>
              <w:rPr>
                <w:rFonts w:ascii="Times New Roman" w:cs="Times New Roman" w:eastAsia="Times New Roman" w:hAnsi="Times New Roman"/>
                <w:sz w:val="18"/>
                <w:szCs w:val="18"/>
                <w:color w:val="auto"/>
                <w:w w:val="98"/>
              </w:rPr>
              <w:t>Appendix II</w:t>
            </w:r>
          </w:p>
        </w:tc>
        <w:tc>
          <w:tcPr>
            <w:tcW w:w="1640" w:type="dxa"/>
            <w:vAlign w:val="bottom"/>
            <w:tcBorders>
              <w:top w:val="single" w:sz="8" w:color="CCEEFF"/>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October 21, 2014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60" w:type="dxa"/>
            <w:vAlign w:val="bottom"/>
            <w:gridSpan w:val="26"/>
            <w:shd w:val="clear" w:color="auto" w:fill="CCEEFF"/>
          </w:tcPr>
          <w:p>
            <w:pPr>
              <w:spacing w:after="0" w:line="187"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Lease Agreement, dated October 21, 2020, by and between the</w:t>
              </w:r>
            </w:hyperlink>
          </w:p>
        </w:tc>
        <w:tc>
          <w:tcPr>
            <w:tcW w:w="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8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24, 2021</w:t>
            </w:r>
          </w:p>
        </w:tc>
        <w:tc>
          <w:tcPr>
            <w:tcW w:w="0" w:type="dxa"/>
            <w:vAlign w:val="bottom"/>
          </w:tcPr>
          <w:p>
            <w:pPr>
              <w:spacing w:after="0"/>
              <w:rPr>
                <w:sz w:val="1"/>
                <w:szCs w:val="1"/>
                <w:color w:val="auto"/>
              </w:rPr>
            </w:pPr>
          </w:p>
        </w:tc>
      </w:tr>
      <w:tr>
        <w:trPr>
          <w:trHeight w:val="153"/>
        </w:trPr>
        <w:tc>
          <w:tcPr>
            <w:tcW w:w="102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480" w:type="dxa"/>
            <w:vAlign w:val="bottom"/>
            <w:tcBorders>
              <w:top w:val="single" w:sz="8" w:color="0000FF"/>
            </w:tcBorders>
            <w:gridSpan w:val="19"/>
            <w:shd w:val="clear" w:color="auto" w:fill="CCEEFF"/>
          </w:tcPr>
          <w:p>
            <w:pPr>
              <w:spacing w:after="0" w:line="140"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Company and Up 64 Sidney Street, LLC, as amended.</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gridSpan w:val="5"/>
            <w:shd w:val="clear" w:color="auto" w:fill="CCEEFF"/>
          </w:tcPr>
          <w:p>
            <w:pPr>
              <w:spacing w:after="0"/>
              <w:rPr>
                <w:sz w:val="13"/>
                <w:szCs w:val="13"/>
                <w:color w:val="auto"/>
              </w:rPr>
            </w:pPr>
          </w:p>
        </w:tc>
        <w:tc>
          <w:tcPr>
            <w:tcW w:w="820" w:type="dxa"/>
            <w:vAlign w:val="bottom"/>
            <w:tcBorders>
              <w:top w:val="single" w:sz="8" w:color="CCEEFF"/>
            </w:tcBorders>
            <w:gridSpan w:val="2"/>
            <w:vMerge w:val="continue"/>
            <w:shd w:val="clear" w:color="auto" w:fill="CCEEFF"/>
          </w:tcPr>
          <w:p>
            <w:pPr>
              <w:spacing w:after="0"/>
              <w:rPr>
                <w:sz w:val="13"/>
                <w:szCs w:val="13"/>
                <w:color w:val="auto"/>
              </w:rPr>
            </w:pPr>
          </w:p>
        </w:tc>
        <w:tc>
          <w:tcPr>
            <w:tcW w:w="104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gridSpan w:val="26"/>
          </w:tcPr>
          <w:p>
            <w:pPr>
              <w:spacing w:after="0" w:line="187"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Lease Agreement, dated January 28, 2022, by and between the</w:t>
              </w:r>
            </w:hyperlink>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16"/>
                <w:szCs w:val="16"/>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May 4, 2022</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10"/>
          </w:tcPr>
          <w:p>
            <w:pPr>
              <w:spacing w:after="0" w:line="140"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Company and NBD Property Owner 2, L.P.</w:t>
              </w:r>
            </w:hyperlink>
          </w:p>
        </w:tc>
        <w:tc>
          <w:tcPr>
            <w:tcW w:w="1000" w:type="dxa"/>
            <w:vAlign w:val="bottom"/>
            <w:tcBorders>
              <w:top w:val="single" w:sz="8" w:color="0000FF"/>
            </w:tcBorders>
            <w:gridSpan w:val="4"/>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gridSpan w:val="5"/>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020" w:type="dxa"/>
            <w:vAlign w:val="bottom"/>
            <w:tcBorders>
              <w:bottom w:val="single" w:sz="8" w:color="CCEEFF"/>
            </w:tcBorders>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10.7 #</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120" w:type="dxa"/>
            <w:vAlign w:val="bottom"/>
            <w:tcBorders>
              <w:bottom w:val="single" w:sz="8" w:color="0000FF"/>
            </w:tcBorders>
            <w:gridSpan w:val="15"/>
            <w:shd w:val="clear" w:color="auto" w:fill="CCEEFF"/>
          </w:tcPr>
          <w:p>
            <w:pPr>
              <w:spacing w:after="0" w:line="187" w:lineRule="exact"/>
              <w:rPr>
                <w:rFonts w:ascii="Times New Roman" w:cs="Times New Roman" w:eastAsia="Times New Roman" w:hAnsi="Times New Roman"/>
                <w:sz w:val="18"/>
                <w:szCs w:val="18"/>
                <w:color w:val="0000FF"/>
                <w:w w:val="97"/>
              </w:rPr>
            </w:pPr>
            <w:hyperlink r:id="rId139">
              <w:r>
                <w:rPr>
                  <w:rFonts w:ascii="Times New Roman" w:cs="Times New Roman" w:eastAsia="Times New Roman" w:hAnsi="Times New Roman"/>
                  <w:sz w:val="18"/>
                  <w:szCs w:val="18"/>
                  <w:color w:val="0000FF"/>
                  <w:w w:val="97"/>
                </w:rPr>
                <w:t>Vericel Corporation 2015 Employee Stock Purchase Plan.</w:t>
              </w:r>
            </w:hyperlink>
          </w:p>
        </w:tc>
        <w:tc>
          <w:tcPr>
            <w:tcW w:w="840" w:type="dxa"/>
            <w:vAlign w:val="bottom"/>
            <w:tcBorders>
              <w:bottom w:val="single" w:sz="8" w:color="CCEEFF"/>
            </w:tcBorders>
            <w:gridSpan w:val="11"/>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center"/>
              <w:ind w:right="120"/>
              <w:spacing w:after="0" w:line="187" w:lineRule="exact"/>
              <w:rPr>
                <w:sz w:val="20"/>
                <w:szCs w:val="20"/>
                <w:color w:val="auto"/>
              </w:rPr>
            </w:pPr>
            <w:r>
              <w:rPr>
                <w:rFonts w:ascii="Times New Roman" w:cs="Times New Roman" w:eastAsia="Times New Roman" w:hAnsi="Times New Roman"/>
                <w:sz w:val="18"/>
                <w:szCs w:val="18"/>
                <w:color w:val="auto"/>
                <w:w w:val="98"/>
              </w:rPr>
              <w:t>Sch. 14A</w:t>
            </w:r>
          </w:p>
        </w:tc>
        <w:tc>
          <w:tcPr>
            <w:tcW w:w="1040" w:type="dxa"/>
            <w:vAlign w:val="bottom"/>
            <w:tcBorders>
              <w:bottom w:val="single" w:sz="8" w:color="CCEEFF"/>
            </w:tcBorders>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center"/>
              <w:ind w:right="80"/>
              <w:spacing w:after="0" w:line="187" w:lineRule="exact"/>
              <w:rPr>
                <w:sz w:val="20"/>
                <w:szCs w:val="20"/>
                <w:color w:val="auto"/>
              </w:rPr>
            </w:pPr>
            <w:r>
              <w:rPr>
                <w:rFonts w:ascii="Times New Roman" w:cs="Times New Roman" w:eastAsia="Times New Roman" w:hAnsi="Times New Roman"/>
                <w:sz w:val="18"/>
                <w:szCs w:val="18"/>
                <w:color w:val="auto"/>
                <w:w w:val="98"/>
              </w:rPr>
              <w:t>Appendix I</w:t>
            </w:r>
          </w:p>
        </w:tc>
        <w:tc>
          <w:tcPr>
            <w:tcW w:w="1640" w:type="dxa"/>
            <w:vAlign w:val="bottom"/>
            <w:tcBorders>
              <w:bottom w:val="single" w:sz="8" w:color="CCEEFF"/>
            </w:tcBorders>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March 25, 2015</w:t>
            </w: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gridSpan w:val="26"/>
          </w:tcPr>
          <w:p>
            <w:pPr>
              <w:spacing w:after="0" w:line="187"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First Amendment to Executive Employment Agreement by and</w:t>
              </w:r>
            </w:hyperlink>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10.8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between Dominick C. Colangelo and the Company, dated</w:t>
              </w:r>
            </w:hyperlink>
          </w:p>
        </w:tc>
        <w:tc>
          <w:tcPr>
            <w:tcW w:w="440" w:type="dxa"/>
            <w:vAlign w:val="bottom"/>
            <w:gridSpan w:val="5"/>
          </w:tcPr>
          <w:p>
            <w:pPr>
              <w:spacing w:after="0"/>
              <w:rPr>
                <w:sz w:val="13"/>
                <w:szCs w:val="13"/>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13"/>
                <w:szCs w:val="13"/>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September 19, 2017</w:t>
            </w:r>
          </w:p>
        </w:tc>
        <w:tc>
          <w:tcPr>
            <w:tcW w:w="0" w:type="dxa"/>
            <w:vAlign w:val="bottom"/>
          </w:tcPr>
          <w:p>
            <w:pPr>
              <w:spacing w:after="0"/>
              <w:rPr>
                <w:sz w:val="1"/>
                <w:szCs w:val="1"/>
                <w:color w:val="auto"/>
              </w:rPr>
            </w:pPr>
          </w:p>
        </w:tc>
      </w:tr>
      <w:tr>
        <w:trPr>
          <w:trHeight w:val="167"/>
        </w:trPr>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00" w:type="dxa"/>
            <w:vAlign w:val="bottom"/>
            <w:tcBorders>
              <w:top w:val="single" w:sz="8" w:color="0000FF"/>
            </w:tcBorders>
            <w:gridSpan w:val="14"/>
          </w:tcPr>
          <w:p>
            <w:pPr>
              <w:spacing w:after="0" w:line="167"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September 14, 2017.</w:t>
              </w:r>
            </w:hyperlink>
          </w:p>
        </w:tc>
        <w:tc>
          <w:tcPr>
            <w:tcW w:w="400" w:type="dxa"/>
            <w:vAlign w:val="bottom"/>
            <w:gridSpan w:val="6"/>
          </w:tcPr>
          <w:p>
            <w:pPr>
              <w:spacing w:after="0"/>
              <w:rPr>
                <w:sz w:val="14"/>
                <w:szCs w:val="14"/>
                <w:color w:val="auto"/>
              </w:rPr>
            </w:pPr>
          </w:p>
        </w:tc>
        <w:tc>
          <w:tcPr>
            <w:tcW w:w="460" w:type="dxa"/>
            <w:vAlign w:val="bottom"/>
            <w:gridSpan w:val="6"/>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960" w:type="dxa"/>
            <w:vAlign w:val="bottom"/>
            <w:gridSpan w:val="26"/>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Amended and Restated Non-Employee Director Compensation</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20" w:type="dxa"/>
            <w:vAlign w:val="bottom"/>
            <w:tcBorders>
              <w:top w:val="single" w:sz="8" w:color="CCEEFF"/>
            </w:tcBorders>
            <w:vMerge w:val="continue"/>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500" w:type="dxa"/>
            <w:vAlign w:val="bottom"/>
            <w:tcBorders>
              <w:top w:val="single" w:sz="8" w:color="0000FF"/>
            </w:tcBorders>
            <w:gridSpan w:val="20"/>
            <w:shd w:val="clear" w:color="auto" w:fill="CCEEFF"/>
          </w:tcPr>
          <w:p>
            <w:pPr>
              <w:spacing w:after="0" w:line="140" w:lineRule="exact"/>
              <w:rPr>
                <w:sz w:val="20"/>
                <w:szCs w:val="20"/>
                <w:color w:val="auto"/>
              </w:rPr>
            </w:pPr>
            <w:r>
              <w:rPr>
                <w:rFonts w:ascii="Times New Roman" w:cs="Times New Roman" w:eastAsia="Times New Roman" w:hAnsi="Times New Roman"/>
                <w:sz w:val="16"/>
                <w:szCs w:val="16"/>
                <w:color w:val="0000FF"/>
              </w:rPr>
              <w:t>Guidelines (Revised May 3, 2023).</w:t>
            </w:r>
          </w:p>
        </w:tc>
        <w:tc>
          <w:tcPr>
            <w:tcW w:w="460" w:type="dxa"/>
            <w:vAlign w:val="bottom"/>
            <w:tcBorders>
              <w:top w:val="single" w:sz="8" w:color="CCEEFF"/>
            </w:tcBorders>
            <w:gridSpan w:val="6"/>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77" w:right="339" w:bottom="1440" w:gutter="0" w:footer="0" w:header="0"/>
        </w:sectPr>
      </w:pPr>
    </w:p>
    <w:p>
      <w:pPr>
        <w:spacing w:after="0" w:line="3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10.10 †</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10.11 #</w:t>
      </w:r>
    </w:p>
    <w:p>
      <w:pPr>
        <w:spacing w:after="0" w:line="2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10.12 #</w:t>
      </w: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10.13 #</w:t>
      </w: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10.14 #</w:t>
      </w: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10.15 #</w:t>
      </w:r>
    </w:p>
    <w:p>
      <w:pPr>
        <w:spacing w:after="0" w:line="20" w:lineRule="exact"/>
        <w:rPr>
          <w:sz w:val="20"/>
          <w:szCs w:val="20"/>
          <w:color w:val="auto"/>
        </w:rPr>
      </w:pPr>
      <w:r>
        <w:rPr>
          <w:sz w:val="20"/>
          <w:szCs w:val="20"/>
          <w:color w:val="auto"/>
        </w:rPr>
        <w:br w:type="column"/>
      </w:r>
    </w:p>
    <w:p>
      <w:pPr>
        <w:spacing w:after="0" w:line="230" w:lineRule="auto"/>
        <w:rPr>
          <w:rFonts w:ascii="Times New Roman" w:cs="Times New Roman" w:eastAsia="Times New Roman" w:hAnsi="Times New Roman"/>
          <w:sz w:val="17"/>
          <w:szCs w:val="17"/>
          <w:u w:val="single" w:color="auto"/>
          <w:color w:val="0000FF"/>
        </w:rPr>
      </w:pPr>
      <w:hyperlink r:id="rId141">
        <w:r>
          <w:rPr>
            <w:rFonts w:ascii="Times New Roman" w:cs="Times New Roman" w:eastAsia="Times New Roman" w:hAnsi="Times New Roman"/>
            <w:sz w:val="17"/>
            <w:szCs w:val="17"/>
            <w:u w:val="single" w:color="auto"/>
            <w:color w:val="0000FF"/>
          </w:rPr>
          <w:t>Amended and Restated ACI-Maix Supply Agreement, dated March</w:t>
        </w:r>
      </w:hyperlink>
      <w:r>
        <w:rPr>
          <w:rFonts w:ascii="Times New Roman" w:cs="Times New Roman" w:eastAsia="Times New Roman" w:hAnsi="Times New Roman"/>
          <w:sz w:val="17"/>
          <w:szCs w:val="17"/>
          <w:u w:val="single" w:color="auto"/>
          <w:color w:val="0000FF"/>
        </w:rPr>
        <w:t xml:space="preserve"> </w:t>
      </w:r>
      <w:hyperlink r:id="rId141">
        <w:r>
          <w:rPr>
            <w:rFonts w:ascii="Times New Roman" w:cs="Times New Roman" w:eastAsia="Times New Roman" w:hAnsi="Times New Roman"/>
            <w:sz w:val="17"/>
            <w:szCs w:val="17"/>
            <w:u w:val="single" w:color="auto"/>
            <w:color w:val="0000FF"/>
          </w:rPr>
          <w:t>17, 2018, as amended, by and between the Company and Matricel</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GMBH.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3175</wp:posOffset>
            </wp:positionV>
            <wp:extent cx="6845935" cy="144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6845935" cy="14414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2017 Omnibus Incentive Plan.</w:t>
        </w:r>
      </w:hyperlink>
    </w:p>
    <w:p>
      <w:pPr>
        <w:spacing w:after="0" w:line="20" w:lineRule="exact"/>
        <w:rPr>
          <w:sz w:val="20"/>
          <w:szCs w:val="20"/>
          <w:color w:val="auto"/>
        </w:rPr>
      </w:pPr>
    </w:p>
    <w:p>
      <w:pPr>
        <w:ind w:right="80"/>
        <w:spacing w:after="0" w:line="232"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Form of Incentive Stock Option Award Agreement under the 2017</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Omnibus Incentive Plan.</w:t>
        </w:r>
      </w:hyperlink>
    </w:p>
    <w:p>
      <w:pPr>
        <w:spacing w:after="0" w:line="8" w:lineRule="exact"/>
        <w:rPr>
          <w:sz w:val="20"/>
          <w:szCs w:val="20"/>
          <w:color w:val="auto"/>
        </w:rPr>
      </w:pPr>
    </w:p>
    <w:p>
      <w:pPr>
        <w:spacing w:after="0" w:line="235"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Form of Non-Employee Director Award Agreement under the 2017</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Omnibus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-253365</wp:posOffset>
            </wp:positionV>
            <wp:extent cx="6845935" cy="262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6845935" cy="262890"/>
                    </a:xfrm>
                    <a:prstGeom prst="rect">
                      <a:avLst/>
                    </a:prstGeom>
                    <a:noFill/>
                  </pic:spPr>
                </pic:pic>
              </a:graphicData>
            </a:graphic>
          </wp:anchor>
        </w:drawing>
      </w:r>
    </w:p>
    <w:p>
      <w:pPr>
        <w:ind w:right="180"/>
        <w:spacing w:after="0" w:line="235"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Form of Restricted Stock Unit Award Agreement under the 2017</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Omnibus Incentive Plan.</w:t>
        </w:r>
      </w:hyperlink>
    </w:p>
    <w:p>
      <w:pPr>
        <w:spacing w:after="0" w:line="8" w:lineRule="exact"/>
        <w:rPr>
          <w:sz w:val="20"/>
          <w:szCs w:val="20"/>
          <w:color w:val="auto"/>
        </w:rPr>
      </w:pPr>
    </w:p>
    <w:p>
      <w:pPr>
        <w:ind w:right="600"/>
        <w:spacing w:after="0" w:line="235"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Vericel Corporation Amended and Restated 2019 Omnibus</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-253365</wp:posOffset>
            </wp:positionV>
            <wp:extent cx="6845935" cy="262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6845935" cy="262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8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001-35280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May 8, 2018</w:t>
            </w:r>
          </w:p>
        </w:tc>
      </w:tr>
      <w:tr>
        <w:trPr>
          <w:trHeight w:val="232"/>
        </w:trPr>
        <w:tc>
          <w:tcPr>
            <w:tcW w:w="8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8"/>
              </w:rPr>
              <w:t>Sch. 14A</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001-35280</w:t>
            </w: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Appendix I</w:t>
            </w:r>
          </w:p>
        </w:tc>
        <w:tc>
          <w:tcPr>
            <w:tcW w:w="14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March 20, 2017</w:t>
            </w:r>
          </w:p>
        </w:tc>
      </w:tr>
      <w:tr>
        <w:trPr>
          <w:trHeight w:val="414"/>
        </w:trPr>
        <w:tc>
          <w:tcPr>
            <w:tcW w:w="8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10-K</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001-35280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10.49</w:t>
            </w:r>
          </w:p>
        </w:tc>
        <w:tc>
          <w:tcPr>
            <w:tcW w:w="14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February 26, 2019</w:t>
            </w:r>
          </w:p>
        </w:tc>
      </w:tr>
      <w:tr>
        <w:trPr>
          <w:trHeight w:val="414"/>
        </w:trPr>
        <w:tc>
          <w:tcPr>
            <w:tcW w:w="8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10-K</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001-35280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4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February 26, 2019</w:t>
            </w:r>
          </w:p>
        </w:tc>
      </w:tr>
      <w:tr>
        <w:trPr>
          <w:trHeight w:val="414"/>
        </w:trPr>
        <w:tc>
          <w:tcPr>
            <w:tcW w:w="8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10-K</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001-35280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10.51</w:t>
            </w:r>
          </w:p>
        </w:tc>
        <w:tc>
          <w:tcPr>
            <w:tcW w:w="14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February 26, 2019</w:t>
            </w:r>
          </w:p>
        </w:tc>
      </w:tr>
      <w:tr>
        <w:trPr>
          <w:trHeight w:val="414"/>
        </w:trPr>
        <w:tc>
          <w:tcPr>
            <w:tcW w:w="8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001-35280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May 1, 2020</w:t>
            </w:r>
          </w:p>
        </w:tc>
      </w:tr>
    </w:tbl>
    <w:p>
      <w:pPr>
        <w:spacing w:after="0" w:line="1" w:lineRule="exact"/>
        <w:rPr>
          <w:sz w:val="20"/>
          <w:szCs w:val="20"/>
          <w:color w:val="auto"/>
        </w:rPr>
      </w:pPr>
    </w:p>
    <w:p>
      <w:pPr>
        <w:sectPr>
          <w:pgSz w:w="11900" w:h="16838" w:orient="portrait"/>
          <w:cols w:equalWidth="0" w:num="3">
            <w:col w:w="1020" w:space="340"/>
            <w:col w:w="4800" w:space="180"/>
            <w:col w:w="4900"/>
          </w:cols>
          <w:pgMar w:left="320" w:top="177" w:right="339" w:bottom="1440" w:gutter="0" w:footer="0" w:header="0"/>
          <w:type w:val="continuous"/>
        </w:sectPr>
      </w:pPr>
    </w:p>
    <w:p>
      <w:pPr>
        <w:ind w:left="1360"/>
        <w:spacing w:after="0" w:line="217"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Form of Current Employee Incentive Stock Option Agreement</w:t>
        </w:r>
      </w:hyperlink>
    </w:p>
    <w:p>
      <w:pPr>
        <w:ind w:left="1360"/>
        <w:spacing w:after="0" w:line="199" w:lineRule="auto"/>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under the 2019 Omnibus Incentive Plan (amended February 15,</w:t>
        </w:r>
      </w:hyperlink>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60" w:type="dxa"/>
            <w:vAlign w:val="bottom"/>
            <w:gridSpan w:val="2"/>
          </w:tcPr>
          <w:p>
            <w:pPr>
              <w:jc w:val="right"/>
              <w:ind w:right="251"/>
              <w:spacing w:after="0" w:line="167" w:lineRule="exact"/>
              <w:rPr>
                <w:sz w:val="20"/>
                <w:szCs w:val="20"/>
                <w:color w:val="auto"/>
              </w:rPr>
            </w:pPr>
            <w:r>
              <w:rPr>
                <w:rFonts w:ascii="Times New Roman" w:cs="Times New Roman" w:eastAsia="Times New Roman" w:hAnsi="Times New Roman"/>
                <w:sz w:val="18"/>
                <w:szCs w:val="18"/>
                <w:color w:val="auto"/>
              </w:rPr>
              <w:t>10.16 #</w:t>
            </w:r>
          </w:p>
        </w:tc>
        <w:tc>
          <w:tcPr>
            <w:tcW w:w="46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4"/>
              </w:rPr>
            </w:pPr>
            <w:hyperlink r:id="rId150">
              <w:r>
                <w:rPr>
                  <w:rFonts w:ascii="Times New Roman" w:cs="Times New Roman" w:eastAsia="Times New Roman" w:hAnsi="Times New Roman"/>
                  <w:sz w:val="18"/>
                  <w:szCs w:val="18"/>
                  <w:color w:val="0000FF"/>
                  <w:w w:val="94"/>
                </w:rPr>
                <w:t>2022).</w:t>
              </w:r>
            </w:hyperlink>
          </w:p>
        </w:tc>
        <w:tc>
          <w:tcPr>
            <w:tcW w:w="1700" w:type="dxa"/>
            <w:vAlign w:val="bottom"/>
            <w:tcBorders>
              <w:top w:val="single" w:sz="8" w:color="0000FF"/>
            </w:tcBorders>
          </w:tcPr>
          <w:p>
            <w:pPr>
              <w:spacing w:after="0"/>
              <w:rPr>
                <w:sz w:val="14"/>
                <w:szCs w:val="14"/>
                <w:color w:val="auto"/>
              </w:rPr>
            </w:pPr>
          </w:p>
        </w:tc>
        <w:tc>
          <w:tcPr>
            <w:tcW w:w="14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spacing w:after="0" w:line="167" w:lineRule="exact"/>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right"/>
              <w:ind w:right="191"/>
              <w:spacing w:after="0" w:line="167" w:lineRule="exact"/>
              <w:rPr>
                <w:sz w:val="20"/>
                <w:szCs w:val="20"/>
                <w:color w:val="auto"/>
              </w:rPr>
            </w:pPr>
            <w:r>
              <w:rPr>
                <w:rFonts w:ascii="Times New Roman" w:cs="Times New Roman" w:eastAsia="Times New Roman" w:hAnsi="Times New Roman"/>
                <w:sz w:val="18"/>
                <w:szCs w:val="18"/>
                <w:color w:val="auto"/>
              </w:rPr>
              <w:t>001-35280</w:t>
            </w:r>
          </w:p>
        </w:tc>
        <w:tc>
          <w:tcPr>
            <w:tcW w:w="960" w:type="dxa"/>
            <w:vAlign w:val="bottom"/>
          </w:tcPr>
          <w:p>
            <w:pPr>
              <w:jc w:val="right"/>
              <w:ind w:right="271"/>
              <w:spacing w:after="0" w:line="167" w:lineRule="exact"/>
              <w:rPr>
                <w:sz w:val="20"/>
                <w:szCs w:val="20"/>
                <w:color w:val="auto"/>
              </w:rPr>
            </w:pPr>
            <w:r>
              <w:rPr>
                <w:rFonts w:ascii="Times New Roman" w:cs="Times New Roman" w:eastAsia="Times New Roman" w:hAnsi="Times New Roman"/>
                <w:sz w:val="18"/>
                <w:szCs w:val="18"/>
                <w:color w:val="auto"/>
              </w:rPr>
              <w:t>10.2</w:t>
            </w:r>
          </w:p>
        </w:tc>
        <w:tc>
          <w:tcPr>
            <w:tcW w:w="1960" w:type="dxa"/>
            <w:vAlign w:val="bottom"/>
            <w:gridSpan w:val="2"/>
          </w:tcPr>
          <w:p>
            <w:pPr>
              <w:jc w:val="center"/>
              <w:ind w:right="140"/>
              <w:spacing w:after="0" w:line="167" w:lineRule="exact"/>
              <w:rPr>
                <w:sz w:val="20"/>
                <w:szCs w:val="20"/>
                <w:color w:val="auto"/>
              </w:rPr>
            </w:pPr>
            <w:r>
              <w:rPr>
                <w:rFonts w:ascii="Times New Roman" w:cs="Times New Roman" w:eastAsia="Times New Roman" w:hAnsi="Times New Roman"/>
                <w:sz w:val="18"/>
                <w:szCs w:val="18"/>
                <w:color w:val="auto"/>
                <w:w w:val="98"/>
              </w:rPr>
              <w:t>May 4, 2022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40" w:type="dxa"/>
            <w:vAlign w:val="bottom"/>
          </w:tcPr>
          <w:p>
            <w:pPr>
              <w:spacing w:after="0"/>
              <w:rPr>
                <w:sz w:val="16"/>
                <w:szCs w:val="16"/>
                <w:color w:val="auto"/>
              </w:rPr>
            </w:pPr>
          </w:p>
        </w:tc>
        <w:tc>
          <w:tcPr>
            <w:tcW w:w="1120" w:type="dxa"/>
            <w:vAlign w:val="bottom"/>
            <w:vMerge w:val="restart"/>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10.17 #</w:t>
            </w:r>
          </w:p>
        </w:tc>
        <w:tc>
          <w:tcPr>
            <w:tcW w:w="4980" w:type="dxa"/>
            <w:vAlign w:val="bottom"/>
            <w:gridSpan w:val="10"/>
            <w:shd w:val="clear" w:color="auto" w:fill="CCEEFF"/>
          </w:tcPr>
          <w:p>
            <w:pPr>
              <w:spacing w:after="0" w:line="187"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New Hire Incentive Stock Option Award Agreement under</w:t>
              </w:r>
            </w:hyperlink>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vMerge w:val="restart"/>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001-35280</w:t>
            </w:r>
          </w:p>
        </w:tc>
        <w:tc>
          <w:tcPr>
            <w:tcW w:w="960" w:type="dxa"/>
            <w:vAlign w:val="bottom"/>
            <w:vMerge w:val="restart"/>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10.3</w:t>
            </w:r>
          </w:p>
        </w:tc>
        <w:tc>
          <w:tcPr>
            <w:tcW w:w="1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May 4, 2022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11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4500" w:type="dxa"/>
            <w:vAlign w:val="bottom"/>
            <w:tcBorders>
              <w:top w:val="single" w:sz="8" w:color="0000FF"/>
              <w:bottom w:val="single" w:sz="8" w:color="0000FF"/>
            </w:tcBorders>
            <w:gridSpan w:val="6"/>
            <w:shd w:val="clear" w:color="auto" w:fill="CCEEFF"/>
          </w:tcPr>
          <w:p>
            <w:pPr>
              <w:spacing w:after="0" w:line="140"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the 2019 Omnibus Incentive Plan(amended February 15, 2022)</w:t>
              </w:r>
            </w:hyperlink>
          </w:p>
        </w:tc>
        <w:tc>
          <w:tcPr>
            <w:tcW w:w="30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126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96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17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980" w:type="dxa"/>
            <w:vAlign w:val="bottom"/>
            <w:gridSpan w:val="10"/>
          </w:tcPr>
          <w:p>
            <w:pPr>
              <w:spacing w:after="0" w:line="187"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Non-Qualified Stock Option Award Agreement for Non-</w:t>
              </w:r>
            </w:hyperlink>
          </w:p>
        </w:tc>
        <w:tc>
          <w:tcPr>
            <w:tcW w:w="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60" w:type="dxa"/>
            <w:vAlign w:val="bottom"/>
            <w:gridSpan w:val="2"/>
            <w:vMerge w:val="restart"/>
          </w:tcPr>
          <w:p>
            <w:pPr>
              <w:jc w:val="right"/>
              <w:ind w:right="251"/>
              <w:spacing w:after="0"/>
              <w:rPr>
                <w:sz w:val="20"/>
                <w:szCs w:val="20"/>
                <w:color w:val="auto"/>
              </w:rPr>
            </w:pPr>
            <w:r>
              <w:rPr>
                <w:rFonts w:ascii="Times New Roman" w:cs="Times New Roman" w:eastAsia="Times New Roman" w:hAnsi="Times New Roman"/>
                <w:sz w:val="18"/>
                <w:szCs w:val="18"/>
                <w:color w:val="auto"/>
              </w:rPr>
              <w:t>10.18 #</w:t>
            </w:r>
          </w:p>
        </w:tc>
        <w:tc>
          <w:tcPr>
            <w:tcW w:w="4660" w:type="dxa"/>
            <w:vAlign w:val="bottom"/>
            <w:tcBorders>
              <w:top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Employee Directors under the 2019 Omnibus Incentive Plan</w:t>
              </w:r>
            </w:hyperlink>
          </w:p>
        </w:tc>
        <w:tc>
          <w:tcPr>
            <w:tcW w:w="320" w:type="dxa"/>
            <w:vAlign w:val="bottom"/>
            <w:gridSpan w:val="2"/>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001-35280</w:t>
            </w:r>
          </w:p>
        </w:tc>
        <w:tc>
          <w:tcPr>
            <w:tcW w:w="96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color w:val="auto"/>
              </w:rPr>
              <w:t>10.4</w:t>
            </w:r>
          </w:p>
        </w:tc>
        <w:tc>
          <w:tcPr>
            <w:tcW w:w="1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8"/>
              </w:rPr>
              <w:t>May 4, 2022</w:t>
            </w:r>
          </w:p>
        </w:tc>
        <w:tc>
          <w:tcPr>
            <w:tcW w:w="0" w:type="dxa"/>
            <w:vAlign w:val="bottom"/>
          </w:tcPr>
          <w:p>
            <w:pPr>
              <w:spacing w:after="0"/>
              <w:rPr>
                <w:sz w:val="1"/>
                <w:szCs w:val="1"/>
                <w:color w:val="auto"/>
              </w:rPr>
            </w:pPr>
          </w:p>
        </w:tc>
      </w:tr>
      <w:tr>
        <w:trPr>
          <w:trHeight w:val="167"/>
        </w:trPr>
        <w:tc>
          <w:tcPr>
            <w:tcW w:w="1360" w:type="dxa"/>
            <w:vAlign w:val="bottom"/>
            <w:gridSpan w:val="2"/>
            <w:vMerge w:val="continue"/>
          </w:tcPr>
          <w:p>
            <w:pPr>
              <w:spacing w:after="0"/>
              <w:rPr>
                <w:sz w:val="14"/>
                <w:szCs w:val="14"/>
                <w:color w:val="auto"/>
              </w:rPr>
            </w:pPr>
          </w:p>
        </w:tc>
        <w:tc>
          <w:tcPr>
            <w:tcW w:w="4300" w:type="dxa"/>
            <w:vAlign w:val="bottom"/>
            <w:tcBorders>
              <w:top w:val="single" w:sz="8" w:color="0000FF"/>
            </w:tcBorders>
            <w:gridSpan w:val="5"/>
          </w:tcPr>
          <w:p>
            <w:pPr>
              <w:spacing w:after="0" w:line="167"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(amended February 15, 2022).</w:t>
              </w:r>
            </w:hyperlink>
          </w:p>
        </w:tc>
        <w:tc>
          <w:tcPr>
            <w:tcW w:w="680" w:type="dxa"/>
            <w:vAlign w:val="bottom"/>
            <w:gridSpan w:val="5"/>
          </w:tcPr>
          <w:p>
            <w:pPr>
              <w:spacing w:after="0"/>
              <w:rPr>
                <w:sz w:val="14"/>
                <w:szCs w:val="14"/>
                <w:color w:val="auto"/>
              </w:rPr>
            </w:pPr>
          </w:p>
        </w:tc>
        <w:tc>
          <w:tcPr>
            <w:tcW w:w="7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40" w:type="dxa"/>
            <w:vAlign w:val="bottom"/>
            <w:vMerge w:val="continue"/>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251"/>
              <w:spacing w:after="0" w:line="187" w:lineRule="exact"/>
              <w:rPr>
                <w:sz w:val="20"/>
                <w:szCs w:val="20"/>
                <w:color w:val="auto"/>
              </w:rPr>
            </w:pPr>
            <w:r>
              <w:rPr>
                <w:rFonts w:ascii="Times New Roman" w:cs="Times New Roman" w:eastAsia="Times New Roman" w:hAnsi="Times New Roman"/>
                <w:sz w:val="18"/>
                <w:szCs w:val="18"/>
                <w:color w:val="auto"/>
              </w:rPr>
              <w:t>10.19 #</w:t>
            </w:r>
          </w:p>
        </w:tc>
        <w:tc>
          <w:tcPr>
            <w:tcW w:w="3620" w:type="dxa"/>
            <w:vAlign w:val="bottom"/>
            <w:tcBorders>
              <w:bottom w:val="single" w:sz="8" w:color="0000FF"/>
            </w:tcBorders>
            <w:gridSpan w:val="4"/>
            <w:shd w:val="clear" w:color="auto" w:fill="CCEEFF"/>
          </w:tcPr>
          <w:p>
            <w:pPr>
              <w:spacing w:after="0" w:line="187" w:lineRule="exact"/>
              <w:rPr>
                <w:rFonts w:ascii="Times New Roman" w:cs="Times New Roman" w:eastAsia="Times New Roman" w:hAnsi="Times New Roman"/>
                <w:sz w:val="18"/>
                <w:szCs w:val="18"/>
                <w:color w:val="0000FF"/>
                <w:w w:val="97"/>
              </w:rPr>
            </w:pPr>
            <w:hyperlink r:id="rId153">
              <w:r>
                <w:rPr>
                  <w:rFonts w:ascii="Times New Roman" w:cs="Times New Roman" w:eastAsia="Times New Roman" w:hAnsi="Times New Roman"/>
                  <w:sz w:val="18"/>
                  <w:szCs w:val="18"/>
                  <w:color w:val="0000FF"/>
                  <w:w w:val="97"/>
                </w:rPr>
                <w:t>Vericel Corporation 2022 Omnibus Incentive Plan.</w:t>
              </w:r>
            </w:hyperlink>
          </w:p>
        </w:tc>
        <w:tc>
          <w:tcPr>
            <w:tcW w:w="1360" w:type="dxa"/>
            <w:vAlign w:val="bottom"/>
            <w:tcBorders>
              <w:bottom w:val="single" w:sz="8" w:color="CCEEFF"/>
            </w:tcBorders>
            <w:gridSpan w:val="6"/>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Borders>
              <w:bottom w:val="single" w:sz="8" w:color="CCEEFF"/>
            </w:tcBorders>
            <w:shd w:val="clear" w:color="auto" w:fill="CCEEFF"/>
          </w:tcPr>
          <w:p>
            <w:pPr>
              <w:jc w:val="right"/>
              <w:ind w:right="191"/>
              <w:spacing w:after="0" w:line="187" w:lineRule="exact"/>
              <w:rPr>
                <w:sz w:val="20"/>
                <w:szCs w:val="20"/>
                <w:color w:val="auto"/>
              </w:rPr>
            </w:pPr>
            <w:r>
              <w:rPr>
                <w:rFonts w:ascii="Times New Roman" w:cs="Times New Roman" w:eastAsia="Times New Roman" w:hAnsi="Times New Roman"/>
                <w:sz w:val="18"/>
                <w:szCs w:val="18"/>
                <w:color w:val="auto"/>
              </w:rPr>
              <w:t>001-35280</w:t>
            </w:r>
          </w:p>
        </w:tc>
        <w:tc>
          <w:tcPr>
            <w:tcW w:w="960" w:type="dxa"/>
            <w:vAlign w:val="bottom"/>
            <w:tcBorders>
              <w:bottom w:val="single" w:sz="8" w:color="CCEEFF"/>
            </w:tcBorders>
            <w:shd w:val="clear" w:color="auto" w:fill="CCEEFF"/>
          </w:tcPr>
          <w:p>
            <w:pPr>
              <w:jc w:val="right"/>
              <w:ind w:right="271"/>
              <w:spacing w:after="0" w:line="187" w:lineRule="exact"/>
              <w:rPr>
                <w:sz w:val="20"/>
                <w:szCs w:val="20"/>
                <w:color w:val="auto"/>
              </w:rPr>
            </w:pPr>
            <w:r>
              <w:rPr>
                <w:rFonts w:ascii="Times New Roman" w:cs="Times New Roman" w:eastAsia="Times New Roman" w:hAnsi="Times New Roman"/>
                <w:sz w:val="18"/>
                <w:szCs w:val="18"/>
                <w:color w:val="auto"/>
              </w:rPr>
              <w:t>10.1</w:t>
            </w:r>
          </w:p>
        </w:tc>
        <w:tc>
          <w:tcPr>
            <w:tcW w:w="1740" w:type="dxa"/>
            <w:vAlign w:val="bottom"/>
            <w:tcBorders>
              <w:bottom w:val="single" w:sz="8" w:color="CCEEFF"/>
            </w:tcBorders>
            <w:shd w:val="clear" w:color="auto" w:fill="CCEEFF"/>
          </w:tcPr>
          <w:p>
            <w:pPr>
              <w:jc w:val="center"/>
              <w:ind w:left="11"/>
              <w:spacing w:after="0" w:line="187" w:lineRule="exact"/>
              <w:rPr>
                <w:sz w:val="20"/>
                <w:szCs w:val="20"/>
                <w:color w:val="auto"/>
              </w:rPr>
            </w:pPr>
            <w:r>
              <w:rPr>
                <w:rFonts w:ascii="Times New Roman" w:cs="Times New Roman" w:eastAsia="Times New Roman" w:hAnsi="Times New Roman"/>
                <w:sz w:val="18"/>
                <w:szCs w:val="18"/>
                <w:color w:val="auto"/>
                <w:w w:val="98"/>
              </w:rPr>
              <w:t>April 29, 2022</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1120" w:type="dxa"/>
            <w:vAlign w:val="bottom"/>
          </w:tcPr>
          <w:p>
            <w:pPr>
              <w:jc w:val="right"/>
              <w:ind w:right="251"/>
              <w:spacing w:after="0" w:line="187" w:lineRule="exact"/>
              <w:rPr>
                <w:sz w:val="20"/>
                <w:szCs w:val="20"/>
                <w:color w:val="auto"/>
              </w:rPr>
            </w:pPr>
            <w:r>
              <w:rPr>
                <w:rFonts w:ascii="Times New Roman" w:cs="Times New Roman" w:eastAsia="Times New Roman" w:hAnsi="Times New Roman"/>
                <w:sz w:val="18"/>
                <w:szCs w:val="18"/>
                <w:color w:val="auto"/>
              </w:rPr>
              <w:t>10.20 #</w:t>
            </w:r>
          </w:p>
        </w:tc>
        <w:tc>
          <w:tcPr>
            <w:tcW w:w="3560" w:type="dxa"/>
            <w:vAlign w:val="bottom"/>
            <w:tcBorders>
              <w:bottom w:val="single" w:sz="8" w:color="0000FF"/>
            </w:tcBorders>
            <w:gridSpan w:val="3"/>
          </w:tcPr>
          <w:p>
            <w:pPr>
              <w:spacing w:after="0" w:line="187" w:lineRule="exact"/>
              <w:rPr>
                <w:rFonts w:ascii="Times New Roman" w:cs="Times New Roman" w:eastAsia="Times New Roman" w:hAnsi="Times New Roman"/>
                <w:sz w:val="18"/>
                <w:szCs w:val="18"/>
                <w:color w:val="0000FF"/>
                <w:w w:val="97"/>
              </w:rPr>
            </w:pPr>
            <w:hyperlink r:id="rId154">
              <w:r>
                <w:rPr>
                  <w:rFonts w:ascii="Times New Roman" w:cs="Times New Roman" w:eastAsia="Times New Roman" w:hAnsi="Times New Roman"/>
                  <w:sz w:val="18"/>
                  <w:szCs w:val="18"/>
                  <w:color w:val="0000FF"/>
                  <w:w w:val="97"/>
                </w:rPr>
                <w:t>Vericel Corporation Deferred Compensation Plan.</w:t>
              </w:r>
            </w:hyperlink>
          </w:p>
        </w:tc>
        <w:tc>
          <w:tcPr>
            <w:tcW w:w="1420" w:type="dxa"/>
            <w:vAlign w:val="bottom"/>
            <w:gridSpan w:val="7"/>
          </w:tcPr>
          <w:p>
            <w:pPr>
              <w:spacing w:after="0"/>
              <w:rPr>
                <w:sz w:val="16"/>
                <w:szCs w:val="16"/>
                <w:color w:val="auto"/>
              </w:rPr>
            </w:pPr>
          </w:p>
        </w:tc>
        <w:tc>
          <w:tcPr>
            <w:tcW w:w="72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right"/>
              <w:ind w:right="191"/>
              <w:spacing w:after="0" w:line="187" w:lineRule="exact"/>
              <w:rPr>
                <w:sz w:val="20"/>
                <w:szCs w:val="20"/>
                <w:color w:val="auto"/>
              </w:rPr>
            </w:pPr>
            <w:r>
              <w:rPr>
                <w:rFonts w:ascii="Times New Roman" w:cs="Times New Roman" w:eastAsia="Times New Roman" w:hAnsi="Times New Roman"/>
                <w:sz w:val="18"/>
                <w:szCs w:val="18"/>
                <w:color w:val="auto"/>
              </w:rPr>
              <w:t>001-35280</w:t>
            </w:r>
          </w:p>
        </w:tc>
        <w:tc>
          <w:tcPr>
            <w:tcW w:w="960" w:type="dxa"/>
            <w:vAlign w:val="bottom"/>
          </w:tcPr>
          <w:p>
            <w:pPr>
              <w:jc w:val="right"/>
              <w:ind w:right="271"/>
              <w:spacing w:after="0" w:line="187" w:lineRule="exact"/>
              <w:rPr>
                <w:sz w:val="20"/>
                <w:szCs w:val="20"/>
                <w:color w:val="auto"/>
              </w:rPr>
            </w:pPr>
            <w:r>
              <w:rPr>
                <w:rFonts w:ascii="Times New Roman" w:cs="Times New Roman" w:eastAsia="Times New Roman" w:hAnsi="Times New Roman"/>
                <w:sz w:val="18"/>
                <w:szCs w:val="18"/>
                <w:color w:val="auto"/>
              </w:rPr>
              <w:t>10.1</w:t>
            </w:r>
          </w:p>
        </w:tc>
        <w:tc>
          <w:tcPr>
            <w:tcW w:w="17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August 2, 2023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5"/>
        </w:trPr>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500" w:type="dxa"/>
            <w:vAlign w:val="bottom"/>
            <w:gridSpan w:val="6"/>
          </w:tcPr>
          <w:p>
            <w:pPr>
              <w:ind w:left="414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gridSpan w:val="36"/>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40"/>
        </w:trPr>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60" w:type="dxa"/>
            <w:vAlign w:val="bottom"/>
            <w:gridSpan w:val="3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10.21 #</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840" w:type="dxa"/>
            <w:vAlign w:val="bottom"/>
            <w:tcBorders>
              <w:top w:val="single" w:sz="8" w:color="auto"/>
            </w:tcBorders>
            <w:gridSpan w:val="41"/>
          </w:tcPr>
          <w:p>
            <w:pPr>
              <w:spacing w:after="0" w:line="180"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Vericel Corporation 2022 Omnibus Incentive Plan Restricted Stock</w:t>
              </w:r>
            </w:hyperlink>
          </w:p>
        </w:tc>
        <w:tc>
          <w:tcPr>
            <w:tcW w:w="0" w:type="dxa"/>
            <w:vAlign w:val="bottom"/>
          </w:tcPr>
          <w:p>
            <w:pPr>
              <w:spacing w:after="0"/>
              <w:rPr>
                <w:sz w:val="1"/>
                <w:szCs w:val="1"/>
                <w:color w:val="auto"/>
              </w:rPr>
            </w:pPr>
          </w:p>
        </w:tc>
      </w:tr>
      <w:tr>
        <w:trPr>
          <w:trHeight w:val="153"/>
        </w:trPr>
        <w:tc>
          <w:tcPr>
            <w:tcW w:w="1040" w:type="dxa"/>
            <w:vAlign w:val="bottom"/>
            <w:tcBorders>
              <w:top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0" w:type="dxa"/>
            <w:vAlign w:val="bottom"/>
            <w:tcBorders>
              <w:top w:val="single" w:sz="8" w:color="0000FF"/>
              <w:bottom w:val="single" w:sz="8" w:color="0000FF"/>
            </w:tcBorders>
            <w:gridSpan w:val="26"/>
          </w:tcPr>
          <w:p>
            <w:pPr>
              <w:spacing w:after="0" w:line="140"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Unit Award (Deferred) Agreement for Non-Employee Directors.</w:t>
              </w:r>
            </w:hyperlink>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10.22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gridSpan w:val="41"/>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New Hire Incentive Stock Option Agreement under the</w:t>
              </w:r>
            </w:hyperlink>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top w:val="single" w:sz="8" w:color="0000FF"/>
            </w:tcBorders>
            <w:gridSpan w:val="24"/>
          </w:tcPr>
          <w:p>
            <w:pPr>
              <w:spacing w:after="0" w:line="140"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2022 Omnibus Incentive Plan amended July 25, 2023.</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3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10.23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8"/>
              </w:rPr>
            </w:pPr>
            <w:hyperlink r:id="rId159">
              <w:r>
                <w:rPr>
                  <w:rFonts w:ascii="Times New Roman" w:cs="Times New Roman" w:eastAsia="Times New Roman" w:hAnsi="Times New Roman"/>
                  <w:sz w:val="18"/>
                  <w:szCs w:val="18"/>
                  <w:color w:val="0000FF"/>
                  <w:w w:val="98"/>
                </w:rPr>
                <w:t>Form of Current Employee Incentive Stock Option Agreement</w:t>
              </w:r>
            </w:hyperlink>
          </w:p>
        </w:tc>
        <w:tc>
          <w:tcPr>
            <w:tcW w:w="380" w:type="dxa"/>
            <w:vAlign w:val="bottom"/>
            <w:gridSpan w:val="20"/>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Borders>
              <w:bottom w:val="single" w:sz="8" w:color="0000FF"/>
            </w:tcBorders>
            <w:gridSpan w:val="25"/>
          </w:tcPr>
          <w:p>
            <w:pPr>
              <w:spacing w:after="0" w:line="140"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under the 2022 Omnibus Incentive Plan amended July 25, 2023.</w:t>
              </w:r>
            </w:hyperlink>
          </w:p>
        </w:tc>
        <w:tc>
          <w:tcPr>
            <w:tcW w:w="26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gridSpan w:val="41"/>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Non-Qualified Stock Option Award Agreement for Non-</w:t>
              </w:r>
            </w:hyperlink>
          </w:p>
        </w:tc>
        <w:tc>
          <w:tcPr>
            <w:tcW w:w="0" w:type="dxa"/>
            <w:vAlign w:val="bottom"/>
          </w:tcPr>
          <w:p>
            <w:pPr>
              <w:spacing w:after="0"/>
              <w:rPr>
                <w:sz w:val="1"/>
                <w:szCs w:val="1"/>
                <w:color w:val="auto"/>
              </w:rPr>
            </w:pPr>
          </w:p>
        </w:tc>
      </w:tr>
      <w:tr>
        <w:trPr>
          <w:trHeight w:val="153"/>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10.24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Borders>
              <w:top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Employee Directors under the 2022 Omnibus 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3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tcBorders>
              <w:top w:val="single" w:sz="8" w:color="0000FF"/>
            </w:tcBorders>
            <w:gridSpan w:val="18"/>
          </w:tcPr>
          <w:p>
            <w:pPr>
              <w:spacing w:after="0" w:line="167"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amended July 25, 2023.</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294967237"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10.25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7"/>
              </w:rPr>
            </w:pPr>
            <w:hyperlink r:id="rId161">
              <w:r>
                <w:rPr>
                  <w:rFonts w:ascii="Times New Roman" w:cs="Times New Roman" w:eastAsia="Times New Roman" w:hAnsi="Times New Roman"/>
                  <w:sz w:val="18"/>
                  <w:szCs w:val="18"/>
                  <w:color w:val="0000FF"/>
                  <w:w w:val="97"/>
                </w:rPr>
                <w:t>Form of Restricted Stock Unit Award Agreement for Employees</w:t>
              </w:r>
            </w:hyperlink>
          </w:p>
        </w:tc>
        <w:tc>
          <w:tcPr>
            <w:tcW w:w="2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tcBorders>
              <w:bottom w:val="single" w:sz="8" w:color="0000FF"/>
            </w:tcBorders>
            <w:gridSpan w:val="38"/>
          </w:tcPr>
          <w:p>
            <w:pPr>
              <w:spacing w:after="0" w:line="140"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under the 2022 Omnibus Incentive Plan (effective April 26, 2022).</w:t>
              </w:r>
            </w:hyperlink>
          </w:p>
        </w:tc>
        <w:tc>
          <w:tcPr>
            <w:tcW w:w="4294967277"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10.26 †</w:t>
            </w:r>
          </w:p>
        </w:tc>
        <w:tc>
          <w:tcPr>
            <w:tcW w:w="20" w:type="dxa"/>
            <w:vAlign w:val="bottom"/>
          </w:tcPr>
          <w:p>
            <w:pPr>
              <w:spacing w:after="0"/>
              <w:rPr>
                <w:sz w:val="19"/>
                <w:szCs w:val="19"/>
                <w:color w:val="auto"/>
              </w:rPr>
            </w:pPr>
          </w:p>
        </w:tc>
        <w:tc>
          <w:tcPr>
            <w:tcW w:w="4840" w:type="dxa"/>
            <w:vAlign w:val="bottom"/>
            <w:gridSpan w:val="41"/>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License Agreement between the Company and MediWound LTD.,</w:t>
              </w:r>
            </w:hyperlink>
          </w:p>
        </w:tc>
        <w:tc>
          <w:tcPr>
            <w:tcW w:w="0" w:type="dxa"/>
            <w:vAlign w:val="bottom"/>
          </w:tcPr>
          <w:p>
            <w:pPr>
              <w:spacing w:after="0"/>
              <w:rPr>
                <w:sz w:val="1"/>
                <w:szCs w:val="1"/>
                <w:color w:val="auto"/>
              </w:rPr>
            </w:pPr>
          </w:p>
        </w:tc>
      </w:tr>
      <w:tr>
        <w:trPr>
          <w:trHeight w:val="153"/>
        </w:trPr>
        <w:tc>
          <w:tcPr>
            <w:tcW w:w="1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tcBorders>
              <w:top w:val="single" w:sz="8" w:color="0000FF"/>
            </w:tcBorders>
            <w:gridSpan w:val="36"/>
          </w:tcPr>
          <w:p>
            <w:pPr>
              <w:spacing w:after="0" w:line="140"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dated May 6,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3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10.27 †</w:t>
            </w:r>
          </w:p>
        </w:tc>
        <w:tc>
          <w:tcPr>
            <w:tcW w:w="20" w:type="dxa"/>
            <w:vAlign w:val="bottom"/>
          </w:tcPr>
          <w:p>
            <w:pPr>
              <w:spacing w:after="0"/>
              <w:rPr>
                <w:sz w:val="19"/>
                <w:szCs w:val="19"/>
                <w:color w:val="auto"/>
              </w:rPr>
            </w:pPr>
          </w:p>
        </w:tc>
        <w:tc>
          <w:tcPr>
            <w:tcW w:w="4840" w:type="dxa"/>
            <w:vAlign w:val="bottom"/>
            <w:gridSpan w:val="41"/>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Supply Agreement between the Company and MediWound LTD.,</w:t>
              </w:r>
            </w:hyperlink>
          </w:p>
        </w:tc>
        <w:tc>
          <w:tcPr>
            <w:tcW w:w="0" w:type="dxa"/>
            <w:vAlign w:val="bottom"/>
          </w:tcPr>
          <w:p>
            <w:pPr>
              <w:spacing w:after="0"/>
              <w:rPr>
                <w:sz w:val="1"/>
                <w:szCs w:val="1"/>
                <w:color w:val="auto"/>
              </w:rPr>
            </w:pPr>
          </w:p>
        </w:tc>
      </w:tr>
      <w:tr>
        <w:trPr>
          <w:trHeight w:val="153"/>
        </w:trPr>
        <w:tc>
          <w:tcPr>
            <w:tcW w:w="1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top w:val="single" w:sz="8" w:color="0000FF"/>
              <w:bottom w:val="single" w:sz="8" w:color="0000FF"/>
            </w:tcBorders>
            <w:gridSpan w:val="5"/>
          </w:tcPr>
          <w:p>
            <w:pPr>
              <w:spacing w:after="0" w:line="140"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dated May 6, 2019.</w:t>
              </w:r>
            </w:hyperlink>
          </w:p>
        </w:tc>
        <w:tc>
          <w:tcPr>
            <w:tcW w:w="330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3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gridSpan w:val="41"/>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First Amendment to Executive Employment Agreement, executed</w:t>
              </w:r>
            </w:hyperlink>
          </w:p>
        </w:tc>
        <w:tc>
          <w:tcPr>
            <w:tcW w:w="0" w:type="dxa"/>
            <w:vAlign w:val="bottom"/>
          </w:tcPr>
          <w:p>
            <w:pPr>
              <w:spacing w:after="0"/>
              <w:rPr>
                <w:sz w:val="1"/>
                <w:szCs w:val="1"/>
                <w:color w:val="auto"/>
              </w:rPr>
            </w:pPr>
          </w:p>
        </w:tc>
      </w:tr>
      <w:tr>
        <w:trPr>
          <w:trHeight w:val="153"/>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10.28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tcBorders>
              <w:top w:val="single" w:sz="8" w:color="0000FF"/>
            </w:tcBorders>
            <w:gridSpan w:val="33"/>
          </w:tcPr>
          <w:p>
            <w:pPr>
              <w:spacing w:after="0" w:line="154"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and effective June 3, 2019, by and between the Company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3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60" w:type="dxa"/>
            <w:vAlign w:val="bottom"/>
            <w:tcBorders>
              <w:top w:val="single" w:sz="8" w:color="0000FF"/>
            </w:tcBorders>
            <w:gridSpan w:val="19"/>
          </w:tcPr>
          <w:p>
            <w:pPr>
              <w:spacing w:after="0" w:line="167"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Michael Halpin.</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294967237"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10.29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41"/>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Employment Agreement, dated January 25, 2021, by and between</w:t>
              </w:r>
            </w:hyperlink>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10"/>
          </w:tcPr>
          <w:p>
            <w:pPr>
              <w:spacing w:after="0" w:line="140"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the Company and Joseph Mara.</w:t>
              </w:r>
            </w:hyperlink>
          </w:p>
        </w:tc>
        <w:tc>
          <w:tcPr>
            <w:tcW w:w="248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3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10.30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gridSpan w:val="41"/>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Employment Agreement, dated November 4, 2019, by and between</w:t>
              </w:r>
            </w:hyperlink>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Borders>
              <w:top w:val="single" w:sz="8" w:color="0000FF"/>
            </w:tcBorders>
            <w:gridSpan w:val="40"/>
          </w:tcPr>
          <w:p>
            <w:pPr>
              <w:spacing w:after="0" w:line="140"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the Company and Sean Flynn.</w:t>
              </w:r>
            </w:hyperlink>
          </w:p>
        </w:tc>
        <w:tc>
          <w:tcPr>
            <w:tcW w:w="429496723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10.31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gridSpan w:val="41"/>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Employment Agreement, dated August 20, 2018, by and between</w:t>
              </w:r>
            </w:hyperlink>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13"/>
          </w:tcPr>
          <w:p>
            <w:pPr>
              <w:spacing w:after="0" w:line="140"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the Company and Dr. Jonathan M. Hopper.</w:t>
              </w:r>
            </w:hyperlink>
          </w:p>
        </w:tc>
        <w:tc>
          <w:tcPr>
            <w:tcW w:w="1100" w:type="dxa"/>
            <w:vAlign w:val="bottom"/>
            <w:tcBorders>
              <w:top w:val="single" w:sz="8" w:color="0000FF"/>
            </w:tcBorders>
            <w:gridSpan w:val="2"/>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gridSpan w:val="3"/>
          </w:tcPr>
          <w:p>
            <w:pPr>
              <w:spacing w:after="0"/>
              <w:rPr>
                <w:sz w:val="13"/>
                <w:szCs w:val="13"/>
                <w:color w:val="auto"/>
              </w:rPr>
            </w:pPr>
          </w:p>
        </w:tc>
        <w:tc>
          <w:tcPr>
            <w:tcW w:w="12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gridSpan w:val="41"/>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Eighth Amendment to the Distribution Agreement between Orsini</w:t>
              </w:r>
            </w:hyperlink>
          </w:p>
        </w:tc>
        <w:tc>
          <w:tcPr>
            <w:tcW w:w="0" w:type="dxa"/>
            <w:vAlign w:val="bottom"/>
          </w:tcPr>
          <w:p>
            <w:pPr>
              <w:spacing w:after="0"/>
              <w:rPr>
                <w:sz w:val="1"/>
                <w:szCs w:val="1"/>
                <w:color w:val="auto"/>
              </w:rPr>
            </w:pPr>
          </w:p>
        </w:tc>
      </w:tr>
      <w:tr>
        <w:trPr>
          <w:trHeight w:val="153"/>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tcBorders>
            <w:gridSpan w:val="34"/>
          </w:tcPr>
          <w:p>
            <w:pPr>
              <w:spacing w:after="0" w:line="154"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Pharmaceutical Services, Inc. and the Company, dated May 15,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3"/>
              </w:rPr>
            </w:pPr>
            <w:hyperlink r:id="rId168">
              <w:r>
                <w:rPr>
                  <w:rFonts w:ascii="Times New Roman" w:cs="Times New Roman" w:eastAsia="Times New Roman" w:hAnsi="Times New Roman"/>
                  <w:sz w:val="18"/>
                  <w:szCs w:val="18"/>
                  <w:color w:val="0000FF"/>
                  <w:w w:val="93"/>
                </w:rPr>
                <w:t>2022.</w:t>
              </w:r>
            </w:hyperlink>
          </w:p>
        </w:tc>
        <w:tc>
          <w:tcPr>
            <w:tcW w:w="6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41"/>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Third Amendment to the Dispensing Agreement between AllCare</w:t>
              </w:r>
            </w:hyperlink>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tcBorders>
            <w:gridSpan w:val="30"/>
          </w:tcPr>
          <w:p>
            <w:pPr>
              <w:spacing w:after="0" w:line="140"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Plus Pharmacy, Inc. and the Company, dated May 16, 2022.</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8"/>
              </w:rPr>
            </w:pPr>
            <w:hyperlink r:id="rId170">
              <w:r>
                <w:rPr>
                  <w:rFonts w:ascii="Times New Roman" w:cs="Times New Roman" w:eastAsia="Times New Roman" w:hAnsi="Times New Roman"/>
                  <w:sz w:val="18"/>
                  <w:szCs w:val="18"/>
                  <w:color w:val="0000FF"/>
                  <w:w w:val="98"/>
                </w:rPr>
                <w:t>Revolving Credit Agreement, dated as of July 29, 2022, by and</w:t>
              </w:r>
            </w:hyperlink>
          </w:p>
        </w:tc>
        <w:tc>
          <w:tcPr>
            <w:tcW w:w="340" w:type="dxa"/>
            <w:vAlign w:val="bottom"/>
            <w:gridSpan w:val="19"/>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41"/>
          </w:tcPr>
          <w:p>
            <w:pPr>
              <w:spacing w:after="0" w:line="154"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among Vericel Corporation, as borrower, the lenders party thereto,</w:t>
              </w:r>
            </w:hyperlink>
          </w:p>
        </w:tc>
        <w:tc>
          <w:tcPr>
            <w:tcW w:w="0" w:type="dxa"/>
            <w:vAlign w:val="bottom"/>
          </w:tcPr>
          <w:p>
            <w:pPr>
              <w:spacing w:after="0"/>
              <w:rPr>
                <w:sz w:val="1"/>
                <w:szCs w:val="1"/>
                <w:color w:val="auto"/>
              </w:rPr>
            </w:pPr>
          </w:p>
        </w:tc>
      </w:tr>
      <w:tr>
        <w:trPr>
          <w:trHeight w:val="167"/>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tcBorders>
              <w:top w:val="single" w:sz="8" w:color="0000FF"/>
            </w:tcBorders>
            <w:gridSpan w:val="37"/>
          </w:tcPr>
          <w:p>
            <w:pPr>
              <w:spacing w:after="0" w:line="167"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and JPMorgan Chase Bank, N.A.as administrative agent, sole</w:t>
              </w:r>
            </w:hyperlink>
          </w:p>
        </w:tc>
        <w:tc>
          <w:tcPr>
            <w:tcW w:w="20" w:type="dxa"/>
            <w:vAlign w:val="bottom"/>
          </w:tcPr>
          <w:p>
            <w:pPr>
              <w:spacing w:after="0"/>
              <w:rPr>
                <w:sz w:val="14"/>
                <w:szCs w:val="14"/>
                <w:color w:val="auto"/>
              </w:rPr>
            </w:pPr>
          </w:p>
        </w:tc>
        <w:tc>
          <w:tcPr>
            <w:tcW w:w="4294967277"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bookrunner and sole lead arranger.</w:t>
              </w:r>
            </w:hyperlink>
          </w:p>
        </w:tc>
        <w:tc>
          <w:tcPr>
            <w:tcW w:w="1920" w:type="dxa"/>
            <w:vAlign w:val="bottom"/>
            <w:tcBorders>
              <w:top w:val="single" w:sz="8" w:color="0000FF"/>
            </w:tcBorders>
            <w:gridSpan w:val="8"/>
          </w:tcPr>
          <w:p>
            <w:pPr>
              <w:spacing w:after="0"/>
              <w:rPr>
                <w:sz w:val="13"/>
                <w:szCs w:val="13"/>
                <w:color w:val="auto"/>
              </w:rPr>
            </w:pPr>
          </w:p>
        </w:tc>
        <w:tc>
          <w:tcPr>
            <w:tcW w:w="360" w:type="dxa"/>
            <w:vAlign w:val="bottom"/>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294967277"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Subsidiaries of Registrant.</w:t>
            </w:r>
          </w:p>
        </w:tc>
        <w:tc>
          <w:tcPr>
            <w:tcW w:w="296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 Registered</w:t>
            </w: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7"/>
          </w:tcPr>
          <w:p>
            <w:pPr>
              <w:spacing w:after="0" w:line="140" w:lineRule="exact"/>
              <w:rPr>
                <w:sz w:val="20"/>
                <w:szCs w:val="20"/>
                <w:color w:val="auto"/>
              </w:rPr>
            </w:pPr>
            <w:r>
              <w:rPr>
                <w:rFonts w:ascii="Times New Roman" w:cs="Times New Roman" w:eastAsia="Times New Roman" w:hAnsi="Times New Roman"/>
                <w:sz w:val="16"/>
                <w:szCs w:val="16"/>
                <w:color w:val="0000FF"/>
              </w:rPr>
              <w:t>Public Accounting Firm.</w:t>
            </w:r>
          </w:p>
        </w:tc>
        <w:tc>
          <w:tcPr>
            <w:tcW w:w="2980" w:type="dxa"/>
            <w:vAlign w:val="bottom"/>
            <w:tcBorders>
              <w:top w:val="single" w:sz="8" w:color="0000FF"/>
            </w:tcBorders>
            <w:gridSpan w:val="25"/>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294967277"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w:t>
            </w: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tcBorders>
              <w:top w:val="single" w:sz="8" w:color="0000FF"/>
            </w:tcBorders>
            <w:gridSpan w:val="38"/>
          </w:tcPr>
          <w:p>
            <w:pPr>
              <w:spacing w:after="0" w:line="140" w:lineRule="exact"/>
              <w:rPr>
                <w:sz w:val="20"/>
                <w:szCs w:val="20"/>
                <w:color w:val="auto"/>
              </w:rPr>
            </w:pPr>
            <w:r>
              <w:rPr>
                <w:rFonts w:ascii="Times New Roman" w:cs="Times New Roman" w:eastAsia="Times New Roman" w:hAnsi="Times New Roman"/>
                <w:sz w:val="16"/>
                <w:szCs w:val="16"/>
                <w:color w:val="0000FF"/>
              </w:rPr>
              <w:t>the Sarbanes-Oxley Act of 2002.</w:t>
            </w:r>
          </w:p>
        </w:tc>
        <w:tc>
          <w:tcPr>
            <w:tcW w:w="4294967277"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60" w:type="dxa"/>
            <w:vAlign w:val="bottom"/>
            <w:gridSpan w:val="9"/>
            <w:shd w:val="clear" w:color="auto" w:fill="0000FF"/>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18"/>
          </w:tcPr>
          <w:p>
            <w:pPr>
              <w:spacing w:after="0" w:line="20" w:lineRule="exact"/>
              <w:rPr>
                <w:sz w:val="1"/>
                <w:szCs w:val="1"/>
                <w:color w:val="auto"/>
              </w:rPr>
            </w:pPr>
          </w:p>
        </w:tc>
        <w:tc>
          <w:tcPr>
            <w:tcW w:w="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w:t>
            </w: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tcBorders>
              <w:top w:val="single" w:sz="8" w:color="0000FF"/>
            </w:tcBorders>
            <w:gridSpan w:val="35"/>
          </w:tcPr>
          <w:p>
            <w:pPr>
              <w:spacing w:after="0" w:line="140" w:lineRule="exact"/>
              <w:rPr>
                <w:sz w:val="20"/>
                <w:szCs w:val="20"/>
                <w:color w:val="auto"/>
              </w:rPr>
            </w:pPr>
            <w:r>
              <w:rPr>
                <w:rFonts w:ascii="Times New Roman" w:cs="Times New Roman" w:eastAsia="Times New Roman" w:hAnsi="Times New Roman"/>
                <w:sz w:val="16"/>
                <w:szCs w:val="16"/>
                <w:color w:val="0000FF"/>
              </w:rPr>
              <w:t>the Sarbanes-Oxley Act of 2002.</w:t>
            </w:r>
          </w:p>
        </w:tc>
        <w:tc>
          <w:tcPr>
            <w:tcW w:w="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60" w:type="dxa"/>
            <w:vAlign w:val="bottom"/>
            <w:gridSpan w:val="9"/>
            <w:shd w:val="clear" w:color="auto" w:fill="0000FF"/>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Certification of Chief Executive Officer and Chief Financial</w:t>
            </w:r>
          </w:p>
        </w:tc>
        <w:tc>
          <w:tcPr>
            <w:tcW w:w="560" w:type="dxa"/>
            <w:vAlign w:val="bottom"/>
            <w:gridSpan w:val="24"/>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tcBorders>
              <w:bottom w:val="single" w:sz="8" w:color="0000FF"/>
            </w:tcBorders>
            <w:gridSpan w:val="41"/>
          </w:tcPr>
          <w:p>
            <w:pPr>
              <w:spacing w:after="0" w:line="140" w:lineRule="exact"/>
              <w:rPr>
                <w:sz w:val="20"/>
                <w:szCs w:val="20"/>
                <w:color w:val="auto"/>
              </w:rPr>
            </w:pPr>
            <w:r>
              <w:rPr>
                <w:rFonts w:ascii="Times New Roman" w:cs="Times New Roman" w:eastAsia="Times New Roman" w:hAnsi="Times New Roman"/>
                <w:sz w:val="16"/>
                <w:szCs w:val="16"/>
                <w:color w:val="0000FF"/>
              </w:rPr>
              <w:t>Officer pursuant to Section 906 of the Sarbanes-Oxley Act of 2002.</w:t>
            </w:r>
          </w:p>
        </w:tc>
        <w:tc>
          <w:tcPr>
            <w:tcW w:w="0" w:type="dxa"/>
            <w:vAlign w:val="bottom"/>
          </w:tcPr>
          <w:p>
            <w:pPr>
              <w:spacing w:after="0"/>
              <w:rPr>
                <w:sz w:val="1"/>
                <w:szCs w:val="1"/>
                <w:color w:val="auto"/>
              </w:rPr>
            </w:pPr>
          </w:p>
        </w:tc>
      </w:tr>
      <w:tr>
        <w:trPr>
          <w:trHeight w:val="220"/>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Policy for Recoupment of Erroneously Awarded Incentive</w:t>
            </w: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15"/>
          </w:tcPr>
          <w:p>
            <w:pPr>
              <w:spacing w:after="0" w:line="154" w:lineRule="exact"/>
              <w:rPr>
                <w:sz w:val="20"/>
                <w:szCs w:val="20"/>
                <w:color w:val="auto"/>
              </w:rPr>
            </w:pPr>
            <w:r>
              <w:rPr>
                <w:rFonts w:ascii="Times New Roman" w:cs="Times New Roman" w:eastAsia="Times New Roman" w:hAnsi="Times New Roman"/>
                <w:sz w:val="17"/>
                <w:szCs w:val="17"/>
                <w:color w:val="0000FF"/>
              </w:rPr>
              <w:t>Compensation.</w:t>
            </w:r>
          </w:p>
        </w:tc>
        <w:tc>
          <w:tcPr>
            <w:tcW w:w="700" w:type="dxa"/>
            <w:vAlign w:val="bottom"/>
            <w:gridSpan w:val="2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780" w:type="dxa"/>
            <w:vAlign w:val="bottom"/>
            <w:gridSpan w:val="3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2"/>
                <w:szCs w:val="22"/>
                <w:color w:val="auto"/>
              </w:rPr>
            </w:pPr>
          </w:p>
        </w:tc>
        <w:tc>
          <w:tcPr>
            <w:tcW w:w="484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27"/>
        </w:trPr>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19"/>
                <w:szCs w:val="19"/>
                <w:color w:val="auto"/>
              </w:rPr>
            </w:pPr>
          </w:p>
        </w:tc>
        <w:tc>
          <w:tcPr>
            <w:tcW w:w="484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178"/>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gridSpan w:val="41"/>
          </w:tcPr>
          <w:p>
            <w:pPr>
              <w:spacing w:after="0" w:line="178"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235"/>
        </w:trPr>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101.CAL**</w:t>
            </w:r>
          </w:p>
        </w:tc>
        <w:tc>
          <w:tcPr>
            <w:tcW w:w="20" w:type="dxa"/>
            <w:vAlign w:val="bottom"/>
          </w:tcPr>
          <w:p>
            <w:pPr>
              <w:spacing w:after="0"/>
              <w:rPr>
                <w:sz w:val="20"/>
                <w:szCs w:val="20"/>
                <w:color w:val="auto"/>
              </w:rPr>
            </w:pPr>
          </w:p>
        </w:tc>
        <w:tc>
          <w:tcPr>
            <w:tcW w:w="484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227"/>
        </w:trPr>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101.LAB**</w:t>
            </w:r>
          </w:p>
        </w:tc>
        <w:tc>
          <w:tcPr>
            <w:tcW w:w="20" w:type="dxa"/>
            <w:vAlign w:val="bottom"/>
          </w:tcPr>
          <w:p>
            <w:pPr>
              <w:spacing w:after="0"/>
              <w:rPr>
                <w:sz w:val="19"/>
                <w:szCs w:val="19"/>
                <w:color w:val="auto"/>
              </w:rPr>
            </w:pPr>
          </w:p>
        </w:tc>
        <w:tc>
          <w:tcPr>
            <w:tcW w:w="484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178"/>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gridSpan w:val="41"/>
          </w:tcPr>
          <w:p>
            <w:pPr>
              <w:spacing w:after="0" w:line="178"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41"/>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0"/>
                <w:szCs w:val="20"/>
                <w:color w:val="auto"/>
              </w:rPr>
            </w:pPr>
          </w:p>
        </w:tc>
        <w:tc>
          <w:tcPr>
            <w:tcW w:w="484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854"/>
        </w:trPr>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gridSpan w:val="22"/>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37"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54610</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-7193280</wp:posOffset>
            </wp:positionV>
            <wp:extent cx="6845935" cy="271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6845935" cy="2711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-6659245</wp:posOffset>
            </wp:positionV>
            <wp:extent cx="6845935" cy="262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6845935" cy="262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-6023610</wp:posOffset>
            </wp:positionV>
            <wp:extent cx="6845935" cy="262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6845935" cy="262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-5498465</wp:posOffset>
            </wp:positionV>
            <wp:extent cx="6845935" cy="262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6845935" cy="262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-4862830</wp:posOffset>
            </wp:positionV>
            <wp:extent cx="6845935" cy="262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6845935" cy="262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-4337685</wp:posOffset>
            </wp:positionV>
            <wp:extent cx="6845935" cy="262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6845935" cy="262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-3702050</wp:posOffset>
            </wp:positionV>
            <wp:extent cx="6845935" cy="262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6845935" cy="262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-2956560</wp:posOffset>
            </wp:positionV>
            <wp:extent cx="6845935" cy="144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6845935" cy="1441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-2550160</wp:posOffset>
            </wp:positionV>
            <wp:extent cx="6845935" cy="262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6845935" cy="262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-2025015</wp:posOffset>
            </wp:positionV>
            <wp:extent cx="6845935" cy="262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6845935" cy="262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-1499235</wp:posOffset>
            </wp:positionV>
            <wp:extent cx="6845935" cy="144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6845935" cy="1441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-1211580</wp:posOffset>
            </wp:positionV>
            <wp:extent cx="6845935" cy="262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6845935" cy="262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-804545</wp:posOffset>
            </wp:positionV>
            <wp:extent cx="6845935" cy="262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6845935" cy="262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29908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2990850"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8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80" w:type="dxa"/>
            <w:vAlign w:val="bottom"/>
          </w:tcPr>
          <w:p>
            <w:pPr>
              <w:spacing w:after="0"/>
              <w:rPr>
                <w:sz w:val="20"/>
                <w:szCs w:val="20"/>
                <w:color w:val="auto"/>
              </w:rPr>
            </w:pP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r>
      <w:tr>
        <w:trPr>
          <w:trHeight w:val="408"/>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 2023</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8, 2023</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8, 2023</w:t>
            </w:r>
          </w:p>
        </w:tc>
      </w:tr>
      <w:tr>
        <w:trPr>
          <w:trHeight w:val="587"/>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8, 2023</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3, 2022</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6, 2019</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6, 2019</w:t>
            </w:r>
          </w:p>
        </w:tc>
      </w:tr>
      <w:tr>
        <w:trPr>
          <w:trHeight w:val="587"/>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6, 2019</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25, 2021</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10.43</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24, 2021</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10.44</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24, 2021</w:t>
            </w:r>
          </w:p>
        </w:tc>
      </w:tr>
      <w:tr>
        <w:trPr>
          <w:trHeight w:val="587"/>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3, 2022</w:t>
            </w:r>
          </w:p>
        </w:tc>
      </w:tr>
      <w:tr>
        <w:trPr>
          <w:trHeight w:val="414"/>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3, 2022</w:t>
            </w:r>
          </w:p>
        </w:tc>
      </w:tr>
      <w:tr>
        <w:trPr>
          <w:trHeight w:val="761"/>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9, 2022</w:t>
            </w:r>
          </w:p>
        </w:tc>
      </w:tr>
    </w:tbl>
    <w:p>
      <w:pPr>
        <w:sectPr>
          <w:pgSz w:w="11900" w:h="16838" w:orient="portrait"/>
          <w:cols w:equalWidth="0" w:num="2">
            <w:col w:w="6200" w:space="80"/>
            <w:col w:w="4720"/>
          </w:cols>
          <w:pgMar w:left="340" w:top="177" w:right="559" w:bottom="1440" w:gutter="0" w:footer="0" w:header="0"/>
        </w:sectPr>
      </w:pPr>
    </w:p>
    <w:bookmarkStart w:id="104" w:name="page105"/>
    <w:bookmarkEnd w:id="104"/>
    <w:p>
      <w:pPr>
        <w:ind w:left="20"/>
        <w:spacing w:after="0"/>
        <w:rPr>
          <w:sz w:val="20"/>
          <w:szCs w:val="20"/>
          <w:color w:val="auto"/>
        </w:rPr>
      </w:pPr>
      <w:r>
        <w:rPr>
          <w:rFonts w:ascii="Times New Roman" w:cs="Times New Roman" w:eastAsia="Times New Roman" w:hAnsi="Times New Roman"/>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Exhibit</w:t>
      </w:r>
    </w:p>
    <w:p>
      <w:pPr>
        <w:ind w:left="44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11430</wp:posOffset>
            </wp:positionV>
            <wp:extent cx="6610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661035" cy="8255"/>
                    </a:xfrm>
                    <a:prstGeom prst="rect">
                      <a:avLst/>
                    </a:prstGeom>
                    <a:noFill/>
                  </pic:spPr>
                </pic:pic>
              </a:graphicData>
            </a:graphic>
          </wp:anchor>
        </w:drawing>
      </w:r>
    </w:p>
    <w:p>
      <w:pPr>
        <w:spacing w:after="0" w:line="7"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101.DEF**</w:t>
      </w:r>
    </w:p>
    <w:p>
      <w:pPr>
        <w:spacing w:after="0" w:line="2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3135630</wp:posOffset>
            </wp:positionH>
            <wp:positionV relativeFrom="paragraph">
              <wp:posOffset>18415</wp:posOffset>
            </wp:positionV>
            <wp:extent cx="29825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2982595" cy="8255"/>
                    </a:xfrm>
                    <a:prstGeom prst="rect">
                      <a:avLst/>
                    </a:prstGeom>
                    <a:noFill/>
                  </pic:spPr>
                </pic:pic>
              </a:graphicData>
            </a:graphic>
          </wp:anchor>
        </w:drawing>
      </w:r>
    </w:p>
    <w:p>
      <w:pPr>
        <w:spacing w:after="0" w:line="187" w:lineRule="exact"/>
        <w:rPr>
          <w:sz w:val="20"/>
          <w:szCs w:val="20"/>
          <w:color w:val="auto"/>
        </w:rPr>
      </w:pPr>
    </w:p>
    <w:p>
      <w:pPr>
        <w:jc w:val="right"/>
        <w:spacing w:after="0"/>
        <w:tabs>
          <w:tab w:leader="none" w:pos="4120" w:val="left"/>
          <w:tab w:leader="none" w:pos="3420" w:val="left"/>
          <w:tab w:leader="none" w:pos="2100" w:val="left"/>
          <w:tab w:leader="none" w:pos="820" w:val="left"/>
        </w:tabs>
        <w:rPr>
          <w:sz w:val="20"/>
          <w:szCs w:val="20"/>
          <w:color w:val="auto"/>
        </w:rPr>
      </w:pPr>
      <w:r>
        <w:rPr>
          <w:rFonts w:ascii="Times New Roman" w:cs="Times New Roman" w:eastAsia="Times New Roman" w:hAnsi="Times New Roman"/>
          <w:sz w:val="18"/>
          <w:szCs w:val="18"/>
          <w:b w:val="1"/>
          <w:bCs w:val="1"/>
          <w:color w:val="auto"/>
        </w:rPr>
        <w:t>Description of Exhibits</w:t>
      </w:r>
      <w:r>
        <w:rPr>
          <w:sz w:val="20"/>
          <w:szCs w:val="20"/>
          <w:color w:val="auto"/>
        </w:rPr>
        <w:tab/>
      </w:r>
      <w:r>
        <w:rPr>
          <w:rFonts w:ascii="Times New Roman" w:cs="Times New Roman" w:eastAsia="Times New Roman" w:hAnsi="Times New Roman"/>
          <w:sz w:val="18"/>
          <w:szCs w:val="18"/>
          <w:b w:val="1"/>
          <w:bCs w:val="1"/>
          <w:color w:val="auto"/>
        </w:rPr>
        <w:t>Form</w:t>
      </w:r>
      <w:r>
        <w:rPr>
          <w:sz w:val="20"/>
          <w:szCs w:val="20"/>
          <w:color w:val="auto"/>
        </w:rPr>
        <w:tab/>
      </w:r>
      <w:r>
        <w:rPr>
          <w:rFonts w:ascii="Times New Roman" w:cs="Times New Roman" w:eastAsia="Times New Roman" w:hAnsi="Times New Roman"/>
          <w:sz w:val="18"/>
          <w:szCs w:val="18"/>
          <w:b w:val="1"/>
          <w:bCs w:val="1"/>
          <w:u w:val="single" w:color="auto"/>
          <w:color w:val="auto"/>
        </w:rPr>
        <w:t>File Number</w:t>
      </w:r>
      <w:r>
        <w:rPr>
          <w:sz w:val="20"/>
          <w:szCs w:val="20"/>
          <w:color w:val="auto"/>
        </w:rPr>
        <w:tab/>
      </w: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7"/>
          <w:szCs w:val="17"/>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18415</wp:posOffset>
            </wp:positionV>
            <wp:extent cx="61341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613410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15875</wp:posOffset>
            </wp:positionV>
            <wp:extent cx="6845935" cy="262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6845935" cy="262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Cover Page Interactive Data File (formatted as inline XBRL and</w:t>
      </w:r>
    </w:p>
    <w:p>
      <w:pPr>
        <w:spacing w:after="0"/>
        <w:rPr>
          <w:sz w:val="20"/>
          <w:szCs w:val="20"/>
          <w:color w:val="auto"/>
        </w:rPr>
      </w:pPr>
      <w:r>
        <w:rPr>
          <w:rFonts w:ascii="Times New Roman" w:cs="Times New Roman" w:eastAsia="Times New Roman" w:hAnsi="Times New Roman"/>
          <w:sz w:val="18"/>
          <w:szCs w:val="18"/>
          <w:u w:val="single" w:color="auto"/>
          <w:color w:val="0000FF"/>
        </w:rPr>
        <w:t>contained in Exhibit 101)</w:t>
      </w:r>
    </w:p>
    <w:p>
      <w:pPr>
        <w:spacing w:after="0" w:line="200" w:lineRule="exact"/>
        <w:rPr>
          <w:sz w:val="20"/>
          <w:szCs w:val="20"/>
          <w:color w:val="auto"/>
        </w:rPr>
      </w:pPr>
    </w:p>
    <w:p>
      <w:pPr>
        <w:sectPr>
          <w:pgSz w:w="11900" w:h="16838" w:orient="portrait"/>
          <w:cols w:equalWidth="0" w:num="2">
            <w:col w:w="1220" w:space="160"/>
            <w:col w:w="9240"/>
          </w:cols>
          <w:pgMar w:left="320" w:top="177" w:right="959" w:bottom="1440" w:gutter="0" w:footer="0" w:header="0"/>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 covering executive officers or directors of Vericel.</w:t>
      </w:r>
    </w:p>
    <w:p>
      <w:pPr>
        <w:spacing w:after="0" w:line="25" w:lineRule="exact"/>
        <w:rPr>
          <w:sz w:val="20"/>
          <w:szCs w:val="20"/>
          <w:color w:val="auto"/>
        </w:rPr>
      </w:pPr>
    </w:p>
    <w:p>
      <w:pPr>
        <w:ind w:right="20" w:firstLine="7"/>
        <w:spacing w:after="0" w:line="247" w:lineRule="auto"/>
        <w:tabs>
          <w:tab w:leader="none" w:pos="13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status has been granted as to certain portions thereto, which portions are omitted and filed separately with the Securities and Exchange Commission.</w:t>
      </w:r>
    </w:p>
    <w:p>
      <w:pPr>
        <w:ind w:right="906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Furnished herewith. ** Filed herewith.</w:t>
      </w:r>
    </w:p>
    <w:p>
      <w:pPr>
        <w:spacing w:after="0" w:line="200" w:lineRule="exact"/>
        <w:rPr>
          <w:sz w:val="20"/>
          <w:szCs w:val="20"/>
          <w:color w:val="auto"/>
        </w:rPr>
      </w:pPr>
    </w:p>
    <w:p>
      <w:pPr>
        <w:spacing w:after="0" w:line="2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20"/>
          </w:cols>
          <w:pgMar w:left="320" w:top="177" w:right="959" w:bottom="1440" w:gutter="0" w:footer="0" w:header="0"/>
          <w:type w:val="continuous"/>
        </w:sectPr>
      </w:pPr>
    </w:p>
    <w:bookmarkStart w:id="105" w:name="page106"/>
    <w:bookmarkEnd w:id="105"/>
    <w:p>
      <w:pPr>
        <w:ind w:left="2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firstLine="36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6"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29, 2024</w:t>
      </w:r>
    </w:p>
    <w:p>
      <w:pPr>
        <w:spacing w:after="0" w:line="2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Vericel Corporation</w:t>
      </w:r>
    </w:p>
    <w:p>
      <w:pPr>
        <w:spacing w:after="0" w:line="24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15875</wp:posOffset>
            </wp:positionV>
            <wp:extent cx="29737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5"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94" w:lineRule="exact"/>
        <w:rPr>
          <w:sz w:val="20"/>
          <w:szCs w:val="20"/>
          <w:color w:val="auto"/>
        </w:rPr>
      </w:pPr>
    </w:p>
    <w:p>
      <w:pPr>
        <w:ind w:right="200" w:firstLine="36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on behalf of the registrant on February 29, 2024 by the following persons in the capacities indicated.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60" w:type="dxa"/>
            <w:vAlign w:val="bottom"/>
          </w:tcPr>
          <w:p>
            <w:pPr>
              <w:spacing w:after="0"/>
              <w:rPr>
                <w:sz w:val="16"/>
                <w:szCs w:val="16"/>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25"/>
        </w:trPr>
        <w:tc>
          <w:tcPr>
            <w:tcW w:w="53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r>
      <w:tr>
        <w:trPr>
          <w:trHeight w:val="447"/>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DOMINICK C. COLANGELO</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President and Chief Executive Officer, 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Dominick C. Colangelo</w:t>
            </w:r>
          </w:p>
        </w:tc>
        <w:tc>
          <w:tcPr>
            <w:tcW w:w="46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JOSEPH A. MARA</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Joseph A. Mara</w:t>
            </w:r>
          </w:p>
        </w:tc>
        <w:tc>
          <w:tcPr>
            <w:tcW w:w="46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475"/>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JONATHAN D. SIEGAL</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Vice President and Corporate Controller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Jonathan D. Siegal</w:t>
            </w:r>
          </w:p>
        </w:tc>
        <w:tc>
          <w:tcPr>
            <w:tcW w:w="46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ROBERT L. ZERBE, M.D.</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Chairman of the Board of Directors</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L. Zerbe, M.D.</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ALAN L. RUBINO</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Alan L. Rubino</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HEIDI M. HAGEN</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Heidi M. Hagen</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STEVEN C. GILMAN</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Steven C. Gilman</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KEVIN F. MCLAUGHLIN</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Kevin F. McLaughlin</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4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PAUL K. WOTTON</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Paul K. Wotton</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r>
        <w:trPr>
          <w:trHeight w:val="475"/>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LISA WRIGHT</w:t>
            </w:r>
          </w:p>
        </w:tc>
        <w:tc>
          <w:tcPr>
            <w:tcW w:w="46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226"/>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Lisa Wright</w:t>
            </w:r>
          </w:p>
        </w:tc>
        <w:tc>
          <w:tcPr>
            <w:tcW w:w="460" w:type="dxa"/>
            <w:vAlign w:val="bottom"/>
          </w:tcPr>
          <w:p>
            <w:pPr>
              <w:spacing w:after="0"/>
              <w:rPr>
                <w:sz w:val="19"/>
                <w:szCs w:val="19"/>
                <w:color w:val="auto"/>
              </w:rPr>
            </w:pPr>
          </w:p>
        </w:tc>
        <w:tc>
          <w:tcPr>
            <w:tcW w:w="54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20"/>
          </w:cols>
          <w:pgMar w:left="320" w:top="177" w:right="35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2355215" cy="3727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2355215" cy="372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Non-Employee Director Compensation Guidelines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(Revised May 3, 2023)</w:t>
      </w:r>
    </w:p>
    <w:p>
      <w:pPr>
        <w:spacing w:after="0" w:line="22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Board of Directors of Vericel Corporation (the “Board”) has approved the following Amended and Restated Nonemployee Director Compensation Guidelines (the “Guidelines”), which apply to the compensation of outside directors for their service on the Board and which are designed to align their overall compensation with the interests of other shareholders.</w:t>
      </w:r>
    </w:p>
    <w:p>
      <w:pPr>
        <w:spacing w:after="0" w:line="1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Pursuant to these Guidelines, the Chairman of the Board will receive an annual fee of $90,000 paid in equal quarterly increments. Each nonemployee director will receive an annual fee of $50,000 paid in equal quarterly increments. The chairperson of the Audit Committee of the Board (the “Audit Committee”) will receive an annual fee of $20,000, and each non-chair member of the Audit Committee will receive an annual fee of $10,000, payable quarterly. The chairperson of the Compensation Committee will receive an annual fee of $17,500, and each non-chair member of the Compensation Committee will receive an annual fee of $7,500, payable quarterly. The chairperson of the Governance and Nominating Committee of the Board (the “Governance Committee”) will receive an annual fee of $10,000, and each non-chair member of the Governance Committee will receive an annual fee of $5,000, payable quarterly. Directors will not be paid a separate amount for each Board or committee meeting attended.</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Each nonemployee director who continues to serve beyond an Annual Shareholder Meeting will also receive a stock option to purchase 8,000 shares of Vericel common stock, granted on the date of each Annual Meeting and with an exercise price equal to the fair market value of the Company’s common stock on the date of grant, and a grant of 3,200 restricted stock units (RSUs). Such stock options shall vest in equal monthly increments over a period of one year subject to continued service through the applicable vesting date. The RSUs shall vest on the earlier of the first anniversary date of the RSU grant or the date of the first annual meeting following the grant, subject to continued service through the vesting date.</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Newly-appointed directors joining the Board during the period between Annual Meetings receive a grant for a pro rata amount of the shares subject to the option and a pro rata amount of the annual RSUs awarded (in each case reflecting the period of time until the next Annual Meeting). In addition, each newly-appointed director will receive a one-time stock option to purchase 4,000 shares of the Company’s common stock on the date of such director’s appointment, which will vest in equal monthly installments over three years, subject to continued service through the applicable vesting date. Each newly-appointed director will also receive a one-time grant on the date of such director’s appointment of 1,600 RSUs, which will vest in 1/3 annual increments over the course of three years, subject to continued service through the applicable vesting date.</w:t>
      </w:r>
    </w:p>
    <w:p>
      <w:pPr>
        <w:sectPr>
          <w:pgSz w:w="11900" w:h="16838" w:orient="portrait"/>
          <w:cols w:equalWidth="0" w:num="1">
            <w:col w:w="11240"/>
          </w:cols>
          <w:pgMar w:left="320" w:top="1398" w:right="339" w:bottom="1440" w:gutter="0" w:footer="0" w:header="0"/>
        </w:sectPr>
      </w:pPr>
    </w:p>
    <w:bookmarkStart w:id="107" w:name="page108"/>
    <w:bookmarkEnd w:id="107"/>
    <w:p>
      <w:pPr>
        <w:jc w:val="both"/>
        <w:spacing w:after="0" w:line="264" w:lineRule="auto"/>
        <w:rPr>
          <w:sz w:val="20"/>
          <w:szCs w:val="20"/>
          <w:color w:val="auto"/>
        </w:rPr>
      </w:pPr>
      <w:r>
        <w:rPr>
          <w:rFonts w:ascii="Times New Roman" w:cs="Times New Roman" w:eastAsia="Times New Roman" w:hAnsi="Times New Roman"/>
          <w:sz w:val="21"/>
          <w:szCs w:val="21"/>
          <w:color w:val="auto"/>
        </w:rPr>
        <w:t>These equity grants are made under the terms of the Company’s then-current equity compensation plan, as previously approved by the shareholders. Stock options issued to directors shall terminate and may no longer be exercised after the first to occur of (a) the expiration date of the option, (b) 24 months after the date on which the director’s service with Vericel is terminated, or (c) a change in control as defined in the stock option agreement. Unless the non-employee director elects deferred settlement, the RSU grant will settle on vesting.</w:t>
      </w:r>
    </w:p>
    <w:p>
      <w:pPr>
        <w:spacing w:after="0" w:line="1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Under the terms of the Company’s deferred compensation plan, non-employee directors have the ability to elect to defer payment of all or a portion of their annual fees and/or defer settlement of all or a portion of their grant of RSUs. RSUs with deferred settlement are subject to vesting, but the shares are not issued until the deferred settlement date. A non-employee director must make an election to defer his or her annual fees and/or RSU grant by December 31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of the year prior to the year such amounts will be earned, or such grants made. In addition, a deferral election for the RSU grant must be made during an open-trading window. Newly-appointed non-employee directors must make an election within thirty days of joining the Board. A non-employee director may elect to defer payment of the annual fees and/or settlement of the grant of RSUs until a date specified in the non-employee director’s election. The deferred annual fees and/or grant of RSUs will be paid or settled on the earlier of (i) the date specified in the non-employee director’s election, (ii) the termination of the non-employee director’s service to Vericel (including due to death or disability), or (iii) a change in control as defined in the RSU agreement. Further, upon the occurrence of such event the non-employee director shall be paid in cash and/or shares of stock, as applicable, as soon as practicable, but in no event after the last day of the calendar year in which the event occurs or two and one-half months after the event occurs, whichever comes later.</w:t>
      </w:r>
    </w:p>
    <w:p>
      <w:pPr>
        <w:sectPr>
          <w:pgSz w:w="11900" w:h="16838" w:orient="portrait"/>
          <w:cols w:equalWidth="0" w:num="1">
            <w:col w:w="11240"/>
          </w:cols>
          <w:pgMar w:left="320" w:top="1406"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Vericel Denmark ApS, a Danish private limited company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Vericel Security Corporation, a Massachusetts corporation</w:t>
      </w:r>
    </w:p>
    <w:p>
      <w:pPr>
        <w:sectPr>
          <w:pgSz w:w="11900" w:h="16838" w:orient="portrait"/>
          <w:cols w:equalWidth="0" w:num="1">
            <w:col w:w="11240"/>
          </w:cols>
          <w:pgMar w:left="320" w:top="11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20"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333-259119) and Form S-8 (Nos. 333-241700, 333-264747, 333-217741, 333-205338, 333-187346, 333-174758, 333-163832, 333-140624, 333-121006, 333-231163, and 333-272119) of Vericel Corporation of our report dated February 29, 2024 relating to the financial statements and the effectiveness of internal control over financial reporting, which appears in this Form 10-K.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ectPr>
          <w:pgSz w:w="11900" w:h="16838" w:orient="portrait"/>
          <w:cols w:equalWidth="0" w:num="1">
            <w:col w:w="11240"/>
          </w:cols>
          <w:pgMar w:left="320" w:top="11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Dominick C. Colangelo, certify that:</w:t>
      </w:r>
    </w:p>
    <w:p>
      <w:pPr>
        <w:spacing w:after="0" w:line="220" w:lineRule="exact"/>
        <w:rPr>
          <w:sz w:val="20"/>
          <w:szCs w:val="20"/>
          <w:color w:val="auto"/>
        </w:rPr>
      </w:pPr>
    </w:p>
    <w:p>
      <w:pPr>
        <w:ind w:left="420" w:hanging="173"/>
        <w:spacing w:after="0"/>
        <w:tabs>
          <w:tab w:leader="none" w:pos="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Vericel Corporation for the year ended December 31, 2023;</w:t>
      </w:r>
    </w:p>
    <w:p>
      <w:pPr>
        <w:spacing w:after="0" w:line="219" w:lineRule="exact"/>
        <w:rPr>
          <w:rFonts w:ascii="Times New Roman" w:cs="Times New Roman" w:eastAsia="Times New Roman" w:hAnsi="Times New Roman"/>
          <w:sz w:val="18"/>
          <w:szCs w:val="18"/>
          <w:color w:val="auto"/>
        </w:rPr>
      </w:pPr>
    </w:p>
    <w:p>
      <w:pPr>
        <w:ind w:right="400" w:firstLine="247"/>
        <w:spacing w:after="0" w:line="307" w:lineRule="auto"/>
        <w:tabs>
          <w:tab w:leader="none" w:pos="41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right="440" w:firstLine="247"/>
        <w:spacing w:after="0" w:line="277" w:lineRule="auto"/>
        <w:tabs>
          <w:tab w:leader="none" w:pos="4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220" w:firstLine="247"/>
        <w:spacing w:after="0" w:line="262" w:lineRule="auto"/>
        <w:tabs>
          <w:tab w:leader="none" w:pos="4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380" w:firstLine="527"/>
        <w:spacing w:after="0" w:line="262" w:lineRule="auto"/>
        <w:tabs>
          <w:tab w:leader="none" w:pos="76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160" w:firstLine="527"/>
        <w:spacing w:after="0" w:line="262" w:lineRule="auto"/>
        <w:tabs>
          <w:tab w:leader="none" w:pos="77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880" w:firstLine="527"/>
        <w:spacing w:after="0" w:line="277" w:lineRule="auto"/>
        <w:tabs>
          <w:tab w:leader="none" w:pos="76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right="100" w:firstLine="527"/>
        <w:spacing w:after="0" w:line="262" w:lineRule="auto"/>
        <w:tabs>
          <w:tab w:leader="none" w:pos="77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180" w:firstLine="247"/>
        <w:spacing w:after="0" w:line="277" w:lineRule="auto"/>
        <w:tabs>
          <w:tab w:leader="none" w:pos="4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right="300" w:firstLine="527"/>
        <w:spacing w:after="0" w:line="277" w:lineRule="auto"/>
        <w:tabs>
          <w:tab w:leader="none" w:pos="75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right="240" w:firstLine="527"/>
        <w:spacing w:after="0" w:line="277" w:lineRule="auto"/>
        <w:tabs>
          <w:tab w:leader="none" w:pos="76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7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29737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8"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Mara, certify that:</w:t>
      </w:r>
    </w:p>
    <w:p>
      <w:pPr>
        <w:spacing w:after="0" w:line="220" w:lineRule="exact"/>
        <w:rPr>
          <w:sz w:val="20"/>
          <w:szCs w:val="20"/>
          <w:color w:val="auto"/>
        </w:rPr>
      </w:pPr>
    </w:p>
    <w:p>
      <w:pPr>
        <w:ind w:left="420" w:hanging="173"/>
        <w:spacing w:after="0"/>
        <w:tabs>
          <w:tab w:leader="none" w:pos="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Vericel Corporation for the year ended December 31, 2023;</w:t>
      </w:r>
    </w:p>
    <w:p>
      <w:pPr>
        <w:spacing w:after="0" w:line="219" w:lineRule="exact"/>
        <w:rPr>
          <w:rFonts w:ascii="Times New Roman" w:cs="Times New Roman" w:eastAsia="Times New Roman" w:hAnsi="Times New Roman"/>
          <w:sz w:val="18"/>
          <w:szCs w:val="18"/>
          <w:color w:val="auto"/>
        </w:rPr>
      </w:pPr>
    </w:p>
    <w:p>
      <w:pPr>
        <w:ind w:right="400" w:firstLine="247"/>
        <w:spacing w:after="0" w:line="307" w:lineRule="auto"/>
        <w:tabs>
          <w:tab w:leader="none" w:pos="41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right="440" w:firstLine="247"/>
        <w:spacing w:after="0" w:line="277" w:lineRule="auto"/>
        <w:tabs>
          <w:tab w:leader="none" w:pos="4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220" w:firstLine="247"/>
        <w:spacing w:after="0" w:line="262" w:lineRule="auto"/>
        <w:tabs>
          <w:tab w:leader="none" w:pos="4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380" w:firstLine="527"/>
        <w:spacing w:after="0" w:line="262" w:lineRule="auto"/>
        <w:tabs>
          <w:tab w:leader="none" w:pos="76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160" w:firstLine="527"/>
        <w:spacing w:after="0" w:line="262" w:lineRule="auto"/>
        <w:tabs>
          <w:tab w:leader="none" w:pos="77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880" w:firstLine="527"/>
        <w:spacing w:after="0" w:line="277" w:lineRule="auto"/>
        <w:tabs>
          <w:tab w:leader="none" w:pos="76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right="100" w:firstLine="527"/>
        <w:spacing w:after="0" w:line="262" w:lineRule="auto"/>
        <w:tabs>
          <w:tab w:leader="none" w:pos="77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180" w:firstLine="247"/>
        <w:spacing w:after="0" w:line="277" w:lineRule="auto"/>
        <w:tabs>
          <w:tab w:leader="none" w:pos="4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right="300" w:firstLine="527"/>
        <w:spacing w:after="0" w:line="277" w:lineRule="auto"/>
        <w:tabs>
          <w:tab w:leader="none" w:pos="75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right="240" w:firstLine="527"/>
        <w:spacing w:after="0" w:line="277" w:lineRule="auto"/>
        <w:tabs>
          <w:tab w:leader="none" w:pos="76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29, 2024</w:t>
      </w:r>
    </w:p>
    <w:p>
      <w:pPr>
        <w:spacing w:after="0" w:line="27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29737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Joseph Mara</w:t>
      </w:r>
    </w:p>
    <w:p>
      <w:pPr>
        <w:spacing w:after="0" w:line="2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78"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1" w:lineRule="exact"/>
        <w:rPr>
          <w:sz w:val="20"/>
          <w:szCs w:val="20"/>
          <w:color w:val="auto"/>
        </w:rPr>
      </w:pPr>
    </w:p>
    <w:p>
      <w:pPr>
        <w:ind w:right="740" w:firstLine="240"/>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Vericel Corporation (Company) on Form 10-K for the year ended December 31, 2023, as filed with the Securities and Exchange Commission on the date hereof (Report), each of the undersigned officers of the Company, certify, pursuant to 18 U.S.C. Section 1350, as adopted pursuant to Section 906 of the Sarbanes-Oxley Act of 2002 (Section 906), the following:</w:t>
      </w:r>
    </w:p>
    <w:p>
      <w:pPr>
        <w:spacing w:after="0" w:line="176" w:lineRule="exact"/>
        <w:rPr>
          <w:sz w:val="20"/>
          <w:szCs w:val="20"/>
          <w:color w:val="auto"/>
        </w:rPr>
      </w:pPr>
    </w:p>
    <w:p>
      <w:pPr>
        <w:ind w:left="780" w:hanging="253"/>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19" w:lineRule="exact"/>
        <w:rPr>
          <w:rFonts w:ascii="Times New Roman" w:cs="Times New Roman" w:eastAsia="Times New Roman" w:hAnsi="Times New Roman"/>
          <w:sz w:val="18"/>
          <w:szCs w:val="18"/>
          <w:color w:val="auto"/>
        </w:rPr>
      </w:pPr>
    </w:p>
    <w:p>
      <w:pPr>
        <w:ind w:left="780" w:hanging="253"/>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7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29737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15875</wp:posOffset>
            </wp:positionV>
            <wp:extent cx="29737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1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Joseph Mara</w:t>
      </w:r>
    </w:p>
    <w:p>
      <w:pPr>
        <w:spacing w:after="0" w:line="2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61" w:lineRule="exact"/>
        <w:rPr>
          <w:sz w:val="20"/>
          <w:szCs w:val="20"/>
          <w:color w:val="auto"/>
        </w:rPr>
      </w:pPr>
    </w:p>
    <w:p>
      <w:pPr>
        <w:ind w:right="140" w:firstLine="240"/>
        <w:spacing w:after="0" w:line="27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p>
      <w:pPr>
        <w:sectPr>
          <w:pgSz w:w="11900" w:h="16838" w:orient="portrait"/>
          <w:cols w:equalWidth="0" w:num="1">
            <w:col w:w="11240"/>
          </w:cols>
          <w:pgMar w:left="320" w:top="878"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18415</wp:posOffset>
            </wp:positionV>
            <wp:extent cx="2524760" cy="406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252476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line="504" w:lineRule="auto"/>
        <w:rPr>
          <w:sz w:val="20"/>
          <w:szCs w:val="20"/>
          <w:color w:val="auto"/>
        </w:rPr>
      </w:pPr>
      <w:r>
        <w:rPr>
          <w:rFonts w:ascii="Times New Roman" w:cs="Times New Roman" w:eastAsia="Times New Roman" w:hAnsi="Times New Roman"/>
          <w:sz w:val="21"/>
          <w:szCs w:val="21"/>
          <w:b w:val="1"/>
          <w:bCs w:val="1"/>
          <w:color w:val="auto"/>
        </w:rPr>
        <w:t>POLICY FOR RECOUPMENT OF ERRONEOUSLY AWARDED INCENTIVE COMPENSATION (Adopted by the Board of Directors on October 25,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Purpose</w:t>
      </w:r>
    </w:p>
    <w:p>
      <w:pPr>
        <w:spacing w:after="0" w:line="243" w:lineRule="exact"/>
        <w:rPr>
          <w:sz w:val="20"/>
          <w:szCs w:val="20"/>
          <w:color w:val="auto"/>
        </w:rPr>
      </w:pPr>
    </w:p>
    <w:p>
      <w:pPr>
        <w:ind w:right="140" w:firstLine="640"/>
        <w:spacing w:after="0" w:line="244" w:lineRule="auto"/>
        <w:rPr>
          <w:sz w:val="20"/>
          <w:szCs w:val="20"/>
          <w:color w:val="auto"/>
        </w:rPr>
      </w:pPr>
      <w:r>
        <w:rPr>
          <w:rFonts w:ascii="Times New Roman" w:cs="Times New Roman" w:eastAsia="Times New Roman" w:hAnsi="Times New Roman"/>
          <w:sz w:val="21"/>
          <w:szCs w:val="21"/>
          <w:color w:val="auto"/>
        </w:rPr>
        <w:t>The purpose of this Policy is to describe the circumstances in which Covered Officers will be required to repay or return Erroneously Awarded Compensation to the Company. This Policy is designed to comply with, and will be interpreted in a manner that is consistent with, Section 954 of the Dodd-Frank Wall Street Reform and Consumer Protection Act of 2010, Section 10D of the Securities Exchange Act of 1934 and the listing standards of Nasdaq or any other national securities exchange on which the Company’s securities are listed.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Definitions</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As used herein, the following terms have the following meanings:</w:t>
      </w:r>
    </w:p>
    <w:p>
      <w:pPr>
        <w:spacing w:after="0" w:line="235" w:lineRule="exact"/>
        <w:rPr>
          <w:sz w:val="20"/>
          <w:szCs w:val="20"/>
          <w:color w:val="auto"/>
        </w:rPr>
      </w:pPr>
    </w:p>
    <w:p>
      <w:pPr>
        <w:ind w:right="40" w:firstLine="640"/>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Accounting Restatement</w:t>
      </w:r>
      <w:r>
        <w:rPr>
          <w:rFonts w:ascii="Times New Roman" w:cs="Times New Roman" w:eastAsia="Times New Roman" w:hAnsi="Times New Roman"/>
          <w:sz w:val="21"/>
          <w:szCs w:val="21"/>
          <w:color w:val="auto"/>
        </w:rPr>
        <w:t>” means an accounting restatement (i) due to the material noncompliance of the Company with any financial reporting requirement under the securities laws, including any required accounting restatement to correct an error in previously issued financial restatements that is material to the previously issued financial statements, or (ii) that corrects an error that is not material to previously issued financial statements, but would result in a material misstatement if the error were corrected in the current period or left uncorrected in the current period.</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means the Board of Directors of the Company.</w:t>
      </w:r>
    </w:p>
    <w:p>
      <w:pPr>
        <w:spacing w:after="0" w:line="239" w:lineRule="exact"/>
        <w:rPr>
          <w:sz w:val="20"/>
          <w:szCs w:val="20"/>
          <w:color w:val="auto"/>
        </w:rPr>
      </w:pPr>
    </w:p>
    <w:p>
      <w:pPr>
        <w:ind w:right="100" w:firstLine="640"/>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Clawback Eligible Incentive Compensation</w:t>
      </w:r>
      <w:r>
        <w:rPr>
          <w:rFonts w:ascii="Times New Roman" w:cs="Times New Roman" w:eastAsia="Times New Roman" w:hAnsi="Times New Roman"/>
          <w:sz w:val="21"/>
          <w:szCs w:val="21"/>
          <w:color w:val="auto"/>
        </w:rPr>
        <w:t>” means, in connection with an Accounting Restatement and with respect to each individual who served as a Covered Officer at any time during the applicable performance period for any Incentive Compensation (whether or not such Covered Officer is serving at the time the Erroneously Awarded Compensation is required to be repaid to the Company), all Incentive Compensation Received by such Covered Officer (i) on or after the Effective Date, (ii) after beginning service as a Covered Officer, (iii) who served as a Covered Officer at any time during the performance period for the Incentive Compensation, (iv) while the Company has a class of securities listed on a national securities exchange or a national securities association and (v) during the applicable Clawback Period.</w:t>
      </w:r>
    </w:p>
    <w:p>
      <w:pPr>
        <w:spacing w:after="0" w:line="196" w:lineRule="exact"/>
        <w:rPr>
          <w:sz w:val="20"/>
          <w:szCs w:val="20"/>
          <w:color w:val="auto"/>
        </w:rPr>
      </w:pPr>
    </w:p>
    <w:p>
      <w:pPr>
        <w:jc w:val="both"/>
        <w:ind w:right="80" w:firstLine="640"/>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Clawback Period</w:t>
      </w:r>
      <w:r>
        <w:rPr>
          <w:rFonts w:ascii="Times New Roman" w:cs="Times New Roman" w:eastAsia="Times New Roman" w:hAnsi="Times New Roman"/>
          <w:sz w:val="21"/>
          <w:szCs w:val="21"/>
          <w:color w:val="auto"/>
        </w:rPr>
        <w:t>” means,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85" w:right="339" w:bottom="1440" w:gutter="0" w:footer="0" w:header="0"/>
        </w:sectPr>
      </w:pPr>
    </w:p>
    <w:bookmarkStart w:id="114" w:name="page115"/>
    <w:bookmarkEnd w:id="114"/>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means Vericel Corporation.</w:t>
      </w:r>
    </w:p>
    <w:p>
      <w:pPr>
        <w:spacing w:after="0" w:line="239" w:lineRule="exact"/>
        <w:rPr>
          <w:sz w:val="20"/>
          <w:szCs w:val="20"/>
          <w:color w:val="auto"/>
        </w:rPr>
      </w:pPr>
    </w:p>
    <w:p>
      <w:pPr>
        <w:ind w:firstLine="640"/>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Covered Officer</w:t>
      </w:r>
      <w:r>
        <w:rPr>
          <w:rFonts w:ascii="Times New Roman" w:cs="Times New Roman" w:eastAsia="Times New Roman" w:hAnsi="Times New Roman"/>
          <w:sz w:val="21"/>
          <w:szCs w:val="21"/>
          <w:color w:val="auto"/>
        </w:rPr>
        <w:t>” means (i) the Company’s current and former president, principal financial officer, principal accounting officer (or if there is no principal accounting officer, the controller), any vice-president in charge of a principal business unit, division or function (such as sales, administration, or finance), any other officer who performs a policy-making function for the Company, or any other person who performs similar policy-making functions for the Company, as determined by the Committee in accordance with Federal securities laws, SEC rules or the rules of any national securities exchange or national securities association on which the Company’s securities are listed. Identification of an executive officer for purposes of this Policy includes at a minimum executive officers identified pursuant to 17 C.F.R. 229.401(b).</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means October 2, 2023.</w:t>
      </w:r>
    </w:p>
    <w:p>
      <w:pPr>
        <w:spacing w:after="0" w:line="239" w:lineRule="exact"/>
        <w:rPr>
          <w:sz w:val="20"/>
          <w:szCs w:val="20"/>
          <w:color w:val="auto"/>
        </w:rPr>
      </w:pPr>
    </w:p>
    <w:p>
      <w:pPr>
        <w:ind w:right="200" w:firstLine="64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Erroneously Awarded Compensation</w:t>
      </w:r>
      <w:r>
        <w:rPr>
          <w:rFonts w:ascii="Times New Roman" w:cs="Times New Roman" w:eastAsia="Times New Roman" w:hAnsi="Times New Roman"/>
          <w:sz w:val="21"/>
          <w:szCs w:val="21"/>
          <w:color w:val="auto"/>
        </w:rPr>
        <w:t>” means, with respect to each Covered Officer in connection with an Accounting Restatement, the amount of Clawback Eligible Incentive Compensation that exceeds the amount of Incentive Compensation that such Covered Officer would have received had such Incentive Compensation been calculated based on the financial results reported in the restated financial statement, computed without respect to any taxes paid.</w:t>
      </w:r>
    </w:p>
    <w:p>
      <w:pPr>
        <w:spacing w:after="0" w:line="187" w:lineRule="exact"/>
        <w:rPr>
          <w:sz w:val="20"/>
          <w:szCs w:val="20"/>
          <w:color w:val="auto"/>
        </w:rPr>
      </w:pPr>
    </w:p>
    <w:p>
      <w:pPr>
        <w:ind w:right="40" w:firstLine="640"/>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Financial Reporting Measure</w:t>
      </w:r>
      <w:r>
        <w:rPr>
          <w:rFonts w:ascii="Times New Roman" w:cs="Times New Roman" w:eastAsia="Times New Roman" w:hAnsi="Times New Roman"/>
          <w:sz w:val="21"/>
          <w:szCs w:val="21"/>
          <w:color w:val="auto"/>
        </w:rPr>
        <w:t>” mean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spacing w:after="0" w:line="195" w:lineRule="exact"/>
        <w:rPr>
          <w:sz w:val="20"/>
          <w:szCs w:val="20"/>
          <w:color w:val="auto"/>
        </w:rPr>
      </w:pPr>
    </w:p>
    <w:p>
      <w:pPr>
        <w:ind w:right="40" w:firstLine="640"/>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Incentive Compensation</w:t>
      </w:r>
      <w:r>
        <w:rPr>
          <w:rFonts w:ascii="Times New Roman" w:cs="Times New Roman" w:eastAsia="Times New Roman" w:hAnsi="Times New Roman"/>
          <w:sz w:val="21"/>
          <w:szCs w:val="21"/>
          <w:color w:val="auto"/>
        </w:rPr>
        <w:t>” means any compensation that is granted, earned or vested based wholly or in part upon the attainment of a Financial Reporting Measure. Incentive Compensation does not include: (i) bonuses paid solely at the discretion of the Board or the Committee that are not paid from a bonus pool that is determined by satisfying a financial reporting measure performance goal or solely upon satisfying one or more subjective standards and/or completion of a specified employment period,</w:t>
      </w:r>
    </w:p>
    <w:p>
      <w:pPr>
        <w:spacing w:after="0" w:line="3" w:lineRule="exact"/>
        <w:rPr>
          <w:sz w:val="20"/>
          <w:szCs w:val="20"/>
          <w:color w:val="auto"/>
        </w:rPr>
      </w:pPr>
    </w:p>
    <w:p>
      <w:pPr>
        <w:ind w:firstLine="7"/>
        <w:spacing w:after="0" w:line="238" w:lineRule="auto"/>
        <w:tabs>
          <w:tab w:leader="none" w:pos="314"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non-equity incentive plan awards earned solely upon satisfying one or more strategic or operational measures, (iii) equity awards not contingent upon achieving any financial reporting measure performance goal and vesting is contingent solely upon the completion of a specified employment or other time-based period and/or attaining one or more non-financial reporting measures or</w:t>
      </w:r>
    </w:p>
    <w:p>
      <w:pPr>
        <w:spacing w:after="0" w:line="2" w:lineRule="exact"/>
        <w:rPr>
          <w:rFonts w:ascii="Times New Roman" w:cs="Times New Roman" w:eastAsia="Times New Roman" w:hAnsi="Times New Roman"/>
          <w:sz w:val="21"/>
          <w:szCs w:val="21"/>
          <w:color w:val="auto"/>
        </w:rPr>
      </w:pPr>
    </w:p>
    <w:p>
      <w:pPr>
        <w:ind w:left="640" w:right="300" w:hanging="633"/>
        <w:spacing w:after="0" w:line="232" w:lineRule="auto"/>
        <w:tabs>
          <w:tab w:leader="none" w:pos="361"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Incentive Compensation received before the Company had a class of securities listed on a national securities exchange. “</w:t>
      </w:r>
      <w:r>
        <w:rPr>
          <w:rFonts w:ascii="Times New Roman" w:cs="Times New Roman" w:eastAsia="Times New Roman" w:hAnsi="Times New Roman"/>
          <w:sz w:val="21"/>
          <w:szCs w:val="21"/>
          <w:b w:val="1"/>
          <w:bCs w:val="1"/>
          <w:color w:val="auto"/>
        </w:rPr>
        <w:t>Independent Director Committee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means the Compensation Committee of the Board, or, in the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discretion of the Board, any other committee or body of the Board consisting only of independent directors of the Board.</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Policy</w:t>
      </w:r>
      <w:r>
        <w:rPr>
          <w:rFonts w:ascii="Times New Roman" w:cs="Times New Roman" w:eastAsia="Times New Roman" w:hAnsi="Times New Roman"/>
          <w:sz w:val="21"/>
          <w:szCs w:val="21"/>
          <w:color w:val="auto"/>
        </w:rPr>
        <w:t>” means this Policy for Recoupment of Incentive Compensation, as may be amended and/or restated from time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00"/>
          </w:cols>
          <w:pgMar w:left="320" w:top="1440" w:right="379" w:bottom="1440" w:gutter="0" w:footer="0" w:header="0"/>
        </w:sectPr>
      </w:pPr>
    </w:p>
    <w:bookmarkStart w:id="115" w:name="page116"/>
    <w:bookmarkEnd w:id="115"/>
    <w:p>
      <w:pPr>
        <w:ind w:right="160" w:firstLine="640"/>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Received</w:t>
      </w:r>
      <w:r>
        <w:rPr>
          <w:rFonts w:ascii="Times New Roman" w:cs="Times New Roman" w:eastAsia="Times New Roman" w:hAnsi="Times New Roman"/>
          <w:sz w:val="21"/>
          <w:szCs w:val="21"/>
          <w:color w:val="auto"/>
        </w:rPr>
        <w:t>” means, with respect to any Incentive Compensation, actual or deemed receipt, and Incentive Compensation shall be deemed received in the Company’s fiscal period during which the Financial Reporting Measure specified in the Incentive Compensation award is attained, even if payment or grant of the Incentive Compensation occurs after the end of that period.</w:t>
      </w:r>
    </w:p>
    <w:p>
      <w:pPr>
        <w:spacing w:after="0" w:line="182" w:lineRule="exact"/>
        <w:rPr>
          <w:sz w:val="20"/>
          <w:szCs w:val="20"/>
          <w:color w:val="auto"/>
        </w:rPr>
      </w:pPr>
    </w:p>
    <w:p>
      <w:pPr>
        <w:ind w:right="120" w:firstLine="640"/>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Restatement Date</w:t>
      </w:r>
      <w:r>
        <w:rPr>
          <w:rFonts w:ascii="Times New Roman" w:cs="Times New Roman" w:eastAsia="Times New Roman" w:hAnsi="Times New Roman"/>
          <w:sz w:val="21"/>
          <w:szCs w:val="21"/>
          <w:color w:val="auto"/>
        </w:rPr>
        <w:t>” means the earlier to occur of (i) the date the Board, a committee of the Board or the officers of the Company authorized to take such action if Board action is not required, concludes, or reasonably should have concluded, that the issuer is required to prepare an Accounting Restatement, or (ii) the date of court, regulator or other legally authorized body directs the issuer to prepare an Accounting Restatement.</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means the U.S. Securities and Exchange Commission.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Policy</w:t>
      </w:r>
    </w:p>
    <w:p>
      <w:pPr>
        <w:spacing w:after="0" w:line="243" w:lineRule="exact"/>
        <w:rPr>
          <w:sz w:val="20"/>
          <w:szCs w:val="20"/>
          <w:color w:val="auto"/>
        </w:rPr>
      </w:pPr>
    </w:p>
    <w:p>
      <w:pPr>
        <w:ind w:firstLine="647"/>
        <w:spacing w:after="0" w:line="241" w:lineRule="auto"/>
        <w:tabs>
          <w:tab w:leader="none" w:pos="1144"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 Accounting Restatement, the Independent Director Committee shall determine the amount of any Erroneously Awarded Compensation for each Covered Officer in connection with such Accounting Restatement and thereafter, provide each Covered Officer with a written notice containing the amount of Erroneously Awarded Compensation and a demand for repayment or return, as applicable. For Incentive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Independent Director Committee based on a reasonable estimate of the effect of the Accounting Restatement on the stock price or total shareholder return upon which the Incentive Compensation was Received (in which case, the Company shall maintain documentation of such determination of that reasonable estimate and provide such documentation to Nasdaq).</w:t>
      </w:r>
    </w:p>
    <w:p>
      <w:pPr>
        <w:spacing w:after="0" w:line="205" w:lineRule="exact"/>
        <w:rPr>
          <w:rFonts w:ascii="Times New Roman" w:cs="Times New Roman" w:eastAsia="Times New Roman" w:hAnsi="Times New Roman"/>
          <w:sz w:val="21"/>
          <w:szCs w:val="21"/>
          <w:color w:val="auto"/>
        </w:rPr>
      </w:pPr>
    </w:p>
    <w:p>
      <w:pPr>
        <w:ind w:right="140" w:firstLine="647"/>
        <w:spacing w:after="0" w:line="242" w:lineRule="auto"/>
        <w:tabs>
          <w:tab w:leader="none" w:pos="1099"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Independent Director Committee shall take such action as it deems appropriate to recover Erroneously Awarded Compensation reasonably promptly after such obligation is incurred and shall have broad discretion to determine the appropriate means of recovery of such Erroneously Awarded Compensation based on all applicable facts and circumstances. The Independent Director Committee may seek recoupment in the manner it chooses, in its sole discretion, which may include, without limitation, one or a combination of the following: (i) direct reimbursement from the Covered Officer of Incentive Compensation previously paid, (ii) deduction of the recouped amount from unpaid compensation otherwise owed by the Company to the Covered Officer,</w:t>
      </w:r>
    </w:p>
    <w:p>
      <w:pPr>
        <w:spacing w:after="0" w:line="4" w:lineRule="exact"/>
        <w:rPr>
          <w:rFonts w:ascii="Times New Roman" w:cs="Times New Roman" w:eastAsia="Times New Roman" w:hAnsi="Times New Roman"/>
          <w:sz w:val="21"/>
          <w:szCs w:val="21"/>
          <w:color w:val="auto"/>
        </w:rPr>
      </w:pPr>
    </w:p>
    <w:p>
      <w:pPr>
        <w:jc w:val="both"/>
        <w:ind w:right="160" w:firstLine="7"/>
        <w:spacing w:after="0" w:line="238" w:lineRule="auto"/>
        <w:tabs>
          <w:tab w:leader="none" w:pos="37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set-off, (iv) rescinding or cancelling vested or unvested equity or cash based awards, and (v) any other remedial and recovery action permitted by law, as determined by the Independent Director Committee. For the avoidance of doubt, except as set forth in paragraph (d) below, in no event may the Company accept an amount that is less than the amount of Erroneously Awarded Compensation in satisfaction of a Covered Officer’s obligations hereunder.</w:t>
      </w:r>
    </w:p>
    <w:p>
      <w:pPr>
        <w:spacing w:after="0" w:line="205" w:lineRule="exact"/>
        <w:rPr>
          <w:rFonts w:ascii="Times New Roman" w:cs="Times New Roman" w:eastAsia="Times New Roman" w:hAnsi="Times New Roman"/>
          <w:sz w:val="21"/>
          <w:szCs w:val="21"/>
          <w:color w:val="auto"/>
        </w:rPr>
      </w:pPr>
    </w:p>
    <w:p>
      <w:pPr>
        <w:ind w:right="140" w:firstLine="647"/>
        <w:spacing w:after="0" w:line="256" w:lineRule="auto"/>
        <w:tabs>
          <w:tab w:leader="none" w:pos="1087"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 Covered Officer fails to repay all Erroneously Awarded Compensation to the Company when due (as determined in accordance with paragraph (b) above), the Company shall, or shall cause one or more other members of the Company to, 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8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1"/>
          <w:szCs w:val="21"/>
          <w:color w:val="auto"/>
        </w:rPr>
        <w:t>all actions reasonable and appropriate to recover such Erroneously Awarded Compensation from the applicable Covered Officer.</w:t>
      </w:r>
    </w:p>
    <w:p>
      <w:pPr>
        <w:spacing w:after="0" w:line="239" w:lineRule="exact"/>
        <w:rPr>
          <w:sz w:val="20"/>
          <w:szCs w:val="20"/>
          <w:color w:val="auto"/>
        </w:rPr>
      </w:pPr>
    </w:p>
    <w:p>
      <w:pPr>
        <w:ind w:right="100" w:firstLine="647"/>
        <w:spacing w:after="0" w:line="256" w:lineRule="auto"/>
        <w:tabs>
          <w:tab w:leader="none" w:pos="1103"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herein to the contrary, the Company shall not be required to take the actions contemplated by paragraph (b) above if the following conditions are met and the Independent Director Committee determines that recovery would be impracticable:</w:t>
      </w:r>
    </w:p>
    <w:p>
      <w:pPr>
        <w:spacing w:after="0" w:line="187" w:lineRule="exact"/>
        <w:rPr>
          <w:rFonts w:ascii="Times New Roman" w:cs="Times New Roman" w:eastAsia="Times New Roman" w:hAnsi="Times New Roman"/>
          <w:sz w:val="21"/>
          <w:szCs w:val="21"/>
          <w:color w:val="auto"/>
        </w:rPr>
      </w:pPr>
    </w:p>
    <w:p>
      <w:pPr>
        <w:jc w:val="both"/>
        <w:ind w:left="1280" w:right="380" w:firstLine="8"/>
        <w:spacing w:after="0" w:line="250" w:lineRule="auto"/>
        <w:tabs>
          <w:tab w:leader="none" w:pos="1691"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 expenses paid to a third party to assist in enforcing the Policy against a Covered Officer would exceed the amount to be recovered, after the Company has made a reasonable attempt to recover the applicable Erroneously Awarded Compensation, documented such attempts and provided such documentation to Nasdaq.</w:t>
      </w:r>
    </w:p>
    <w:p>
      <w:pPr>
        <w:spacing w:after="0" w:line="192" w:lineRule="exact"/>
        <w:rPr>
          <w:rFonts w:ascii="Times New Roman" w:cs="Times New Roman" w:eastAsia="Times New Roman" w:hAnsi="Times New Roman"/>
          <w:sz w:val="21"/>
          <w:szCs w:val="21"/>
          <w:color w:val="auto"/>
        </w:rPr>
      </w:pPr>
    </w:p>
    <w:p>
      <w:pPr>
        <w:ind w:left="1280" w:right="40" w:firstLine="8"/>
        <w:spacing w:after="0" w:line="247" w:lineRule="auto"/>
        <w:tabs>
          <w:tab w:leader="none" w:pos="1754"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Nasdaq, that recovery would result in such a violation and a copy of the opinion is provided to Nasdaq; or</w:t>
      </w:r>
    </w:p>
    <w:p>
      <w:pPr>
        <w:spacing w:after="0" w:line="198" w:lineRule="exact"/>
        <w:rPr>
          <w:rFonts w:ascii="Times New Roman" w:cs="Times New Roman" w:eastAsia="Times New Roman" w:hAnsi="Times New Roman"/>
          <w:sz w:val="21"/>
          <w:szCs w:val="21"/>
          <w:color w:val="auto"/>
        </w:rPr>
      </w:pPr>
    </w:p>
    <w:p>
      <w:pPr>
        <w:ind w:left="1280" w:right="320" w:firstLine="8"/>
        <w:spacing w:after="0" w:line="256" w:lineRule="auto"/>
        <w:tabs>
          <w:tab w:leader="none" w:pos="1814"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Reporting and Disclosure</w:t>
      </w:r>
    </w:p>
    <w:p>
      <w:pPr>
        <w:spacing w:after="0" w:line="243" w:lineRule="exact"/>
        <w:rPr>
          <w:sz w:val="20"/>
          <w:szCs w:val="20"/>
          <w:color w:val="auto"/>
        </w:rPr>
      </w:pPr>
    </w:p>
    <w:p>
      <w:pPr>
        <w:ind w:right="660" w:firstLine="640"/>
        <w:spacing w:after="0" w:line="261" w:lineRule="auto"/>
        <w:rPr>
          <w:sz w:val="20"/>
          <w:szCs w:val="20"/>
          <w:color w:val="auto"/>
        </w:rPr>
      </w:pPr>
      <w:r>
        <w:rPr>
          <w:rFonts w:ascii="Times New Roman" w:cs="Times New Roman" w:eastAsia="Times New Roman" w:hAnsi="Times New Roman"/>
          <w:sz w:val="21"/>
          <w:szCs w:val="21"/>
          <w:color w:val="auto"/>
        </w:rPr>
        <w:t>The Company shall file all disclosures with respect to this Policy in accordance with the requirement of the Federal securities laws, including the disclosure required by the applicable SEC filings.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No Indemnification</w:t>
      </w:r>
    </w:p>
    <w:p>
      <w:pPr>
        <w:spacing w:after="0" w:line="243" w:lineRule="exact"/>
        <w:rPr>
          <w:sz w:val="20"/>
          <w:szCs w:val="20"/>
          <w:color w:val="auto"/>
        </w:rPr>
      </w:pPr>
    </w:p>
    <w:p>
      <w:pPr>
        <w:ind w:firstLine="640"/>
        <w:spacing w:after="0" w:line="247" w:lineRule="auto"/>
        <w:rPr>
          <w:sz w:val="20"/>
          <w:szCs w:val="20"/>
          <w:color w:val="auto"/>
        </w:rPr>
      </w:pPr>
      <w:r>
        <w:rPr>
          <w:rFonts w:ascii="Times New Roman" w:cs="Times New Roman" w:eastAsia="Times New Roman" w:hAnsi="Times New Roman"/>
          <w:sz w:val="21"/>
          <w:szCs w:val="21"/>
          <w:color w:val="auto"/>
        </w:rPr>
        <w:t>The Company shall not indemnify any Covered Officer against (i) the loss of any Erroneously Awarded Compensation that is repaid, returned or recovered pursuant to the terms of this Policy, or (ii) any claims relating to the Company’s enforcement of its rights under this Policy. Further, no member of the Company shall enter into any agreement that exempts any Incentive Compensation from the application of this Policy or that waives the Company’s right to recovery of any Erroneously Awarded Compensation and this Policy shall supersede any such agreement (whether entered into before, on or after the Effective Date).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Effective Date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Policy shall be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160"/>
          </w:cols>
          <w:pgMar w:left="320" w:top="1393" w:right="4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1"/>
          <w:szCs w:val="21"/>
          <w:b w:val="1"/>
          <w:bCs w:val="1"/>
          <w:u w:val="single" w:color="auto"/>
          <w:color w:val="auto"/>
        </w:rPr>
        <w:t>Administration and Interpretation</w:t>
      </w:r>
    </w:p>
    <w:p>
      <w:pPr>
        <w:spacing w:after="0" w:line="243" w:lineRule="exact"/>
        <w:rPr>
          <w:sz w:val="20"/>
          <w:szCs w:val="20"/>
          <w:color w:val="auto"/>
        </w:rPr>
      </w:pPr>
    </w:p>
    <w:p>
      <w:pPr>
        <w:ind w:right="40" w:firstLine="640"/>
        <w:spacing w:after="0" w:line="250" w:lineRule="auto"/>
        <w:rPr>
          <w:sz w:val="20"/>
          <w:szCs w:val="20"/>
          <w:color w:val="auto"/>
        </w:rPr>
      </w:pPr>
      <w:r>
        <w:rPr>
          <w:rFonts w:ascii="Times New Roman" w:cs="Times New Roman" w:eastAsia="Times New Roman" w:hAnsi="Times New Roman"/>
          <w:sz w:val="21"/>
          <w:szCs w:val="21"/>
          <w:color w:val="auto"/>
        </w:rPr>
        <w:t>This Policy shall be administered by the Committee. Any determinations made by the Committee shall be final and binding on all affected individuals. The Committee is authorized to interpret and construe this Policy and to make all determinations necessary, appropriate, or advisable for the administration of this Policy. This Policy shall be binding and enforceable against all Covered Officers and their beneficiaries, heirs, executors or other legal representatives.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Amendment and Termination</w:t>
      </w:r>
    </w:p>
    <w:p>
      <w:pPr>
        <w:spacing w:after="0" w:line="230" w:lineRule="exact"/>
        <w:rPr>
          <w:sz w:val="20"/>
          <w:szCs w:val="20"/>
          <w:color w:val="auto"/>
        </w:rPr>
      </w:pPr>
    </w:p>
    <w:p>
      <w:pPr>
        <w:ind w:firstLine="640"/>
        <w:spacing w:after="0" w:line="244" w:lineRule="auto"/>
        <w:rPr>
          <w:sz w:val="20"/>
          <w:szCs w:val="20"/>
          <w:color w:val="auto"/>
        </w:rPr>
      </w:pPr>
      <w:r>
        <w:rPr>
          <w:rFonts w:ascii="Times New Roman" w:cs="Times New Roman" w:eastAsia="Times New Roman" w:hAnsi="Times New Roman"/>
          <w:sz w:val="21"/>
          <w:szCs w:val="21"/>
          <w:color w:val="auto"/>
        </w:rPr>
        <w:t>The Committee may amend this Policy from time to time in its discretion and shall amend this Policy as it deems necessary, including as and when it determines that it is legally required by any Federal securities laws, SEC rules or the rules of any national securities exchange or national securities association on which the Company’s securities are listed. The Committee may terminate this Policy at any time. Notwithstanding anything in this paragraph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rules or the rules of any national securities exchange or national securities association on which the Company’s securities are listed.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Other Recoupment Rights; No Additional Payments</w:t>
      </w:r>
    </w:p>
    <w:p>
      <w:pPr>
        <w:spacing w:after="0" w:line="243" w:lineRule="exact"/>
        <w:rPr>
          <w:sz w:val="20"/>
          <w:szCs w:val="20"/>
          <w:color w:val="auto"/>
        </w:rPr>
      </w:pPr>
    </w:p>
    <w:p>
      <w:pPr>
        <w:ind w:right="20" w:firstLine="640"/>
        <w:spacing w:after="0" w:line="242" w:lineRule="auto"/>
        <w:rPr>
          <w:sz w:val="20"/>
          <w:szCs w:val="20"/>
          <w:color w:val="auto"/>
        </w:rPr>
      </w:pPr>
      <w:r>
        <w:rPr>
          <w:rFonts w:ascii="Times New Roman" w:cs="Times New Roman" w:eastAsia="Times New Roman" w:hAnsi="Times New Roman"/>
          <w:sz w:val="21"/>
          <w:szCs w:val="21"/>
          <w:color w:val="auto"/>
        </w:rPr>
        <w:t>The Committee intends that this Policy will be applied to the fullest extent of the law. This Policy shall be incorporated by reference into and shall apply to all incentive, bonus, equity, equity-based and compensation plans, agreements, and awards outstanding as of the Policy’s Effective Date or entered into on or after the Policy’s Effective Date. The Committee may require that any employment agreement, equity award agreement, or any other agreement entered into on or after the Effective Date shall, as a condition to the grant of any benefit thereunder, require an Executive Officer to agree to abide by the terms of this Policy. Any right of recoupment under this Policy is in addition to, and not in lieu of, any other remedies or rights of recoupment that may be available to the Company under applicable law, regulation or rule or pursuant to the terms of any similar policy in any employment agreement, equity award agreement, or similar agreement and any other legal remedies available to the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Entire Agreement</w:t>
      </w:r>
    </w:p>
    <w:p>
      <w:pPr>
        <w:spacing w:after="0" w:line="2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color w:val="auto"/>
        </w:rPr>
        <w:t>This Policy supersedes, replaces and merges any and all previous agreements and understandings regarding the Company’s policy on the recovery of compensation, and this Policy constitutes the entire agreement between the Company and the Executive Officers with respect to such terms and conditions.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Successors</w:t>
      </w:r>
    </w:p>
    <w:p>
      <w:pPr>
        <w:spacing w:after="0" w:line="230" w:lineRule="exact"/>
        <w:rPr>
          <w:sz w:val="20"/>
          <w:szCs w:val="20"/>
          <w:color w:val="auto"/>
        </w:rPr>
      </w:pPr>
    </w:p>
    <w:p>
      <w:pPr>
        <w:ind w:right="880" w:firstLine="640"/>
        <w:spacing w:after="0" w:line="275" w:lineRule="auto"/>
        <w:rPr>
          <w:sz w:val="20"/>
          <w:szCs w:val="20"/>
          <w:color w:val="auto"/>
        </w:rPr>
      </w:pPr>
      <w:r>
        <w:rPr>
          <w:rFonts w:ascii="Times New Roman" w:cs="Times New Roman" w:eastAsia="Times New Roman" w:hAnsi="Times New Roman"/>
          <w:sz w:val="21"/>
          <w:szCs w:val="21"/>
          <w:color w:val="auto"/>
        </w:rPr>
        <w:t>This Policy shall be binding and enforceable against all Covered Officers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w:t>
      </w:r>
    </w:p>
    <w:sectPr>
      <w:pgSz w:w="11900" w:h="16838" w:orient="portrait"/>
      <w:cols w:equalWidth="0" w:num="1">
        <w:col w:w="11240"/>
      </w:cols>
      <w:pgMar w:left="320" w:top="13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lowerRoman"/>
      <w:start w:val="1"/>
    </w:lvl>
    <w:lvl w:ilvl="1">
      <w:lvlJc w:val="left"/>
      <w:lvlText w:val="(%2)"/>
      <w:numFmt w:val="lowerRoman"/>
      <w:start w:val="2"/>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decimal"/>
      <w:start w:val="11"/>
    </w:lvl>
    <w:lvl w:ilvl="1">
      <w:lvlJc w:val="left"/>
      <w:lvlText w:val="•"/>
      <w:numFmt w:val="bullet"/>
      <w:start w:val="1"/>
    </w:lvl>
  </w:abstractNum>
  <w:abstractNum w:abstractNumId="31">
    <w:nsid w:val="7724C67E"/>
    <w:multiLevelType w:val="hybridMultilevel"/>
    <w:lvl w:ilvl="0">
      <w:lvlJc w:val="left"/>
      <w:lvlText w:val="(%1)"/>
      <w:numFmt w:val="lowerLetter"/>
      <w:start w:val="1"/>
    </w:lvl>
  </w:abstractNum>
  <w:abstractNum w:abstractNumId="32">
    <w:nsid w:val="5C482A97"/>
    <w:multiLevelType w:val="hybridMultilevel"/>
    <w:lvl w:ilvl="0">
      <w:lvlJc w:val="left"/>
      <w:lvlText w:val="%1."/>
      <w:numFmt w:val="decimal"/>
      <w:start w:val="15"/>
    </w:lvl>
  </w:abstractNum>
  <w:abstractNum w:abstractNumId="33">
    <w:nsid w:val="2463B9EA"/>
    <w:multiLevelType w:val="hybridMultilevel"/>
    <w:lvl w:ilvl="0">
      <w:lvlJc w:val="left"/>
      <w:lvlText w:val="(%1)"/>
      <w:numFmt w:val="lowerLetter"/>
      <w:start w:val="1"/>
    </w:lvl>
    <w:lvl w:ilvl="1">
      <w:lvlJc w:val="left"/>
      <w:lvlText w:val="%2."/>
      <w:numFmt w:val="decimal"/>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lvl w:ilvl="1">
      <w:lvlJc w:val="left"/>
      <w:lvlText w:val="(%2)"/>
      <w:numFmt w:val="lowerLetter"/>
      <w:start w:val="1"/>
    </w:lvl>
  </w:abstractNum>
  <w:abstractNum w:abstractNumId="36">
    <w:nsid w:val="2D517796"/>
    <w:multiLevelType w:val="hybridMultilevel"/>
    <w:lvl w:ilvl="0">
      <w:lvlJc w:val="left"/>
      <w:lvlText w:val="%1."/>
      <w:numFmt w:val="decimal"/>
      <w:start w:val="1"/>
    </w:lvl>
    <w:lvl w:ilvl="1">
      <w:lvlJc w:val="left"/>
      <w:lvlText w:val="(%2)"/>
      <w:numFmt w:val="lowerLetter"/>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Roman"/>
      <w:start w:val="2"/>
    </w:lvl>
  </w:abstractNum>
  <w:abstractNum w:abstractNumId="39">
    <w:nsid w:val="3855585C"/>
    <w:multiLevelType w:val="hybridMultilevel"/>
    <w:lvl w:ilvl="0">
      <w:lvlJc w:val="left"/>
      <w:lvlText w:val="(%1)"/>
      <w:numFmt w:val="lowerRoman"/>
      <w:start w:val="4"/>
    </w:lvl>
  </w:abstractNum>
  <w:abstractNum w:abstractNumId="40">
    <w:nsid w:val="70A64E2A"/>
    <w:multiLevelType w:val="hybridMultilevel"/>
    <w:lvl w:ilvl="0">
      <w:lvlJc w:val="left"/>
      <w:lvlText w:val="%1"/>
      <w:numFmt w:val="lowerLetter"/>
      <w:start w:val="1"/>
    </w:lvl>
    <w:lvl w:ilvl="1">
      <w:lvlJc w:val="left"/>
      <w:lvlText w:val="(%2)"/>
      <w:numFmt w:val="lowerLetter"/>
      <w:start w:val="1"/>
    </w:lvl>
  </w:abstractNum>
  <w:abstractNum w:abstractNumId="41">
    <w:nsid w:val="6A2342EC"/>
    <w:multiLevelType w:val="hybridMultilevel"/>
    <w:lvl w:ilvl="0">
      <w:lvlJc w:val="left"/>
      <w:lvlText w:val="(%1)"/>
      <w:numFmt w:val="lowerLetter"/>
      <w:start w:val="61"/>
    </w:lvl>
    <w:lvl w:ilvl="1">
      <w:lvlJc w:val="left"/>
      <w:lvlText w:val="(%2)"/>
      <w:numFmt w:val="lowerLetter"/>
      <w:start w:val="3"/>
    </w:lvl>
  </w:abstractNum>
  <w:abstractNum w:abstractNumId="42">
    <w:nsid w:val="2A487CB0"/>
    <w:multiLevelType w:val="hybridMultilevel"/>
    <w:lvl w:ilvl="0">
      <w:lvlJc w:val="left"/>
      <w:lvlText w:val="(%1)"/>
      <w:numFmt w:val="lowerLetter"/>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42" Type="http://schemas.openxmlformats.org/officeDocument/2006/relationships/image" Target="media/image120.png"/><Relationship Id="rId146" Type="http://schemas.openxmlformats.org/officeDocument/2006/relationships/image" Target="media/image121.png"/><Relationship Id="rId149"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jpeg"/><Relationship Id="rId193" Type="http://schemas.openxmlformats.org/officeDocument/2006/relationships/image" Target="media/image147.png"/><Relationship Id="rId194" Type="http://schemas.openxmlformats.org/officeDocument/2006/relationships/image" Target="media/image148.png"/><Relationship Id="rId195" Type="http://schemas.openxmlformats.org/officeDocument/2006/relationships/image" Target="media/image149.png"/><Relationship Id="rId196" Type="http://schemas.openxmlformats.org/officeDocument/2006/relationships/image" Target="media/image150.png"/><Relationship Id="rId197" Type="http://schemas.openxmlformats.org/officeDocument/2006/relationships/image" Target="media/image151.jpeg"/><Relationship Id="rId127" Type="http://schemas.openxmlformats.org/officeDocument/2006/relationships/hyperlink" Target="https://www.sec.gov/Archives/edgar/data/887359/000129993309004957/exhibit1.htm" TargetMode="External"/><Relationship Id="rId128" Type="http://schemas.openxmlformats.org/officeDocument/2006/relationships/hyperlink" Target="https://www.sec.gov/Archives/edgar/data/887359/000095012310030777/b80276exv3w2.htm" TargetMode="External"/><Relationship Id="rId129" Type="http://schemas.openxmlformats.org/officeDocument/2006/relationships/hyperlink" Target="https://www.sec.gov/Archives/edgar/data/887359/000095012311029237/a59068exv3w1.htm" TargetMode="External"/><Relationship Id="rId130" Type="http://schemas.openxmlformats.org/officeDocument/2006/relationships/hyperlink" Target="https://www.sec.gov/Archives/edgar/data/887359/000110465914083052/a14-25082_1ex3d1.htm" TargetMode="External"/><Relationship Id="rId131" Type="http://schemas.openxmlformats.org/officeDocument/2006/relationships/hyperlink" Target="https://www.sec.gov/Archives/edgar/data/887359/000129993310004053/exhibit1.htm" TargetMode="External"/><Relationship Id="rId132" Type="http://schemas.openxmlformats.org/officeDocument/2006/relationships/hyperlink" Target="https://www.sec.gov/Archives/edgar/data/887359/000162828020002229/ex45descriptionofcapit.htm" TargetMode="External"/><Relationship Id="rId133" Type="http://schemas.openxmlformats.org/officeDocument/2006/relationships/hyperlink" Target="https://www.sec.gov/Archives/edgar/data/887359/000129993310003245/exhibit1.htm" TargetMode="External"/><Relationship Id="rId134" Type="http://schemas.openxmlformats.org/officeDocument/2006/relationships/hyperlink" Target="https://www.sec.gov/Archives/edgar/data/887359/000095012311029237/a59068exv10w3.htm" TargetMode="External"/><Relationship Id="rId135" Type="http://schemas.openxmlformats.org/officeDocument/2006/relationships/hyperlink" Target="https://www.sec.gov/Archives/edgar/data/887359/000110465914029503/a14-10941_1ex2d1.htm" TargetMode="External"/><Relationship Id="rId136" Type="http://schemas.openxmlformats.org/officeDocument/2006/relationships/hyperlink" Target="https://www.sec.gov/Archives/edgar/data/887359/000104746914008427/a2221856zdef14a.htm" TargetMode="External"/><Relationship Id="rId137" Type="http://schemas.openxmlformats.org/officeDocument/2006/relationships/hyperlink" Target="https://www.sec.gov/Archives/edgar/data/887359/000162828021003081/ex107vericellease64sidneys.htm" TargetMode="External"/><Relationship Id="rId138" Type="http://schemas.openxmlformats.org/officeDocument/2006/relationships/hyperlink" Target="https://www.sec.gov/ix?doc=/Archives/edgar/data/887359/000162828022012151/vcel-20220331.htm" TargetMode="External"/><Relationship Id="rId139" Type="http://schemas.openxmlformats.org/officeDocument/2006/relationships/hyperlink" Target="https://www.sec.gov/Archives/edgar/data/887359/000104746915002731/a2223905zdef14a.htm" TargetMode="External"/><Relationship Id="rId140" Type="http://schemas.openxmlformats.org/officeDocument/2006/relationships/hyperlink" Target="https://www.sec.gov/Archives/edgar/data/887359/000110465917057884/a17-22104_1ex10d1.htm" TargetMode="External"/><Relationship Id="rId141" Type="http://schemas.openxmlformats.org/officeDocument/2006/relationships/hyperlink" Target="https://www.sec.gov/Archives/edgar/data/887359/000162828018006239/ex101-amendedmatricelagree.htm" TargetMode="External"/><Relationship Id="rId143" Type="http://schemas.openxmlformats.org/officeDocument/2006/relationships/hyperlink" Target="https://www.sec.gov/Archives/edgar/data/887359/000104746917001792/a2231357zdef14a.htm" TargetMode="External"/><Relationship Id="rId144" Type="http://schemas.openxmlformats.org/officeDocument/2006/relationships/hyperlink" Target="https://www.sec.gov/Archives/edgar/data/887359/000162828019002007/ex1049formofisoagreement20.htm" TargetMode="External"/><Relationship Id="rId145" Type="http://schemas.openxmlformats.org/officeDocument/2006/relationships/hyperlink" Target="https://www.sec.gov/Archives/edgar/data/887359/000162828019002007/ex1050formofnonemployeeiso.htm" TargetMode="External"/><Relationship Id="rId147" Type="http://schemas.openxmlformats.org/officeDocument/2006/relationships/hyperlink" Target="https://www.sec.gov/Archives/edgar/data/887359/000162828019002007/ex1051formofrsuawardagreem.htm" TargetMode="External"/><Relationship Id="rId148" Type="http://schemas.openxmlformats.org/officeDocument/2006/relationships/hyperlink" Target="https://www.sec.gov/Archives/edgar/data/887359/000110465919026009/a19-9116_1ex10d1.htm" TargetMode="External"/><Relationship Id="rId150" Type="http://schemas.openxmlformats.org/officeDocument/2006/relationships/hyperlink" Target="https://www.sec.gov/Archives/edgar/data/887359/000162828022012151/a102-formofcurrentemployee.htm" TargetMode="External"/><Relationship Id="rId151" Type="http://schemas.openxmlformats.org/officeDocument/2006/relationships/hyperlink" Target="https://www.sec.gov/Archives/edgar/data/887359/000162828022012151/a103-formofnewhireincentiv.htm" TargetMode="External"/><Relationship Id="rId152" Type="http://schemas.openxmlformats.org/officeDocument/2006/relationships/hyperlink" Target="https://www.sec.gov/Archives/edgar/data/887359/000162828022012151/a104-formofnonxqualifiedst.htm" TargetMode="External"/><Relationship Id="rId153" Type="http://schemas.openxmlformats.org/officeDocument/2006/relationships/hyperlink" Target="https://www.sec.gov/Archives/edgar/data/887359/000110465922053666/tm2213824d1_ex10-1.htm" TargetMode="External"/><Relationship Id="rId154" Type="http://schemas.openxmlformats.org/officeDocument/2006/relationships/hyperlink" Target="https://www.sec.gov/Archives/edgar/data/887359/000162828023026596/ex101vericelcorporationdef.htm" TargetMode="External"/><Relationship Id="rId157" Type="http://schemas.openxmlformats.org/officeDocument/2006/relationships/hyperlink" Target="https://www.sec.gov/Archives/edgar/data/887359/000162828023026596/ex102vericelcorporation202.htm" TargetMode="External"/><Relationship Id="rId158" Type="http://schemas.openxmlformats.org/officeDocument/2006/relationships/hyperlink" Target="https://www.sec.gov/Archives/edgar/data/887359/000162828023037583/ex101formofnewhireincentiv.htm" TargetMode="External"/><Relationship Id="rId159" Type="http://schemas.openxmlformats.org/officeDocument/2006/relationships/hyperlink" Target="https://www.sec.gov/Archives/edgar/data/887359/000162828023037583/ex102formofcurrentemployee.htm" TargetMode="External"/><Relationship Id="rId160" Type="http://schemas.openxmlformats.org/officeDocument/2006/relationships/hyperlink" Target="https://www.sec.gov/Archives/edgar/data/887359/000162828023037583/ex103formofnon-qualifiedst.htm" TargetMode="External"/><Relationship Id="rId161" Type="http://schemas.openxmlformats.org/officeDocument/2006/relationships/hyperlink" Target="https://www.sec.gov/Archives/edgar/data/887359/000162828022020355/a109formofrestrictedstocku.htm" TargetMode="External"/><Relationship Id="rId162" Type="http://schemas.openxmlformats.org/officeDocument/2006/relationships/hyperlink" Target="https://www.sec.gov/Archives/edgar/data/887359/000162828019010077/ex109-mediwoundlicense.htm" TargetMode="External"/><Relationship Id="rId163" Type="http://schemas.openxmlformats.org/officeDocument/2006/relationships/hyperlink" Target="https://www.sec.gov/Archives/edgar/data/887359/000162828019010077/ex1010-mediwoundsupply.htm" TargetMode="External"/><Relationship Id="rId164" Type="http://schemas.openxmlformats.org/officeDocument/2006/relationships/hyperlink" Target="https://www.sec.gov/Archives/edgar/data/887359/000162828019010077/ex1012-1stamendmenttom.htm" TargetMode="External"/><Relationship Id="rId165" Type="http://schemas.openxmlformats.org/officeDocument/2006/relationships/hyperlink" Target="https://www.sec.gov/ix?doc=/Archives/edgar/data/887359/000110465921006897/tm213931d1_8k.htm" TargetMode="External"/><Relationship Id="rId166" Type="http://schemas.openxmlformats.org/officeDocument/2006/relationships/hyperlink" Target="https://www.sec.gov/Archives/edgar/data/887359/000162828021003081/ex1043vericel-xemploymenta.htm" TargetMode="External"/><Relationship Id="rId167" Type="http://schemas.openxmlformats.org/officeDocument/2006/relationships/hyperlink" Target="https://www.sec.gov/Archives/edgar/data/887359/000162828021003081/ex1044vericel-xemploymenta.htm" TargetMode="External"/><Relationship Id="rId168" Type="http://schemas.openxmlformats.org/officeDocument/2006/relationships/hyperlink" Target="https://www.sec.gov/Archives/edgar/data/887359/000162828022020355/a105-eightamendmenttothedi.htm" TargetMode="External"/><Relationship Id="rId169" Type="http://schemas.openxmlformats.org/officeDocument/2006/relationships/hyperlink" Target="https://www.sec.gov/Archives/edgar/data/887359/000162828022020355/a106-thirdamendmenttothedi.htm" TargetMode="External"/><Relationship Id="rId170" Type="http://schemas.openxmlformats.org/officeDocument/2006/relationships/hyperlink" Target="https://www.sec.gov/Archives/edgar/data/887359/000162828022029082/a1012-revolvingcredit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2024-02-29T08:13:09Z</dcterms:created>
  <dcterms:modified xsi:type="dcterms:W3CDTF">2024-02-29T08:13:09Z</dcterms:modified>
</cp:coreProperties>
</file>