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0001626325</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Vericel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001-35280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6"/>
              </w:rPr>
              <w:t>25 BLUE SKY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00" w:type="dxa"/>
            <w:vAlign w:val="bottom"/>
          </w:tcPr>
          <w:p>
            <w:pPr>
              <w:spacing w:after="0"/>
              <w:rPr>
                <w:sz w:val="21"/>
                <w:szCs w:val="21"/>
                <w:color w:val="auto"/>
              </w:rPr>
            </w:pPr>
          </w:p>
        </w:tc>
        <w:tc>
          <w:tcPr>
            <w:tcW w:w="330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BURLINGTON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00" w:type="dxa"/>
            <w:vAlign w:val="bottom"/>
          </w:tcPr>
          <w:p>
            <w:pPr>
              <w:spacing w:after="0"/>
              <w:rPr>
                <w:sz w:val="13"/>
                <w:szCs w:val="13"/>
                <w:color w:val="auto"/>
              </w:rPr>
            </w:pPr>
          </w:p>
        </w:tc>
        <w:tc>
          <w:tcPr>
            <w:tcW w:w="3300" w:type="dxa"/>
            <w:vAlign w:val="bottom"/>
            <w:vMerge w:val="restart"/>
          </w:tcPr>
          <w:p>
            <w:pPr>
              <w:ind w:left="128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01803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6175885555</w:t>
            </w:r>
          </w:p>
        </w:tc>
        <w:tc>
          <w:tcPr>
            <w:tcW w:w="0" w:type="dxa"/>
            <w:vAlign w:val="bottom"/>
          </w:tcPr>
          <w:p>
            <w:pPr>
              <w:spacing w:after="0"/>
              <w:rPr>
                <w:sz w:val="1"/>
                <w:szCs w:val="1"/>
                <w:color w:val="auto"/>
              </w:rPr>
            </w:pPr>
          </w:p>
        </w:tc>
      </w:tr>
      <w:tr>
        <w:trPr>
          <w:trHeight w:val="29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8"/>
              </w:rPr>
              <w:t>Hopper Jonathan Mark</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4375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153125.00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51068228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4375</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06/02/2026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02/06/2019</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Jonathan M. Hopper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64 Sidney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04/02/2026 3472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121520.00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05/30/2025</w:t>
      </w:r>
    </w:p>
    <w:p>
      <w:pPr>
        <w:spacing w:after="0" w:line="623" w:lineRule="exact"/>
        <w:rPr>
          <w:sz w:val="20"/>
          <w:szCs w:val="20"/>
          <w:color w:val="auto"/>
        </w:rPr>
      </w:pPr>
    </w:p>
    <w:p>
      <w:pPr>
        <w:sectPr>
          <w:pgSz w:w="11900" w:h="16838" w:orient="portrait"/>
          <w:cols w:equalWidth="0" w:num="2">
            <w:col w:w="3380" w:space="520"/>
            <w:col w:w="73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74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w:t>
            </w:r>
          </w:p>
        </w:tc>
        <w:tc>
          <w:tcPr>
            <w:tcW w:w="0" w:type="dxa"/>
            <w:vAlign w:val="bottom"/>
          </w:tcPr>
          <w:p>
            <w:pPr>
              <w:spacing w:after="0"/>
              <w:rPr>
                <w:sz w:val="1"/>
                <w:szCs w:val="1"/>
                <w:color w:val="auto"/>
              </w:rPr>
            </w:pPr>
          </w:p>
        </w:tc>
      </w:tr>
      <w:tr>
        <w:trPr>
          <w:trHeight w:val="161"/>
        </w:trPr>
        <w:tc>
          <w:tcPr>
            <w:tcW w:w="2360" w:type="dxa"/>
            <w:vAlign w:val="bottom"/>
            <w:vMerge w:val="continue"/>
          </w:tcPr>
          <w:p>
            <w:pPr>
              <w:spacing w:after="0"/>
              <w:rPr>
                <w:sz w:val="13"/>
                <w:szCs w:val="13"/>
                <w:color w:val="auto"/>
              </w:rPr>
            </w:pPr>
          </w:p>
        </w:tc>
        <w:tc>
          <w:tcPr>
            <w:tcW w:w="8740" w:type="dxa"/>
            <w:vAlign w:val="bottom"/>
            <w:vMerge w:val="restart"/>
          </w:tcPr>
          <w:p>
            <w:pPr>
              <w:ind w:left="1500"/>
              <w:spacing w:after="0"/>
              <w:rPr>
                <w:sz w:val="20"/>
                <w:szCs w:val="20"/>
                <w:color w:val="auto"/>
              </w:rPr>
            </w:pPr>
            <w:r>
              <w:rPr>
                <w:rFonts w:ascii="Times New Roman" w:cs="Times New Roman" w:eastAsia="Times New Roman" w:hAnsi="Times New Roman"/>
                <w:sz w:val="22"/>
                <w:szCs w:val="22"/>
                <w:color w:val="auto"/>
              </w:rPr>
              <w:t>Services LLC, as attorney-in-fact for Jonathan M. Hopper</w:t>
            </w: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2026-06-02T13:41:25Z</dcterms:created>
  <dcterms:modified xsi:type="dcterms:W3CDTF">2026-06-02T13:41:25Z</dcterms:modified>
</cp:coreProperties>
</file>