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0001801993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3"/>
        <w:gridCol w:w="3852"/>
      </w:tblGrid>
      <w:tr>
        <w:trPr/>
        <w:tc>
          <w:tcPr>
            <w:tcW w:w="6353" w:type="dxa"/>
            <w:tcBorders/>
            <w:vAlign w:val="center"/>
          </w:tcPr>
          <w:p>
            <w:pPr>
              <w:pStyle w:val="TableContents"/>
              <w:bidi w:val="0"/>
              <w:spacing w:before="0" w:after="283"/>
              <w:jc w:val="left"/>
              <w:rPr/>
            </w:pPr>
            <w:r>
              <w:rPr/>
              <w:t>Name of Issuer</w:t>
            </w:r>
          </w:p>
        </w:tc>
        <w:tc>
          <w:tcPr>
            <w:tcW w:w="3852" w:type="dxa"/>
            <w:tcBorders/>
            <w:vAlign w:val="center"/>
          </w:tcPr>
          <w:p>
            <w:pPr>
              <w:pStyle w:val="TableContents"/>
              <w:bidi w:val="0"/>
              <w:spacing w:before="0" w:after="0"/>
              <w:jc w:val="left"/>
              <w:rPr/>
            </w:pPr>
            <w:r>
              <w:rPr/>
              <w:t>Vericel Corp</w:t>
            </w:r>
          </w:p>
        </w:tc>
      </w:tr>
      <w:tr>
        <w:trPr/>
        <w:tc>
          <w:tcPr>
            <w:tcW w:w="6353" w:type="dxa"/>
            <w:tcBorders/>
            <w:vAlign w:val="center"/>
          </w:tcPr>
          <w:p>
            <w:pPr>
              <w:pStyle w:val="TableContents"/>
              <w:bidi w:val="0"/>
              <w:spacing w:before="0" w:after="283"/>
              <w:jc w:val="left"/>
              <w:rPr/>
            </w:pPr>
            <w:r>
              <w:rPr/>
              <w:t>SEC File Number</w:t>
            </w:r>
          </w:p>
        </w:tc>
        <w:tc>
          <w:tcPr>
            <w:tcW w:w="3852" w:type="dxa"/>
            <w:tcBorders/>
            <w:vAlign w:val="center"/>
          </w:tcPr>
          <w:p>
            <w:pPr>
              <w:pStyle w:val="TableContents"/>
              <w:bidi w:val="0"/>
              <w:spacing w:before="0" w:after="0"/>
              <w:jc w:val="left"/>
              <w:rPr/>
            </w:pPr>
            <w:r>
              <w:rPr/>
              <w:t>001-35280</w:t>
            </w:r>
          </w:p>
        </w:tc>
      </w:tr>
      <w:tr>
        <w:trPr/>
        <w:tc>
          <w:tcPr>
            <w:tcW w:w="6353" w:type="dxa"/>
            <w:tcBorders/>
            <w:vAlign w:val="center"/>
          </w:tcPr>
          <w:p>
            <w:pPr>
              <w:pStyle w:val="TableContents"/>
              <w:bidi w:val="0"/>
              <w:spacing w:before="0" w:after="283"/>
              <w:jc w:val="left"/>
              <w:rPr/>
            </w:pPr>
            <w:r>
              <w:rPr/>
              <w:t>Address of Issuer</w:t>
            </w:r>
          </w:p>
        </w:tc>
        <w:tc>
          <w:tcPr>
            <w:tcW w:w="3852" w:type="dxa"/>
            <w:tcBorders/>
            <w:vAlign w:val="center"/>
          </w:tcPr>
          <w:p>
            <w:pPr>
              <w:pStyle w:val="TableContents"/>
              <w:bidi w:val="0"/>
              <w:spacing w:before="0" w:after="0"/>
              <w:jc w:val="left"/>
              <w:rPr/>
            </w:pPr>
            <w:r>
              <w:rPr/>
              <w:t>25 BLUE SKY DRIVE</w:t>
              <w:br/>
              <w:t>BURLINGTON</w:t>
              <w:br/>
              <w:t xml:space="preserve">MASSACHUSETTS </w:t>
              <w:br/>
              <w:t>01803</w:t>
            </w:r>
          </w:p>
        </w:tc>
      </w:tr>
      <w:tr>
        <w:trPr/>
        <w:tc>
          <w:tcPr>
            <w:tcW w:w="6353" w:type="dxa"/>
            <w:tcBorders/>
            <w:vAlign w:val="center"/>
          </w:tcPr>
          <w:p>
            <w:pPr>
              <w:pStyle w:val="TableContents"/>
              <w:bidi w:val="0"/>
              <w:spacing w:before="0" w:after="283"/>
              <w:jc w:val="left"/>
              <w:rPr/>
            </w:pPr>
            <w:r>
              <w:rPr/>
              <w:t>Phone</w:t>
            </w:r>
          </w:p>
        </w:tc>
        <w:tc>
          <w:tcPr>
            <w:tcW w:w="3852" w:type="dxa"/>
            <w:tcBorders/>
            <w:vAlign w:val="center"/>
          </w:tcPr>
          <w:p>
            <w:pPr>
              <w:pStyle w:val="TableContents"/>
              <w:bidi w:val="0"/>
              <w:spacing w:before="0" w:after="0"/>
              <w:jc w:val="left"/>
              <w:rPr/>
            </w:pPr>
            <w:r>
              <w:rPr/>
              <w:t>6175885555</w:t>
            </w:r>
          </w:p>
        </w:tc>
      </w:tr>
      <w:tr>
        <w:trPr/>
        <w:tc>
          <w:tcPr>
            <w:tcW w:w="6353" w:type="dxa"/>
            <w:tcBorders/>
            <w:vAlign w:val="center"/>
          </w:tcPr>
          <w:p>
            <w:pPr>
              <w:pStyle w:val="TableContents"/>
              <w:bidi w:val="0"/>
              <w:spacing w:before="0" w:after="283"/>
              <w:jc w:val="left"/>
              <w:rPr/>
            </w:pPr>
            <w:r>
              <w:rPr/>
              <w:t>Name of Person for Whose Account the Securities are To Be Sold</w:t>
            </w:r>
          </w:p>
        </w:tc>
        <w:tc>
          <w:tcPr>
            <w:tcW w:w="3852" w:type="dxa"/>
            <w:tcBorders/>
            <w:vAlign w:val="center"/>
          </w:tcPr>
          <w:p>
            <w:pPr>
              <w:pStyle w:val="TableContents"/>
              <w:bidi w:val="0"/>
              <w:spacing w:before="0" w:after="0"/>
              <w:jc w:val="left"/>
              <w:rPr/>
            </w:pPr>
            <w:r>
              <w:rPr/>
              <w:t>Flynn Sean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3" w:type="dxa"/>
            <w:tcBorders/>
            <w:vAlign w:val="center"/>
          </w:tcPr>
          <w:p>
            <w:pPr>
              <w:pStyle w:val="TableContents"/>
              <w:bidi w:val="0"/>
              <w:spacing w:before="0" w:after="283"/>
              <w:jc w:val="left"/>
              <w:rPr/>
            </w:pPr>
            <w:r>
              <w:rPr/>
              <w:t>Relationship to Issuer</w:t>
            </w:r>
          </w:p>
        </w:tc>
        <w:tc>
          <w:tcPr>
            <w:tcW w:w="38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15000</w:t>
            </w:r>
          </w:p>
        </w:tc>
        <w:tc>
          <w:tcPr>
            <w:tcW w:w="1377" w:type="dxa"/>
            <w:tcBorders/>
            <w:vAlign w:val="center"/>
          </w:tcPr>
          <w:p>
            <w:pPr>
              <w:pStyle w:val="TableContents"/>
              <w:bidi w:val="0"/>
              <w:spacing w:before="0" w:after="283"/>
              <w:jc w:val="left"/>
              <w:rPr/>
            </w:pPr>
            <w:r>
              <w:rPr/>
              <w:t>603148.23</w:t>
            </w:r>
          </w:p>
        </w:tc>
        <w:tc>
          <w:tcPr>
            <w:tcW w:w="1552" w:type="dxa"/>
            <w:tcBorders/>
            <w:vAlign w:val="center"/>
          </w:tcPr>
          <w:p>
            <w:pPr>
              <w:pStyle w:val="TableContents"/>
              <w:bidi w:val="0"/>
              <w:spacing w:before="0" w:after="283"/>
              <w:jc w:val="left"/>
              <w:rPr/>
            </w:pPr>
            <w:r>
              <w:rPr/>
              <w:t>51068228</w:t>
            </w:r>
          </w:p>
        </w:tc>
        <w:tc>
          <w:tcPr>
            <w:tcW w:w="1567" w:type="dxa"/>
            <w:tcBorders/>
            <w:vAlign w:val="center"/>
          </w:tcPr>
          <w:p>
            <w:pPr>
              <w:pStyle w:val="TableContents"/>
              <w:bidi w:val="0"/>
              <w:spacing w:before="0" w:after="283"/>
              <w:jc w:val="left"/>
              <w:rPr/>
            </w:pPr>
            <w:r>
              <w:rPr/>
              <w:t>06/18/2026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06/18/2026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06/18/2026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 Joshua Schmitt, as a duly authorized representative of Fidelity Brokerage Services LLC, as attorney-in-fact for Sean C. Flynn.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3033</Characters>
  <CharactersWithSpaces>3576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