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1228725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jc w:val="center"/>
        <w:ind w:left="5400" w:right="220" w:hanging="5177"/>
        <w:spacing w:after="0" w:line="235" w:lineRule="auto"/>
        <w:tabs>
          <w:tab w:leader="none" w:pos="52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2021</w:t>
      </w:r>
    </w:p>
    <w:p>
      <w:pPr>
        <w:jc w:val="center"/>
        <w:ind w:right="-19"/>
        <w:spacing w:after="0" w:line="188" w:lineRule="auto"/>
        <w:rPr>
          <w:sz w:val="20"/>
          <w:szCs w:val="20"/>
          <w:color w:val="auto"/>
        </w:rPr>
      </w:pPr>
      <w:r>
        <w:rPr>
          <w:rFonts w:ascii="Arial" w:cs="Arial" w:eastAsia="Arial" w:hAnsi="Arial"/>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Arial" w:cs="Arial" w:eastAsia="Arial" w:hAnsi="Arial"/>
          <w:sz w:val="22"/>
          <w:szCs w:val="22"/>
          <w:b w:val="1"/>
          <w:bCs w:val="1"/>
          <w:color w:val="auto"/>
        </w:rPr>
        <w:t>1934</w:t>
      </w:r>
    </w:p>
    <w:p>
      <w:pPr>
        <w:jc w:val="center"/>
        <w:ind w:left="340"/>
        <w:spacing w:after="0"/>
        <w:rPr>
          <w:sz w:val="20"/>
          <w:szCs w:val="20"/>
          <w:color w:val="auto"/>
        </w:rPr>
      </w:pPr>
      <w:r>
        <w:rPr>
          <w:rFonts w:ascii="Arial" w:cs="Arial" w:eastAsia="Arial" w:hAnsi="Arial"/>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6"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Michigan</w:t>
      </w:r>
    </w:p>
    <w:p>
      <w:pPr>
        <w:spacing w:after="0" w:line="32" w:lineRule="exact"/>
        <w:rPr>
          <w:sz w:val="24"/>
          <w:szCs w:val="24"/>
          <w:color w:val="auto"/>
        </w:rPr>
      </w:pPr>
    </w:p>
    <w:p>
      <w:pPr>
        <w:jc w:val="center"/>
        <w:ind w:right="14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94-3096597</w:t>
      </w:r>
    </w:p>
    <w:p>
      <w:pPr>
        <w:spacing w:after="0" w:line="32"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40" w:right="339" w:bottom="1440" w:gutter="0" w:footer="0" w:header="0"/>
          <w:type w:val="continuous"/>
        </w:sectPr>
      </w:pP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 Sidney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109220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4120" w:type="dxa"/>
            <w:vAlign w:val="bottom"/>
          </w:tcPr>
          <w:p>
            <w:pPr>
              <w:jc w:val="center"/>
              <w:ind w:left="222"/>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3700" w:type="dxa"/>
            <w:vAlign w:val="bottom"/>
          </w:tcPr>
          <w:p>
            <w:pPr>
              <w:spacing w:after="0"/>
              <w:rPr>
                <w:sz w:val="15"/>
                <w:szCs w:val="15"/>
                <w:color w:val="auto"/>
              </w:rPr>
            </w:pPr>
          </w:p>
        </w:tc>
      </w:tr>
      <w:tr>
        <w:trPr>
          <w:trHeight w:val="306"/>
        </w:trPr>
        <w:tc>
          <w:tcPr>
            <w:tcW w:w="3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2"/>
              </w:rPr>
              <w:t>Title of Class</w:t>
            </w:r>
          </w:p>
        </w:tc>
        <w:tc>
          <w:tcPr>
            <w:tcW w:w="412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Arial" w:cs="Arial" w:eastAsia="Arial" w:hAnsi="Arial"/>
                <w:sz w:val="16"/>
                <w:szCs w:val="16"/>
                <w:color w:val="auto"/>
                <w:w w:val="92"/>
              </w:rPr>
              <w:t>Common Stock (No par value)</w:t>
            </w:r>
          </w:p>
        </w:tc>
        <w:tc>
          <w:tcPr>
            <w:tcW w:w="4120" w:type="dxa"/>
            <w:vAlign w:val="bottom"/>
          </w:tcPr>
          <w:p>
            <w:pPr>
              <w:jc w:val="center"/>
              <w:ind w:left="182"/>
              <w:spacing w:after="0"/>
              <w:rPr>
                <w:sz w:val="20"/>
                <w:szCs w:val="20"/>
                <w:color w:val="auto"/>
              </w:rPr>
            </w:pPr>
            <w:r>
              <w:rPr>
                <w:rFonts w:ascii="Arial" w:cs="Arial" w:eastAsia="Arial" w:hAnsi="Arial"/>
                <w:sz w:val="16"/>
                <w:szCs w:val="16"/>
                <w:color w:val="auto"/>
              </w:rPr>
              <w:t>VCEL</w:t>
            </w:r>
          </w:p>
        </w:tc>
        <w:tc>
          <w:tcPr>
            <w:tcW w:w="37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388" w:lineRule="exact"/>
        <w:rPr>
          <w:sz w:val="24"/>
          <w:szCs w:val="24"/>
          <w:color w:val="auto"/>
        </w:rPr>
      </w:pPr>
    </w:p>
    <w:p>
      <w:pPr>
        <w:jc w:val="both"/>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ind w:right="80" w:firstLine="324"/>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95" w:lineRule="exact"/>
        <w:rPr>
          <w:sz w:val="24"/>
          <w:szCs w:val="24"/>
          <w:color w:val="auto"/>
        </w:rPr>
      </w:pPr>
    </w:p>
    <w:p>
      <w:pPr>
        <w:ind w:right="8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880" w:type="dxa"/>
        <w:tblCellMar>
          <w:top w:w="0" w:type="dxa"/>
          <w:left w:w="0" w:type="dxa"/>
          <w:bottom w:w="0" w:type="dxa"/>
          <w:right w:w="0" w:type="dxa"/>
        </w:tblCellMar>
      </w:tblPr>
      <w:tr>
        <w:trPr>
          <w:trHeight w:val="189"/>
        </w:trPr>
        <w:tc>
          <w:tcPr>
            <w:tcW w:w="2120" w:type="dxa"/>
            <w:vAlign w:val="bottom"/>
          </w:tcPr>
          <w:p>
            <w:pPr>
              <w:jc w:val="center"/>
              <w:ind w:right="748"/>
              <w:spacing w:after="0"/>
              <w:rPr>
                <w:sz w:val="20"/>
                <w:szCs w:val="20"/>
                <w:color w:val="auto"/>
              </w:rPr>
            </w:pPr>
            <w:r>
              <w:rPr>
                <w:rFonts w:ascii="Arial" w:cs="Arial" w:eastAsia="Arial" w:hAnsi="Arial"/>
                <w:sz w:val="14"/>
                <w:szCs w:val="14"/>
                <w:color w:val="auto"/>
                <w:w w:val="93"/>
              </w:rPr>
              <w:t>Large 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jc w:val="center"/>
              <w:spacing w:after="0"/>
              <w:rPr>
                <w:sz w:val="20"/>
                <w:szCs w:val="20"/>
                <w:color w:val="auto"/>
              </w:rPr>
            </w:pPr>
            <w:r>
              <w:rPr>
                <w:rFonts w:ascii="Arial" w:cs="Arial" w:eastAsia="Arial" w:hAnsi="Arial"/>
                <w:sz w:val="14"/>
                <w:szCs w:val="14"/>
                <w:color w:val="auto"/>
                <w:w w:val="97"/>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20" w:type="dxa"/>
            <w:vAlign w:val="bottom"/>
          </w:tcPr>
          <w:p>
            <w:pPr>
              <w:jc w:val="center"/>
              <w:ind w:right="748"/>
              <w:spacing w:after="0"/>
              <w:rPr>
                <w:sz w:val="20"/>
                <w:szCs w:val="20"/>
                <w:color w:val="auto"/>
              </w:rPr>
            </w:pPr>
            <w:r>
              <w:rPr>
                <w:rFonts w:ascii="Arial" w:cs="Arial" w:eastAsia="Arial" w:hAnsi="Arial"/>
                <w:sz w:val="14"/>
                <w:szCs w:val="14"/>
                <w:color w:val="auto"/>
                <w:w w:val="94"/>
              </w:rPr>
              <w:t>Non-accelerated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4"/>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26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3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30, 2021, 46,355,625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3"/>
          </w:tcPr>
          <w:p>
            <w:pPr>
              <w:spacing w:after="0" w:line="190" w:lineRule="exact"/>
              <w:rPr>
                <w:sz w:val="20"/>
                <w:szCs w:val="20"/>
                <w:color w:val="auto"/>
              </w:rPr>
            </w:pPr>
            <w:r>
              <w:rPr>
                <w:rFonts w:ascii="Arial" w:cs="Arial" w:eastAsia="Arial" w:hAnsi="Arial"/>
                <w:sz w:val="18"/>
                <w:szCs w:val="18"/>
                <w:color w:val="auto"/>
              </w:rPr>
              <w:t>Item 1.</w:t>
            </w:r>
          </w:p>
        </w:tc>
        <w:tc>
          <w:tcPr>
            <w:tcW w:w="2480" w:type="dxa"/>
            <w:vAlign w:val="bottom"/>
            <w:tcBorders>
              <w:bottom w:val="single" w:sz="8" w:color="0000FF"/>
            </w:tcBorders>
            <w:gridSpan w:val="7"/>
          </w:tcPr>
          <w:p>
            <w:pPr>
              <w:spacing w:after="0" w:line="190" w:lineRule="exact"/>
              <w:rPr>
                <w:sz w:val="20"/>
                <w:szCs w:val="20"/>
                <w:color w:val="auto"/>
              </w:rPr>
            </w:pPr>
            <w:r>
              <w:rPr>
                <w:rFonts w:ascii="Arial" w:cs="Arial" w:eastAsia="Arial" w:hAnsi="Arial"/>
                <w:sz w:val="18"/>
                <w:szCs w:val="18"/>
                <w:color w:val="0000FF"/>
                <w:w w:val="90"/>
              </w:rPr>
              <w:t>Financial Statements (Unaudited):</w:t>
            </w:r>
          </w:p>
        </w:tc>
        <w:tc>
          <w:tcPr>
            <w:tcW w:w="6760" w:type="dxa"/>
            <w:vAlign w:val="bottom"/>
            <w:gridSpan w:val="9"/>
          </w:tcPr>
          <w:p>
            <w:pPr>
              <w:spacing w:after="0"/>
              <w:rPr>
                <w:sz w:val="16"/>
                <w:szCs w:val="16"/>
                <w:color w:val="auto"/>
              </w:rPr>
            </w:pPr>
          </w:p>
        </w:tc>
        <w:tc>
          <w:tcPr>
            <w:tcW w:w="6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2021 and December 31, 2020</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months ended March 31, 2021 and 2020</w:t>
              </w:r>
            </w:hyperlink>
          </w:p>
        </w:tc>
        <w:tc>
          <w:tcPr>
            <w:tcW w:w="1700" w:type="dxa"/>
            <w:vAlign w:val="bottom"/>
            <w:gridSpan w:val="4"/>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Comprehensive Loss for the three months ended March 31, 2021 and 2020</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Shareholders' Equity from December 31, 2020 to March 31, 2021 and from December</w:t>
              </w:r>
            </w:hyperlink>
          </w:p>
        </w:tc>
        <w:tc>
          <w:tcPr>
            <w:tcW w:w="60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31, 2019 to March 31, 2020</w:t>
              </w:r>
            </w:hyperlink>
          </w:p>
        </w:tc>
        <w:tc>
          <w:tcPr>
            <w:tcW w:w="7060" w:type="dxa"/>
            <w:vAlign w:val="bottom"/>
            <w:tcBorders>
              <w:top w:val="single" w:sz="8" w:color="0000FF"/>
            </w:tcBorders>
            <w:gridSpan w:val="10"/>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for the three months ended March 31, 2021 and 2020</w:t>
              </w:r>
            </w:hyperlink>
          </w:p>
        </w:tc>
        <w:tc>
          <w:tcPr>
            <w:tcW w:w="164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2780" w:type="dxa"/>
            <w:vAlign w:val="bottom"/>
            <w:gridSpan w:val="5"/>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Controls and Procedures</w:t>
              </w:r>
            </w:hyperlink>
          </w:p>
        </w:tc>
        <w:tc>
          <w:tcPr>
            <w:tcW w:w="2580" w:type="dxa"/>
            <w:vAlign w:val="bottom"/>
            <w:gridSpan w:val="5"/>
          </w:tcPr>
          <w:p>
            <w:pPr>
              <w:spacing w:after="0"/>
              <w:rPr>
                <w:sz w:val="24"/>
                <w:szCs w:val="24"/>
                <w:color w:val="auto"/>
              </w:rPr>
            </w:pPr>
          </w:p>
        </w:tc>
        <w:tc>
          <w:tcPr>
            <w:tcW w:w="4880" w:type="dxa"/>
            <w:vAlign w:val="bottom"/>
            <w:gridSpan w:val="7"/>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3"/>
          </w:tcPr>
          <w:p>
            <w:pPr>
              <w:spacing w:after="0" w:line="190" w:lineRule="exact"/>
              <w:rPr>
                <w:sz w:val="20"/>
                <w:szCs w:val="20"/>
                <w:color w:val="auto"/>
              </w:rPr>
            </w:pPr>
            <w:r>
              <w:rPr>
                <w:rFonts w:ascii="Arial" w:cs="Arial" w:eastAsia="Arial" w:hAnsi="Arial"/>
                <w:sz w:val="18"/>
                <w:szCs w:val="18"/>
                <w:color w:val="auto"/>
              </w:rPr>
              <w:t>Item 1.</w:t>
            </w:r>
          </w:p>
        </w:tc>
        <w:tc>
          <w:tcPr>
            <w:tcW w:w="9240" w:type="dxa"/>
            <w:vAlign w:val="bottom"/>
            <w:gridSpan w:val="16"/>
          </w:tcPr>
          <w:p>
            <w:pPr>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700" w:type="dxa"/>
            <w:vAlign w:val="bottom"/>
            <w:gridSpan w:val="3"/>
          </w:tcPr>
          <w:p>
            <w:pPr>
              <w:jc w:val="right"/>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2"/>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Risk Factors</w:t>
              </w:r>
            </w:hyperlink>
          </w:p>
        </w:tc>
        <w:tc>
          <w:tcPr>
            <w:tcW w:w="400" w:type="dxa"/>
            <w:vAlign w:val="bottom"/>
          </w:tcPr>
          <w:p>
            <w:pPr>
              <w:spacing w:after="0"/>
              <w:rPr>
                <w:sz w:val="24"/>
                <w:szCs w:val="24"/>
                <w:color w:val="auto"/>
              </w:rPr>
            </w:pPr>
          </w:p>
        </w:tc>
        <w:tc>
          <w:tcPr>
            <w:tcW w:w="7920" w:type="dxa"/>
            <w:vAlign w:val="bottom"/>
            <w:gridSpan w:val="13"/>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Unregistered Sales of Equity Securities and Use of Proceeds</w:t>
              </w:r>
            </w:hyperlink>
          </w:p>
        </w:tc>
        <w:tc>
          <w:tcPr>
            <w:tcW w:w="4880" w:type="dxa"/>
            <w:vAlign w:val="bottom"/>
            <w:gridSpan w:val="7"/>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40" w:type="dxa"/>
            <w:vAlign w:val="bottom"/>
            <w:gridSpan w:val="6"/>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Defaults Upon Senior Securities</w:t>
              </w:r>
            </w:hyperlink>
          </w:p>
        </w:tc>
        <w:tc>
          <w:tcPr>
            <w:tcW w:w="2020" w:type="dxa"/>
            <w:vAlign w:val="bottom"/>
            <w:gridSpan w:val="3"/>
          </w:tcPr>
          <w:p>
            <w:pPr>
              <w:spacing w:after="0"/>
              <w:rPr>
                <w:sz w:val="24"/>
                <w:szCs w:val="24"/>
                <w:color w:val="auto"/>
              </w:rPr>
            </w:pPr>
          </w:p>
        </w:tc>
        <w:tc>
          <w:tcPr>
            <w:tcW w:w="4880" w:type="dxa"/>
            <w:vAlign w:val="bottom"/>
            <w:gridSpan w:val="7"/>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Mine Safety Disclosures</w:t>
              </w:r>
            </w:hyperlink>
          </w:p>
        </w:tc>
        <w:tc>
          <w:tcPr>
            <w:tcW w:w="560" w:type="dxa"/>
            <w:vAlign w:val="bottom"/>
            <w:gridSpan w:val="2"/>
          </w:tcPr>
          <w:p>
            <w:pPr>
              <w:spacing w:after="0"/>
              <w:rPr>
                <w:sz w:val="24"/>
                <w:szCs w:val="24"/>
                <w:color w:val="auto"/>
              </w:rPr>
            </w:pPr>
          </w:p>
        </w:tc>
        <w:tc>
          <w:tcPr>
            <w:tcW w:w="6900" w:type="dxa"/>
            <w:vAlign w:val="bottom"/>
            <w:gridSpan w:val="10"/>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8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7460" w:type="dxa"/>
            <w:vAlign w:val="bottom"/>
            <w:gridSpan w:val="12"/>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sz w:val="20"/>
                <w:szCs w:val="20"/>
                <w:color w:val="auto"/>
              </w:rPr>
            </w:pPr>
            <w:r>
              <w:rPr>
                <w:rFonts w:ascii="Arial" w:cs="Arial" w:eastAsia="Arial" w:hAnsi="Arial"/>
                <w:sz w:val="18"/>
                <w:szCs w:val="18"/>
                <w:color w:val="0000FF"/>
              </w:rPr>
              <w:t>Exhibits</w:t>
            </w:r>
          </w:p>
        </w:tc>
        <w:tc>
          <w:tcPr>
            <w:tcW w:w="7920" w:type="dxa"/>
            <w:vAlign w:val="bottom"/>
            <w:gridSpan w:val="13"/>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w w:val="95"/>
              </w:rPr>
              <w:t>Exhibit Index</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00" w:type="dxa"/>
            <w:vAlign w:val="bottom"/>
            <w:gridSpan w:val="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8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amounts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33,620</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42,187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for doubtful accounts of $121 and $143, respectively)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 no par value; shares authorized — 75,000; shares issued and outstanding 46,225 and 45,804,</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519,360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510,061</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(375,815)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134,260</w:t>
            </w: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26,678</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26,678</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w:t>
            </w: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tax provision</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provision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common shareholders (Basic and diluted)</w:t>
            </w:r>
          </w:p>
        </w:tc>
        <w:tc>
          <w:tcPr>
            <w:tcW w:w="860" w:type="dxa"/>
            <w:vAlign w:val="bottom"/>
            <w:tcBorders>
              <w:bottom w:val="single" w:sz="8" w:color="auto"/>
            </w:tcBorders>
          </w:tcPr>
          <w:p>
            <w:pPr>
              <w:jc w:val="right"/>
              <w:ind w:right="657"/>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8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(4,705)</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(3,350)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(4,664)</w:t>
            </w:r>
          </w:p>
        </w:tc>
      </w:tr>
      <w:tr>
        <w:trPr>
          <w:trHeight w:val="21"/>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61"/>
              <w:spacing w:after="0" w:line="11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center"/>
              <w:ind w:right="280"/>
              <w:spacing w:after="0" w:line="115"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1"/>
              <w:spacing w:after="0" w:line="115" w:lineRule="exact"/>
              <w:rPr>
                <w:sz w:val="20"/>
                <w:szCs w:val="20"/>
                <w:color w:val="auto"/>
              </w:rPr>
            </w:pPr>
            <w:r>
              <w:rPr>
                <w:rFonts w:ascii="Arial" w:cs="Arial" w:eastAsia="Arial" w:hAnsi="Arial"/>
                <w:sz w:val="13"/>
                <w:szCs w:val="13"/>
                <w:b w:val="1"/>
                <w:bCs w:val="1"/>
                <w:color w:val="auto"/>
                <w:w w:val="97"/>
              </w:rPr>
              <w:t>Shareholders'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45,804</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510,061</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(375,815)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(3,289)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5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4"/>
              </w:rPr>
              <w:t>Compensation expense related to stock options and restricted stock</w:t>
            </w:r>
          </w:p>
        </w:tc>
        <w:tc>
          <w:tcPr>
            <w:tcW w:w="12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7,019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units granted, net of forfeitures</w:t>
            </w:r>
          </w:p>
        </w:tc>
        <w:tc>
          <w:tcPr>
            <w:tcW w:w="1280" w:type="dxa"/>
            <w:vAlign w:val="bottom"/>
            <w:gridSpan w:val="4"/>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6"/>
                <w:szCs w:val="16"/>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6"/>
                <w:szCs w:val="16"/>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withheld for employee tax remittance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Unrealized loss on investments</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519,360</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(379,104)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8"/>
          </w:tcPr>
          <w:p>
            <w:pPr>
              <w:ind w:left="720"/>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44,864</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489,749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(378,679)</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111,091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2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Compensation expense related to stock options and restricted stock</w:t>
            </w:r>
          </w:p>
        </w:tc>
        <w:tc>
          <w:tcPr>
            <w:tcW w:w="12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units granted, net of forfeitures</w:t>
            </w:r>
          </w:p>
        </w:tc>
        <w:tc>
          <w:tcPr>
            <w:tcW w:w="1280" w:type="dxa"/>
            <w:vAlign w:val="bottom"/>
            <w:gridSpan w:val="4"/>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3"/>
          </w:tcPr>
          <w:p>
            <w:pPr>
              <w:ind w:left="20"/>
              <w:spacing w:after="0"/>
              <w:rPr>
                <w:sz w:val="20"/>
                <w:szCs w:val="20"/>
                <w:color w:val="auto"/>
              </w:rPr>
            </w:pPr>
            <w:r>
              <w:rPr>
                <w:rFonts w:ascii="Arial" w:cs="Arial" w:eastAsia="Arial" w:hAnsi="Arial"/>
                <w:sz w:val="16"/>
                <w:szCs w:val="16"/>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gridSpan w:val="3"/>
          </w:tcPr>
          <w:p>
            <w:pPr>
              <w:ind w:left="20"/>
              <w:spacing w:after="0"/>
              <w:rPr>
                <w:sz w:val="20"/>
                <w:szCs w:val="20"/>
                <w:color w:val="auto"/>
              </w:rPr>
            </w:pPr>
            <w:r>
              <w:rPr>
                <w:rFonts w:ascii="Arial" w:cs="Arial" w:eastAsia="Arial" w:hAnsi="Arial"/>
                <w:sz w:val="16"/>
                <w:szCs w:val="16"/>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Restricted stock withheld for employee tax remittance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Unrealized gain on investments</w:t>
            </w: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493,774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(383,384)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amounts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Foreign currency translation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fixed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cost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826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7,997</w:t>
            </w:r>
          </w:p>
        </w:tc>
      </w:tr>
      <w:tr>
        <w:trPr>
          <w:trHeight w:val="230"/>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826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employee's behalf for taxes related to vesting of restricted stock units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18,734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45,712</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(autologous cultured chondrocytes on porcine collagen membrane)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(cultured epidermal autografts).</w:t>
      </w:r>
    </w:p>
    <w:p>
      <w:pPr>
        <w:spacing w:after="0" w:line="11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(concentrate of proteolytic enzymes enriched in bromelain), a registration-stage biological orphan product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pandemic caused by the spread of a novel strain of coronavirus (COVID-19) has created significant disruptions to the U.S. and global economy and has contributed to significant volatility in financial markets. The global impact of the outbreak is continually evolving and many state, local and national governments – including those in Massachusetts and Michigan, where the Company's operations are located – have responded at times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19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Notwithstanding being an essential business, the Company’s business and operations were, at times, adversely impacted by the effects of COVID-19 during 2020. At the urging of the American College of Surgeons and the United States Surgeon General, hospitals, health systems and surgeons minimized, postponed, or canceled electively scheduled surgeries during the initial wave of the pandemic in the spring of 2020. These recommendations were followed by numerous state level executive orders either restricting or partially restricting elective surgeries. Because MACI is an elective surgical procedure, as a result of these restrictions the Company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approved and are being widely distributed in the United States, the risk remains that regional or local restrictions could again be placed on the performance of elective surgical procedures if the number of COVID-19 infections in the United States were to rise again, or if new COVID-19 variants emerge which render current vaccine treatments ineffective. Because Epicel is used almost exclusively in the emergent setting by burn centers and surgeons throughout the country, Epicel revenue and procedure volumes have been less affected by the pandemic.</w:t>
      </w:r>
    </w:p>
    <w:p>
      <w:pPr>
        <w:spacing w:after="0" w:line="21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At the outset of the pandemic, the Company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the Company’s facilities, encouraging the use of virtual employee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meetings, modifying the manner and schedule of on-site production activities, and providing guidance to our field-based commercial teams concerning their communications and contact with customers and healthcare professionals.</w:t>
      </w:r>
    </w:p>
    <w:p>
      <w:pPr>
        <w:spacing w:after="0" w:line="1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Company is reviewing these measures regularly as the pandemic evolves and may take additional actions to the extent required. Depending on the pandemic’s trajectory in the coming months, it may take additional actions to the extent required, or it may ease certain protective measures to the extent available data and state and local rules permit.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22222"/>
        </w:rPr>
        <w:t>Going Concern</w:t>
      </w:r>
    </w:p>
    <w:p>
      <w:pPr>
        <w:spacing w:after="0" w:line="20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Arial" w:cs="Arial" w:eastAsia="Arial" w:hAnsi="Arial"/>
          <w:sz w:val="17"/>
          <w:szCs w:val="17"/>
          <w:color w:val="000000"/>
        </w:rPr>
        <w:t xml:space="preserve">March 31, 2021, the Company had an accumulated deficit of </w:t>
      </w:r>
      <w:r>
        <w:rPr>
          <w:rFonts w:ascii="Arial" w:cs="Arial" w:eastAsia="Arial" w:hAnsi="Arial"/>
          <w:sz w:val="17"/>
          <w:szCs w:val="17"/>
          <w:color w:val="222222"/>
        </w:rPr>
        <w:t>$379.1 million,</w:t>
      </w:r>
      <w:r>
        <w:rPr>
          <w:rFonts w:ascii="Arial" w:cs="Arial" w:eastAsia="Arial" w:hAnsi="Arial"/>
          <w:sz w:val="17"/>
          <w:szCs w:val="17"/>
          <w:color w:val="000000"/>
        </w:rPr>
        <w:t xml:space="preserve"> and had a </w:t>
      </w:r>
      <w:r>
        <w:rPr>
          <w:rFonts w:ascii="Arial" w:cs="Arial" w:eastAsia="Arial" w:hAnsi="Arial"/>
          <w:sz w:val="17"/>
          <w:szCs w:val="17"/>
          <w:color w:val="222222"/>
        </w:rPr>
        <w:t>net loss of $3.3 million during the</w:t>
      </w:r>
      <w:r>
        <w:rPr>
          <w:rFonts w:ascii="Arial" w:cs="Arial" w:eastAsia="Arial" w:hAnsi="Arial"/>
          <w:sz w:val="17"/>
          <w:szCs w:val="17"/>
          <w:color w:val="000000"/>
        </w:rPr>
        <w:t xml:space="preserve"> three months ended </w:t>
      </w:r>
      <w:r>
        <w:rPr>
          <w:rFonts w:ascii="Arial" w:cs="Arial" w:eastAsia="Arial" w:hAnsi="Arial"/>
          <w:sz w:val="17"/>
          <w:szCs w:val="17"/>
          <w:color w:val="222222"/>
        </w:rPr>
        <w:t>March 31,</w:t>
      </w:r>
      <w:r>
        <w:rPr>
          <w:rFonts w:ascii="Arial" w:cs="Arial" w:eastAsia="Arial" w:hAnsi="Arial"/>
          <w:sz w:val="17"/>
          <w:szCs w:val="17"/>
          <w:color w:val="000000"/>
        </w:rPr>
        <w:t xml:space="preserve"> </w:t>
      </w:r>
      <w:r>
        <w:rPr>
          <w:rFonts w:ascii="Arial" w:cs="Arial" w:eastAsia="Arial" w:hAnsi="Arial"/>
          <w:sz w:val="17"/>
          <w:szCs w:val="17"/>
          <w:color w:val="222222"/>
        </w:rPr>
        <w:t>2021. The Company had cash and cash equivalents of $58.2 million and investments of $51.4 million as of March 31, 2021. The Company expects that cash from the sales of our products and existing cash, cash equivalents and investments will be sufficient to support the Company’s current operations through at least 12 months from the issuance of these Condensed Consolidated Financial Statements. To the extent the United States experiences a resurgence in COVID-19 infections and elective surgery restrictions are reinstated on a widespread basis and significantly impact the Company’s business, the Company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7"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as of March 31, 2021 and for the three months ended March 31, 2021 are unaudited and have been prepared in accordance with the rules and regulations of the U.S. Securities and Exchange Commission (SEC). The preparation of </w:t>
      </w:r>
      <w:r>
        <w:rPr>
          <w:rFonts w:ascii="Arial" w:cs="Arial" w:eastAsia="Arial" w:hAnsi="Arial"/>
          <w:sz w:val="16"/>
          <w:szCs w:val="16"/>
          <w:color w:val="222222"/>
        </w:rPr>
        <w:t xml:space="preserve">Condensed Consolidated Financial Statements </w:t>
      </w:r>
      <w:r>
        <w:rPr>
          <w:rFonts w:ascii="Arial" w:cs="Arial" w:eastAsia="Arial" w:hAnsi="Arial"/>
          <w:sz w:val="16"/>
          <w:szCs w:val="16"/>
          <w:color w:val="000000"/>
        </w:rPr>
        <w:t>in conformity with U.S. generally accepted accounting principles (GAAP) requires management to make</w:t>
      </w:r>
      <w:r>
        <w:rPr>
          <w:rFonts w:ascii="Arial" w:cs="Arial" w:eastAsia="Arial" w:hAnsi="Arial"/>
          <w:sz w:val="16"/>
          <w:szCs w:val="16"/>
          <w:color w:val="222222"/>
        </w:rPr>
        <w:t xml:space="preserve"> </w:t>
      </w:r>
      <w:r>
        <w:rPr>
          <w:rFonts w:ascii="Arial" w:cs="Arial" w:eastAsia="Arial" w:hAnsi="Arial"/>
          <w:sz w:val="16"/>
          <w:szCs w:val="16"/>
          <w:color w:val="000000"/>
        </w:rPr>
        <w:t>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our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continue to contain or treat COVID-19, as well as the economic impact on our customers. The Company has made estimates of the impact of COVID-19 within our financial statements and there may be changes to those estimates in future periods. Actual results may differ from these estimates. As of March 31, 2021, the Company has not recorded impairments to investments, inventory, other current assets or long-lived assets as a result of the COVID-19 pandemic and does not expect material impairments in the future.</w:t>
      </w:r>
    </w:p>
    <w:p>
      <w:pPr>
        <w:spacing w:after="0" w:line="17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 xml:space="preserve">These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should be read in conjunction with the audited consolidated financial statements and the notes thereto included in our Annual Report on Form 10-K for the year ended December 31, 2020, as filed with the SEC on February 24, 2021 (Annual Report).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three months ended March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19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Supplementary Cash Flows information: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Non-cash information: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 and lease liability recognized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Additions to property and equipment included in accounts payable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shares held for employee tax remittance included in accounts payable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Cash information: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(net of interest capitalized)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533"/>
        </w:trPr>
        <w:tc>
          <w:tcPr>
            <w:tcW w:w="8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19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Reconciliation of cash, cash equivalents, and restricted cash reported in the statement of financial position: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58,154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45,623</w:t>
            </w: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45,712</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80" w:right="7600" w:hanging="172"/>
        <w:spacing w:after="0" w:line="601" w:lineRule="auto"/>
        <w:tabs>
          <w:tab w:leader="none" w:pos="19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Simplifying the Accounting for Income Taxes</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 (ASC 740).</w:t>
      </w:r>
      <w:r>
        <w:rPr>
          <w:rFonts w:ascii="Arial" w:cs="Arial" w:eastAsia="Arial" w:hAnsi="Arial"/>
          <w:sz w:val="17"/>
          <w:szCs w:val="17"/>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 on January 1, 2021 and had no material impact on its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biopsy kits, MACI implants, Epicel grafts and other sources following the five-step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Biopsy Kits</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i w:val="1"/>
          <w:iCs w:val="1"/>
          <w:color w:val="auto"/>
        </w:rPr>
        <w:t>MACI Implants</w:t>
      </w:r>
    </w:p>
    <w:p>
      <w:pPr>
        <w:spacing w:after="0" w:line="171" w:lineRule="exact"/>
        <w:rPr>
          <w:sz w:val="20"/>
          <w:szCs w:val="20"/>
          <w:color w:val="auto"/>
        </w:rPr>
      </w:pPr>
    </w:p>
    <w:p>
      <w:pPr>
        <w:jc w:val="both"/>
        <w:ind w:firstLine="202"/>
        <w:spacing w:after="0" w:line="273"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third-party to provide services in connection with a patient support program to manage patient cases and to ensure complete and correct billing information is provided to the insurers and hospitals. In addition, the Company also sells MACI directly to DMS Pharmaceutical (DMS) for military patients. The sales directly to DMS are made at a contracted rate.</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based on a percentage of published rates.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The total allowance for uncollectible consideration as of March 31, 2021 and December 31, 2020 was $6.1 million and $5.3 million, respectively. Changes to the estimate of the amount of consideration that will not be collected could have a material impact to the revenue recognized. A 0.5% change to the estimated uncollectible percentage could result in approximately a $0.2 million increase or decrease in the revenue recognized for the three months ended March 31, 2021.</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Changes in estimates of the transaction price are recorded through revenue in the period in which such change occurs. During the three months ended March 31, 2021 and March 31, 2020, changes in estimates related to prior period sales resulted in an increase to revenue of $0.5 million and $1.2 million, respectively. The changes in estimates recorded during the three months ended March 31, 2021 and March 31, 2020, were primarily due to completion of the billing claims process for implants that occurred in 2020 or prior. Upon completion of the billing claims process, the Company concluded that it was probable that a significant reversal in the amount of revenue recognized would not occur.</w:t>
      </w:r>
    </w:p>
    <w:p>
      <w:pPr>
        <w:spacing w:after="0" w:line="21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Additionally, potential credit risk exposure has been evaluated for the Company’s accounts receivable in accordance with </w:t>
      </w:r>
      <w:r>
        <w:rPr>
          <w:rFonts w:ascii="Arial" w:cs="Arial" w:eastAsia="Arial" w:hAnsi="Arial"/>
          <w:sz w:val="18"/>
          <w:szCs w:val="18"/>
          <w:i w:val="1"/>
          <w:iCs w:val="1"/>
          <w:color w:val="auto"/>
        </w:rPr>
        <w:t>ASC 326,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w:t>
      </w:r>
      <w:r>
        <w:rPr>
          <w:rFonts w:ascii="Arial" w:cs="Arial" w:eastAsia="Arial" w:hAnsi="Arial"/>
          <w:sz w:val="18"/>
          <w:szCs w:val="18"/>
          <w:color w:val="auto"/>
        </w:rPr>
        <w:t>The loss percentage is calculated by pooling account receivables containing similar risk characteristics and 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collectability forecasts which are derived from current and historical economic and financial information. The loss percentage calculated was applied to accounts receivables as of March 31, 2021 and December 31, 2020. The allowance related to the potential impacts of COVID-19 on accounts receivable from third-party insurers, government payers, hospitals and patients as of December 31, 2020 included less than $0.1 million, and no additional allowance was recorded during the three months ended March 31, 2021.</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Epicel</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i w:val="1"/>
          <w:iCs w:val="1"/>
          <w:color w:val="auto"/>
        </w:rPr>
        <w:t>NexoBrid</w:t>
      </w:r>
    </w:p>
    <w:p>
      <w:pPr>
        <w:spacing w:after="0" w:line="1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entered into exclusive license and supply agreements with MediWound, under which MediWound will manufacture and supply NexoBrid on a unit price basis, which may be increased pursuant to the terms of the agreement. The U.S. Biomedical Advanced Research and Development Authority (BARDA) committed to procure NexoBrid directly from MediWound, under an emergency use authorization. As a result, during 2020, BARDA accepted the first shipments of NexoBrid, per the agreement between BARDA and MediWound. The Company recognizes revenue based on a percentage of gross profits for sales of NexoBrid to BARDA upon delivery, at which time BARDA is in control of the product. As of March 31, 2021, the Company did not take title to the product or hold a direct contract or distribution agreement with BARDA. During the three months ended March 31, 2021, the Company recognized $0.9 million of revenue. No revenue related to the procurement by BARDA was recognized for the three months ended March 31, 2020. See note 11 for further information.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MACI implants and kits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Implants based on contracted rate sold through a specialty pharmacy (a)</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13,206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11,338</w:t>
            </w: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Implants subject to third party reimbursement sold through a specialty pharmacy (b)</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Implants sold direct based on contracted rates (c)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Implants sold direct subject to third party reimbursement (d)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Biopsy kits - direct bill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estimates related to prior periods (e)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Epicel</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 bill (hospital)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 product revenue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26,678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NexoBrid revenue (f)</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Total net revenue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26,678</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054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82" w:lineRule="exact"/>
        <w:rPr>
          <w:sz w:val="20"/>
          <w:szCs w:val="20"/>
          <w:color w:val="auto"/>
        </w:rPr>
      </w:pPr>
    </w:p>
    <w:p>
      <w:pPr>
        <w:ind w:left="20" w:right="160" w:firstLine="6"/>
        <w:spacing w:after="0" w:line="258" w:lineRule="auto"/>
        <w:tabs>
          <w:tab w:leader="none" w:pos="298"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46" w:lineRule="exact"/>
        <w:rPr>
          <w:rFonts w:ascii="Arial" w:cs="Arial" w:eastAsia="Arial" w:hAnsi="Arial"/>
          <w:sz w:val="17"/>
          <w:szCs w:val="17"/>
          <w:color w:val="auto"/>
        </w:rPr>
      </w:pPr>
    </w:p>
    <w:p>
      <w:pPr>
        <w:ind w:left="20" w:right="140" w:firstLine="6"/>
        <w:spacing w:after="0" w:line="235" w:lineRule="auto"/>
        <w:tabs>
          <w:tab w:leader="none" w:pos="281"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161" w:lineRule="exact"/>
        <w:rPr>
          <w:rFonts w:ascii="Arial" w:cs="Arial" w:eastAsia="Arial" w:hAnsi="Arial"/>
          <w:sz w:val="18"/>
          <w:szCs w:val="18"/>
          <w:color w:val="auto"/>
        </w:rPr>
      </w:pPr>
    </w:p>
    <w:p>
      <w:pPr>
        <w:ind w:left="20" w:right="140" w:firstLine="6"/>
        <w:spacing w:after="0" w:line="235"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Also represents direct sales under a contract to the specialty distributor DMS.</w:t>
      </w:r>
    </w:p>
    <w:p>
      <w:pPr>
        <w:spacing w:after="0" w:line="161" w:lineRule="exact"/>
        <w:rPr>
          <w:rFonts w:ascii="Arial" w:cs="Arial" w:eastAsia="Arial" w:hAnsi="Arial"/>
          <w:sz w:val="18"/>
          <w:szCs w:val="18"/>
          <w:color w:val="auto"/>
        </w:rPr>
      </w:pPr>
    </w:p>
    <w:p>
      <w:pPr>
        <w:ind w:left="20" w:right="140" w:firstLine="6"/>
        <w:spacing w:after="0" w:line="235" w:lineRule="auto"/>
        <w:tabs>
          <w:tab w:leader="none" w:pos="28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61" w:lineRule="exact"/>
        <w:rPr>
          <w:rFonts w:ascii="Arial" w:cs="Arial" w:eastAsia="Arial" w:hAnsi="Arial"/>
          <w:sz w:val="18"/>
          <w:szCs w:val="18"/>
          <w:color w:val="auto"/>
        </w:rPr>
      </w:pPr>
    </w:p>
    <w:p>
      <w:pPr>
        <w:jc w:val="both"/>
        <w:ind w:left="20" w:right="140" w:firstLine="6"/>
        <w:spacing w:after="0" w:line="237" w:lineRule="auto"/>
        <w:tabs>
          <w:tab w:leader="none" w:pos="269"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or actual cash collections received in the current period.</w:t>
      </w:r>
    </w:p>
    <w:p>
      <w:pPr>
        <w:spacing w:after="0" w:line="149" w:lineRule="exact"/>
        <w:rPr>
          <w:rFonts w:ascii="Arial" w:cs="Arial" w:eastAsia="Arial" w:hAnsi="Arial"/>
          <w:sz w:val="17"/>
          <w:szCs w:val="17"/>
          <w:color w:val="auto"/>
        </w:rPr>
      </w:pPr>
    </w:p>
    <w:p>
      <w:pPr>
        <w:ind w:left="20" w:right="140" w:firstLine="6"/>
        <w:spacing w:after="0" w:line="235" w:lineRule="auto"/>
        <w:tabs>
          <w:tab w:leader="none" w:pos="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revenue based on a percentage of gross profits for sales of NexoBrid to BARDA, pursuant to the license agreement between the Company and MediWound.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3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The Company's total Epicel revenue concentration from a customer for the three months ended March 31, 2021 was 14% and 12% for the same period in 2020. For the Company's total MACI revenue, and MACI and Epicel accounts receivable balances there were no customers for the three months ended March 31, 2021 or March 31, 2020, with a concentration greater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March 31, 2021 and December 31, 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as of March 31, 2021 and December 31, 2020:</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Financing right-of-use lease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three months ended March 31, 2021 was $0.8 million and $0.5 million for the same period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March 31, 2021 and December 31, 2020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30"/>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Employee related accruals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2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23"/>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11,293</w:t>
            </w:r>
          </w:p>
        </w:tc>
      </w:tr>
      <w:tr>
        <w:trPr>
          <w:trHeight w:val="21"/>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Leases</w:t>
      </w:r>
    </w:p>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present value of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right-of-use assets and liabilities, on a discounted basis on the balance sheet. Effective October 21, 2020 the Company entered into an agreement with one of its Cambridge, Massachusetts facility leases. The agreement extended the terms of the lease to expire on February 29, 2032, with monthly contractual lease payments ranging from $0.4 million to $0.6 million. The agreement also provides a tenant improvement allowance of approximately $4.3 million, available through December 31, 2023.</w:t>
      </w:r>
    </w:p>
    <w:p>
      <w:pPr>
        <w:spacing w:after="0" w:line="19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Leases with an initial term of 12 months or less are not recorded on the balance sheet. During the three months ended March 31, 2021 and 2020, lease expense of less than </w:t>
      </w:r>
      <w:r>
        <w:rPr>
          <w:rFonts w:ascii="Arial" w:cs="Arial" w:eastAsia="Arial" w:hAnsi="Arial"/>
          <w:sz w:val="17"/>
          <w:szCs w:val="17"/>
          <w:color w:val="222222"/>
        </w:rPr>
        <w:t>$0.1 million</w:t>
      </w:r>
      <w:r>
        <w:rPr>
          <w:rFonts w:ascii="Arial" w:cs="Arial" w:eastAsia="Arial" w:hAnsi="Arial"/>
          <w:sz w:val="17"/>
          <w:szCs w:val="17"/>
          <w:color w:val="auto"/>
        </w:rPr>
        <w:t xml:space="preserve"> was recorded related to short-term leases. During the three months ended March 31, 2021, the Company recorded </w:t>
      </w:r>
      <w:r>
        <w:rPr>
          <w:rFonts w:ascii="Arial" w:cs="Arial" w:eastAsia="Arial" w:hAnsi="Arial"/>
          <w:sz w:val="17"/>
          <w:szCs w:val="17"/>
          <w:color w:val="222222"/>
        </w:rPr>
        <w:t>$0.2</w:t>
      </w:r>
      <w:r>
        <w:rPr>
          <w:rFonts w:ascii="Arial" w:cs="Arial" w:eastAsia="Arial" w:hAnsi="Arial"/>
          <w:sz w:val="17"/>
          <w:szCs w:val="17"/>
          <w:color w:val="auto"/>
        </w:rPr>
        <w:t xml:space="preserve"> </w:t>
      </w:r>
      <w:r>
        <w:rPr>
          <w:rFonts w:ascii="Arial" w:cs="Arial" w:eastAsia="Arial" w:hAnsi="Arial"/>
          <w:sz w:val="17"/>
          <w:szCs w:val="17"/>
          <w:color w:val="222222"/>
        </w:rPr>
        <w:t xml:space="preserve">million </w:t>
      </w:r>
      <w:r>
        <w:rPr>
          <w:rFonts w:ascii="Arial" w:cs="Arial" w:eastAsia="Arial" w:hAnsi="Arial"/>
          <w:sz w:val="17"/>
          <w:szCs w:val="17"/>
          <w:color w:val="000000"/>
        </w:rPr>
        <w:t>of leasehold improvements funded by tenant improvement allowances available under the lease agreements. The</w:t>
      </w:r>
      <w:r>
        <w:rPr>
          <w:rFonts w:ascii="Arial" w:cs="Arial" w:eastAsia="Arial" w:hAnsi="Arial"/>
          <w:sz w:val="17"/>
          <w:szCs w:val="17"/>
          <w:color w:val="222222"/>
        </w:rPr>
        <w:t xml:space="preserve"> contribution toward the cost of tenant improvements is recorded as a reduction of the operating lease assets. For the </w:t>
      </w:r>
      <w:r>
        <w:rPr>
          <w:rFonts w:ascii="Arial" w:cs="Arial" w:eastAsia="Arial" w:hAnsi="Arial"/>
          <w:sz w:val="17"/>
          <w:szCs w:val="17"/>
          <w:color w:val="000000"/>
        </w:rPr>
        <w:t>three months ended March 31, 2021</w:t>
      </w:r>
      <w:r>
        <w:rPr>
          <w:rFonts w:ascii="Arial" w:cs="Arial" w:eastAsia="Arial" w:hAnsi="Arial"/>
          <w:sz w:val="17"/>
          <w:szCs w:val="17"/>
          <w:color w:val="222222"/>
        </w:rPr>
        <w:t xml:space="preserve">, the Company recognized $1.9 million of operating lease expense and $1.4 million for the same period in 2020. During the </w:t>
      </w:r>
      <w:r>
        <w:rPr>
          <w:rFonts w:ascii="Arial" w:cs="Arial" w:eastAsia="Arial" w:hAnsi="Arial"/>
          <w:sz w:val="17"/>
          <w:szCs w:val="17"/>
          <w:color w:val="000000"/>
        </w:rPr>
        <w:t>three months ended March 31, 2021 and 2020, the Company</w:t>
      </w:r>
      <w:r>
        <w:rPr>
          <w:rFonts w:ascii="Arial" w:cs="Arial" w:eastAsia="Arial" w:hAnsi="Arial"/>
          <w:sz w:val="17"/>
          <w:szCs w:val="17"/>
          <w:color w:val="222222"/>
        </w:rPr>
        <w:t xml:space="preserve"> </w:t>
      </w:r>
      <w:r>
        <w:rPr>
          <w:rFonts w:ascii="Arial" w:cs="Arial" w:eastAsia="Arial" w:hAnsi="Arial"/>
          <w:sz w:val="17"/>
          <w:szCs w:val="17"/>
          <w:color w:val="000000"/>
        </w:rPr>
        <w:t xml:space="preserve">recognized </w:t>
      </w:r>
      <w:r>
        <w:rPr>
          <w:rFonts w:ascii="Arial" w:cs="Arial" w:eastAsia="Arial" w:hAnsi="Arial"/>
          <w:sz w:val="17"/>
          <w:szCs w:val="17"/>
          <w:color w:val="222222"/>
        </w:rPr>
        <w:t>less than $0.1 million of financing lease expense. The</w:t>
      </w:r>
      <w:r>
        <w:rPr>
          <w:rFonts w:ascii="Arial" w:cs="Arial" w:eastAsia="Arial" w:hAnsi="Arial"/>
          <w:sz w:val="17"/>
          <w:szCs w:val="17"/>
          <w:color w:val="000000"/>
        </w:rPr>
        <w:t xml:space="preserve"> Company’s leases contain non-lease components and activities that do not transfer a good or service to the Company. The Company elected not to combine lease and non-lease components and therefore non-lease costs were not included in the net lease assets or lease liabilities.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leased assets and liabilities classified on the balance sheet, as of March 31, 2021 and December 31, 2020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2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6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Finance</w:t>
            </w:r>
          </w:p>
        </w:tc>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20" w:type="dxa"/>
            <w:vAlign w:val="bottom"/>
            <w:gridSpan w:val="2"/>
            <w:vMerge w:val="continue"/>
          </w:tcPr>
          <w:p>
            <w:pPr>
              <w:spacing w:after="0"/>
              <w:rPr>
                <w:sz w:val="15"/>
                <w:szCs w:val="15"/>
                <w:color w:val="auto"/>
              </w:rPr>
            </w:pPr>
          </w:p>
        </w:tc>
        <w:tc>
          <w:tcPr>
            <w:tcW w:w="6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Current</w:t>
            </w:r>
          </w:p>
        </w:tc>
        <w:tc>
          <w:tcPr>
            <w:tcW w:w="6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i w:val="1"/>
                <w:iCs w:val="1"/>
                <w:color w:val="auto"/>
              </w:rPr>
              <w:t>Non-current</w:t>
            </w:r>
          </w:p>
        </w:tc>
        <w:tc>
          <w:tcPr>
            <w:tcW w:w="6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47,968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48,865</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Options granted to employees and non-employees under these plans expire no later than ten years from the date of grant. Options and restricted stock units generally become exercisable or vest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5" w:name="page16"/>
    <w:bookmarkEnd w:id="15"/>
    <w:p>
      <w:pPr>
        <w:jc w:val="both"/>
        <w:ind w:firstLine="243"/>
        <w:spacing w:after="0" w:line="293" w:lineRule="auto"/>
        <w:rPr>
          <w:sz w:val="20"/>
          <w:szCs w:val="20"/>
          <w:color w:val="auto"/>
        </w:rPr>
      </w:pPr>
      <w:r>
        <w:rPr>
          <w:rFonts w:ascii="Arial" w:cs="Arial" w:eastAsia="Arial" w:hAnsi="Arial"/>
          <w:sz w:val="16"/>
          <w:szCs w:val="16"/>
          <w:color w:val="auto"/>
        </w:rPr>
        <w:t>The Amended and Restated 2019 Omnibus Incentive Plan (2019 Plan) was approved on April 29, 2020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of the 2019 Plan. However, the expiration or forfeiture of options previously granted under the Prior Plans will increase the number of shares available for issuance under the 2019 Plan.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there were 2,942,648 shares available for future grant under the 2019 Plan.</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The ESPP allows for the issuance of an aggregate of 1,000,000 shares of common stock of which 720,228 shares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options at the grant date, which corresponds to the first day of each purchase period and is amortized over the purchase period. In April 2021, employees purchased 11,776 shares resulting in proceeds from the sale of common stock of $0.3 million under the ESPP for the first quarter of 2021.</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2021 and 2020, the Company granted service-based options to purchase common stock of 1,337,955 and 1,186,140, respectively. The exercise price of the options is the fair market value per share of common stock on the grant date, and the options generally vest over four years (other than non-employee director options which vest over one year) and have a term of ten years. The Company issues new shares upon the exercise of stock options. The weighted average grant-date fair value of service-based options granted during the three months ended March 31, 2021 and 2020 was $32.02 and $8.64, respectively.</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three months ended March 31, 2021 and 2020, the Company granted 214,113 and 186,136 service-based restricted stock units, respectively.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units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three months ended March 31, 2021 was $50.81, and $11.24 for the same period in 2020. The aggregate fair value of restricted stock units granted in the three months ended March 31, 2021 and 2020 was $10.9 million and $2.1 million, respectively.</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2021 and 2020, 47,857 and 22,340 shares, respectively of common stock were issued upon the vesting of restricted stock units. These amounts are net of 28,240 and 13,872 shares, respectively that were withheld for payment of taxes on the behalf of employees. For the three months ended March 31, 2021 and 2020 the total fair value of restricted stock awards vested was $4.1 million and $0.4 million, respectively. The total fair value of restricted stock units withheld for payment of taxes during the three months ended March 31, 2021 and 2020 was $1.5 million and $0.2 million, respectively.</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product sales, research and development expenses and selling, general and administrative expenses is summarized in the following table: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Total non-cash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 and Investments</w:t>
      </w:r>
    </w:p>
    <w:p>
      <w:pPr>
        <w:spacing w:after="0" w:line="24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 xml:space="preserve">Marketable debt securities held by the Company are classified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and carried at fair value in the accompanying condensed consolidated balance sheets on a settlement date basis. The following tables summarize the gross unrealized gains and losses of the Company’s marketable securities as of March 31, 2021 and December 31,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gridSpan w:val="5"/>
          </w:tcPr>
          <w:p>
            <w:pPr>
              <w:ind w:left="580"/>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900" w:type="dxa"/>
            <w:vAlign w:val="bottom"/>
            <w:gridSpan w:val="5"/>
          </w:tcPr>
          <w:p>
            <w:pPr>
              <w:ind w:left="42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ind w:left="281"/>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Credit Losses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29"/>
        </w:trPr>
        <w:tc>
          <w:tcPr>
            <w:tcW w:w="366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Borders>
              <w:top w:val="single" w:sz="8" w:color="auto"/>
            </w:tcBorders>
            <w:shd w:val="clear" w:color="auto" w:fill="BFE4FF"/>
          </w:tcPr>
          <w:p>
            <w:pPr>
              <w:jc w:val="right"/>
              <w:ind w:right="236"/>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BFE4FF"/>
          </w:tcPr>
          <w:p>
            <w:pPr>
              <w:spacing w:after="0"/>
              <w:rPr>
                <w:sz w:val="19"/>
                <w:szCs w:val="19"/>
                <w:color w:val="auto"/>
              </w:rPr>
            </w:pPr>
          </w:p>
        </w:tc>
        <w:tc>
          <w:tcPr>
            <w:tcW w:w="12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Borders>
              <w:top w:val="single" w:sz="8" w:color="BFE4FF"/>
            </w:tcBorders>
            <w:shd w:val="clear" w:color="auto" w:fill="BFE4FF"/>
          </w:tcPr>
          <w:p>
            <w:pPr>
              <w:spacing w:after="0"/>
              <w:rPr>
                <w:sz w:val="19"/>
                <w:szCs w:val="19"/>
                <w:color w:val="auto"/>
              </w:rPr>
            </w:pPr>
          </w:p>
        </w:tc>
        <w:tc>
          <w:tcPr>
            <w:tcW w:w="20" w:type="dxa"/>
            <w:vAlign w:val="bottom"/>
            <w:tcBorders>
              <w:top w:val="single" w:sz="8" w:color="BFE4FF"/>
            </w:tcBorders>
            <w:shd w:val="clear" w:color="auto" w:fill="BFE4FF"/>
          </w:tcPr>
          <w:p>
            <w:pPr>
              <w:spacing w:after="0"/>
              <w:rPr>
                <w:sz w:val="19"/>
                <w:szCs w:val="19"/>
                <w:color w:val="auto"/>
              </w:rPr>
            </w:pPr>
          </w:p>
        </w:tc>
        <w:tc>
          <w:tcPr>
            <w:tcW w:w="280" w:type="dxa"/>
            <w:vAlign w:val="bottom"/>
            <w:tcBorders>
              <w:top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BFE4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tcBorders>
            <w:shd w:val="clear" w:color="auto" w:fill="BFE4FF"/>
          </w:tcPr>
          <w:p>
            <w:pPr>
              <w:spacing w:after="0"/>
              <w:rPr>
                <w:sz w:val="19"/>
                <w:szCs w:val="19"/>
                <w:color w:val="auto"/>
              </w:rPr>
            </w:pPr>
          </w:p>
        </w:tc>
        <w:tc>
          <w:tcPr>
            <w:tcW w:w="40" w:type="dxa"/>
            <w:vAlign w:val="bottom"/>
            <w:tcBorders>
              <w:top w:val="single" w:sz="8" w:color="BFE4FF"/>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ind w:right="78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BFE4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BFE4FF"/>
            </w:tcBorders>
            <w:shd w:val="clear" w:color="auto" w:fill="BFE4FF"/>
          </w:tcPr>
          <w:p>
            <w:pPr>
              <w:spacing w:after="0"/>
              <w:rPr>
                <w:sz w:val="19"/>
                <w:szCs w:val="19"/>
                <w:color w:val="auto"/>
              </w:rPr>
            </w:pPr>
          </w:p>
        </w:tc>
        <w:tc>
          <w:tcPr>
            <w:tcW w:w="80" w:type="dxa"/>
            <w:vAlign w:val="bottom"/>
            <w:tcBorders>
              <w:top w:val="single" w:sz="8" w:color="BFE4FF"/>
            </w:tcBorders>
            <w:shd w:val="clear" w:color="auto" w:fill="BFE4FF"/>
          </w:tcPr>
          <w:p>
            <w:pPr>
              <w:spacing w:after="0"/>
              <w:rPr>
                <w:sz w:val="19"/>
                <w:szCs w:val="19"/>
                <w:color w:val="auto"/>
              </w:rPr>
            </w:pPr>
          </w:p>
        </w:tc>
        <w:tc>
          <w:tcPr>
            <w:tcW w:w="46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29"/>
        </w:trPr>
        <w:tc>
          <w:tcPr>
            <w:tcW w:w="3660" w:type="dxa"/>
            <w:vAlign w:val="bottom"/>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4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40,082</w:t>
            </w: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380" w:type="dxa"/>
            <w:vAlign w:val="bottom"/>
            <w:gridSpan w:val="2"/>
            <w:shd w:val="clear" w:color="auto" w:fill="BFE4FF"/>
          </w:tcPr>
          <w:p>
            <w:pPr>
              <w:jc w:val="center"/>
              <w:spacing w:after="0"/>
              <w:rPr>
                <w:sz w:val="20"/>
                <w:szCs w:val="20"/>
                <w:color w:val="auto"/>
              </w:rPr>
            </w:pPr>
            <w:r>
              <w:rPr>
                <w:rFonts w:ascii="Arial" w:cs="Arial" w:eastAsia="Arial" w:hAnsi="Arial"/>
                <w:sz w:val="18"/>
                <w:szCs w:val="18"/>
                <w:color w:val="auto"/>
                <w:w w:val="93"/>
              </w:rPr>
              <w:t>(47)</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240" w:type="dxa"/>
            <w:vAlign w:val="bottom"/>
            <w:gridSpan w:val="3"/>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40,035</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Arial" w:cs="Arial" w:eastAsia="Arial" w:hAnsi="Arial"/>
                <w:sz w:val="18"/>
                <w:szCs w:val="18"/>
                <w:color w:val="auto"/>
              </w:rPr>
              <w:t>U.S. government agency bonds</w:t>
            </w:r>
          </w:p>
        </w:tc>
        <w:tc>
          <w:tcPr>
            <w:tcW w:w="4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380" w:type="dxa"/>
            <w:vAlign w:val="bottom"/>
            <w:gridSpan w:val="2"/>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240" w:type="dxa"/>
            <w:vAlign w:val="bottom"/>
            <w:gridSpan w:val="3"/>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8"/>
        </w:trPr>
        <w:tc>
          <w:tcPr>
            <w:tcW w:w="3660" w:type="dxa"/>
            <w:vAlign w:val="bottom"/>
            <w:tcBorders>
              <w:top w:val="single" w:sz="8" w:color="BFE4FF"/>
              <w:bottom w:val="single" w:sz="8" w:color="BFE4FF"/>
            </w:tcBorders>
            <w:shd w:val="clear" w:color="auto" w:fill="BFE4FF"/>
          </w:tcPr>
          <w:p>
            <w:pPr>
              <w:spacing w:after="0"/>
              <w:rPr>
                <w:sz w:val="21"/>
                <w:szCs w:val="21"/>
                <w:color w:val="auto"/>
              </w:rPr>
            </w:pPr>
          </w:p>
        </w:tc>
        <w:tc>
          <w:tcPr>
            <w:tcW w:w="440" w:type="dxa"/>
            <w:vAlign w:val="bottom"/>
            <w:tcBorders>
              <w:top w:val="single" w:sz="8" w:color="auto"/>
              <w:bottom w:val="single" w:sz="8" w:color="auto"/>
            </w:tcBorders>
            <w:shd w:val="clear" w:color="auto" w:fill="BFE4FF"/>
          </w:tcPr>
          <w:p>
            <w:pPr>
              <w:jc w:val="right"/>
              <w:ind w:right="236"/>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BFE4FF"/>
          </w:tcPr>
          <w:p>
            <w:pPr>
              <w:spacing w:after="0"/>
              <w:rPr>
                <w:sz w:val="21"/>
                <w:szCs w:val="21"/>
                <w:color w:val="auto"/>
              </w:rPr>
            </w:pPr>
          </w:p>
        </w:tc>
        <w:tc>
          <w:tcPr>
            <w:tcW w:w="1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70,067</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BFE4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40" w:type="dxa"/>
            <w:vAlign w:val="bottom"/>
            <w:tcBorders>
              <w:top w:val="single" w:sz="8" w:color="BFE4FF"/>
              <w:bottom w:val="single" w:sz="8" w:color="BFE4FF"/>
            </w:tcBorders>
            <w:shd w:val="clear" w:color="auto" w:fill="BFE4FF"/>
          </w:tcPr>
          <w:p>
            <w:pPr>
              <w:spacing w:after="0"/>
              <w:rPr>
                <w:sz w:val="21"/>
                <w:szCs w:val="21"/>
                <w:color w:val="auto"/>
              </w:rPr>
            </w:pPr>
          </w:p>
        </w:tc>
        <w:tc>
          <w:tcPr>
            <w:tcW w:w="960" w:type="dxa"/>
            <w:vAlign w:val="bottom"/>
            <w:tcBorders>
              <w:top w:val="single" w:sz="8" w:color="auto"/>
              <w:bottom w:val="single" w:sz="8" w:color="auto"/>
            </w:tcBorders>
            <w:shd w:val="clear" w:color="auto" w:fill="BFE4FF"/>
          </w:tcPr>
          <w:p>
            <w:pPr>
              <w:jc w:val="right"/>
              <w:ind w:right="78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2"/>
            <w:shd w:val="clear" w:color="auto" w:fill="BFE4FF"/>
          </w:tcPr>
          <w:p>
            <w:pPr>
              <w:jc w:val="center"/>
              <w:spacing w:after="0"/>
              <w:rPr>
                <w:sz w:val="20"/>
                <w:szCs w:val="20"/>
                <w:color w:val="auto"/>
              </w:rPr>
            </w:pPr>
            <w:r>
              <w:rPr>
                <w:rFonts w:ascii="Arial" w:cs="Arial" w:eastAsia="Arial" w:hAnsi="Arial"/>
                <w:sz w:val="18"/>
                <w:szCs w:val="18"/>
                <w:color w:val="auto"/>
                <w:w w:val="93"/>
              </w:rPr>
              <w:t>(47)</w:t>
            </w: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4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BFE4FF"/>
              <w:bottom w:val="single" w:sz="8" w:color="BFE4FF"/>
            </w:tcBorders>
            <w:shd w:val="clear" w:color="auto" w:fill="BFE4FF"/>
          </w:tcPr>
          <w:p>
            <w:pPr>
              <w:spacing w:after="0"/>
              <w:rPr>
                <w:sz w:val="21"/>
                <w:szCs w:val="21"/>
                <w:color w:val="auto"/>
              </w:rPr>
            </w:pP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460" w:type="dxa"/>
            <w:vAlign w:val="bottom"/>
            <w:tcBorders>
              <w:top w:val="single" w:sz="8" w:color="auto"/>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70,020</w:t>
            </w:r>
          </w:p>
        </w:tc>
        <w:tc>
          <w:tcPr>
            <w:tcW w:w="0" w:type="dxa"/>
            <w:vAlign w:val="bottom"/>
          </w:tcPr>
          <w:p>
            <w:pPr>
              <w:spacing w:after="0"/>
              <w:rPr>
                <w:sz w:val="1"/>
                <w:szCs w:val="1"/>
                <w:color w:val="auto"/>
              </w:rPr>
            </w:pPr>
          </w:p>
        </w:tc>
      </w:tr>
      <w:tr>
        <w:trPr>
          <w:trHeight w:val="20"/>
        </w:trPr>
        <w:tc>
          <w:tcPr>
            <w:tcW w:w="366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Classified as:</w:t>
            </w: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equivalents</w:t>
            </w:r>
          </w:p>
        </w:tc>
        <w:tc>
          <w:tcPr>
            <w:tcW w:w="4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6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18,597</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25,402</w:t>
            </w: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Arial" w:cs="Arial" w:eastAsia="Arial" w:hAnsi="Arial"/>
                <w:sz w:val="18"/>
                <w:szCs w:val="18"/>
                <w:color w:val="auto"/>
              </w:rPr>
              <w:t>Long-term investments</w:t>
            </w:r>
          </w:p>
        </w:tc>
        <w:tc>
          <w:tcPr>
            <w:tcW w:w="4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26,021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gridSpan w:val="5"/>
          </w:tcPr>
          <w:p>
            <w:pPr>
              <w:ind w:left="560"/>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Credit Losses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Classified as:</w:t>
            </w: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42,187</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Investments classified as short-term have maturities of less than one year. Investments classified as long-term are those which: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March 31, 2021 and December 31, 2020, all marketable securities held by the Company had remaining contractual maturities of three years or less.</w:t>
      </w:r>
    </w:p>
    <w:p>
      <w:pPr>
        <w:spacing w:after="0" w:line="2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Unrealized gains are included as a component of accumulated other comprehensive income in the condensed consolidated balance sheets and statements of stockholders’ equity and a component of total comprehensive income (loss) in the condensed consolidated statements of comprehensive loss, until realized. Unrealized losses are evaluated for impairment under </w:t>
      </w:r>
      <w:r>
        <w:rPr>
          <w:rFonts w:ascii="Arial" w:cs="Arial" w:eastAsia="Arial" w:hAnsi="Arial"/>
          <w:sz w:val="18"/>
          <w:szCs w:val="18"/>
          <w:i w:val="1"/>
          <w:iCs w:val="1"/>
          <w:color w:val="auto"/>
        </w:rPr>
        <w:t>ASC 326, Financial Instruments - Credit Losses</w:t>
      </w:r>
      <w:r>
        <w:rPr>
          <w:rFonts w:ascii="Arial" w:cs="Arial" w:eastAsia="Arial" w:hAnsi="Arial"/>
          <w:sz w:val="18"/>
          <w:szCs w:val="18"/>
          <w:color w:val="auto"/>
        </w:rPr>
        <w:t>, to determine if the impairment is credit-related or non credit-related. Credit-related impairment is recognized as an allowance on the balance sheet with a corresponding adjustment to earnings, and non credit-</w:t>
      </w:r>
    </w:p>
    <w:p>
      <w:pPr>
        <w:sectPr>
          <w:pgSz w:w="11900" w:h="16838" w:orient="portrait"/>
          <w:cols w:equalWidth="0" w:num="1">
            <w:col w:w="11240"/>
          </w:cols>
          <w:pgMar w:left="320" w:top="10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related impairment is recognized in other comprehensive income (loss), net of taxes. There were no material realized losses on marketable securities during the three months ended March 31, 2021. There have been no impairments of the Company’s assets measured and carried at fair value during the three months ended March 31, 2021 or March 31, 2020,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There was no movement between Level 1 and Level 2 or between Level 2 and Level 3 from December 31, 2020 to March 31, 2021. 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240"/>
          </w:cols>
          <w:pgMar w:left="320" w:top="895" w:right="339" w:bottom="1440" w:gutter="0" w:footer="0" w:header="0"/>
        </w:sectPr>
      </w:pP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23495</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23495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Fair value measurement category</w:t>
      </w:r>
    </w:p>
    <w:p>
      <w:pPr>
        <w:spacing w:after="0" w:line="48" w:lineRule="exact"/>
        <w:rPr>
          <w:sz w:val="20"/>
          <w:szCs w:val="20"/>
          <w:color w:val="auto"/>
        </w:rPr>
      </w:pPr>
    </w:p>
    <w:p>
      <w:pPr>
        <w:sectPr>
          <w:pgSz w:w="11900" w:h="16838" w:orient="portrait"/>
          <w:cols w:equalWidth="0" w:num="2">
            <w:col w:w="7780" w:space="720"/>
            <w:col w:w="2740"/>
          </w:cols>
          <w:pgMar w:left="320" w:top="895" w:right="339" w:bottom="1440" w:gutter="0" w:footer="0" w:header="0"/>
          <w:type w:val="continuous"/>
        </w:sectPr>
      </w:pPr>
    </w:p>
    <w:tbl>
      <w:tblPr>
        <w:tblLayout w:type="fixed"/>
        <w:tblInd w:w="140" w:type="dxa"/>
        <w:tblCellMar>
          <w:top w:w="0" w:type="dxa"/>
          <w:left w:w="0" w:type="dxa"/>
          <w:bottom w:w="0" w:type="dxa"/>
          <w:right w:w="0" w:type="dxa"/>
        </w:tblCellMar>
      </w:tblPr>
      <w:tr>
        <w:trPr>
          <w:trHeight w:val="193"/>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9"/>
        </w:trPr>
        <w:tc>
          <w:tcPr>
            <w:tcW w:w="282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gridSpan w:val="2"/>
          </w:tcPr>
          <w:p>
            <w:pPr>
              <w:ind w:left="140"/>
              <w:spacing w:after="0"/>
              <w:rPr>
                <w:sz w:val="20"/>
                <w:szCs w:val="20"/>
                <w:color w:val="auto"/>
              </w:rPr>
            </w:pPr>
            <w:r>
              <w:rPr>
                <w:rFonts w:ascii="Arial" w:cs="Arial" w:eastAsia="Arial" w:hAnsi="Arial"/>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gridSpan w:val="2"/>
          </w:tcPr>
          <w:p>
            <w:pPr>
              <w:ind w:left="14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asset-backed securities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values of the cash equivalents and marketable securities are based on observable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56"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(4,705)</w:t>
            </w: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44,924</w:t>
            </w:r>
          </w:p>
        </w:tc>
      </w:tr>
      <w:tr>
        <w:trPr>
          <w:trHeight w:val="248"/>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3"/>
              </w:rPr>
              <w:t>Anti-dilutive shares excluded from the calculation of diluted earnings per share</w:t>
            </w:r>
            <w:r>
              <w:rPr>
                <w:rFonts w:ascii="Arial" w:cs="Arial" w:eastAsia="Arial" w:hAnsi="Arial"/>
                <w:sz w:val="23"/>
                <w:szCs w:val="23"/>
                <w:color w:val="auto"/>
                <w:w w:val="93"/>
                <w:vertAlign w:val="superscript"/>
              </w:rPr>
              <w:t>(a)</w:t>
            </w:r>
            <w:r>
              <w:rPr>
                <w:rFonts w:ascii="Arial" w:cs="Arial" w:eastAsia="Arial" w:hAnsi="Arial"/>
                <w:sz w:val="18"/>
                <w:szCs w:val="18"/>
                <w:color w:val="auto"/>
                <w:w w:val="93"/>
              </w:rPr>
              <w:t xml:space="preserve"> (amounts in millions):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6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ind w:left="280" w:hanging="254"/>
        <w:spacing w:after="0"/>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Common equivalent shares are not included in the diluted per share calculation where the effect of their inclusion would be anti-dilutive.</w:t>
      </w: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NexoBrid License and Supply Agreements</w:t>
      </w:r>
    </w:p>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June 30, 2020, the Company announced MediWound's submission of a biologics license application (BLA) to the U.S. Food and Drug Administration (FDA) seeking the approval of NexoBrid. Subsequently, on September 16, 2020, the Company announced that the FDA has accepted the BLA for review and has assigned a Prescription Drug User Fee Act (PDUFA) target date of June 29, 2021. Pursuant to the terms of the license agreement, if the BLA is approved, MediWound will transfer the BLA to the Company and the Company will market NexoBrid in the U.S. Both MediWound and the Company, under the supervision of a Central Steering Committee comprised of members of both companies will continue to guide the development of NexoBrid in North America. NexoBrid is approved in the European Union and other international markets and has been designated as an orphan biologic in the United States, European Union and other international markets.</w:t>
      </w:r>
    </w:p>
    <w:p>
      <w:pPr>
        <w:spacing w:after="0" w:line="1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May 2019, the Company paid MediWound $17.5 million in consideration for the license. The $17.5 million upfront payment was recorded to research and development expense during 2019, as the license was considered in process research and development. The Company is also obligated to pay MediWound $7.5 million, which is contingent upon U.S. regulatory approval of the BLA for NexoBrid and up to $125 million contingent upon meeting certain sales milestones, subsequent to approval. The first sales milestone of $7.5 million would be triggered when annual net sales of NexoBrid or improvements to it in North America exceed $75 million. As of March 31, 2021, the milestone payments were not yet probable and therefore, not considered a liability. The Company also will pay MediWound tiered royalties on net sales ranging from mid-high single-digit to mid-teen percentages, subject to customary reductions, following approval.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195"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BARDA has committed to procure NexoBrid directly from MediWound under an emergency use authorization, and under such commitment the Company will receive a percentage of gross profit for sales directly to BARDA. If BARDA procures NexoBrid directly from the Company, the Company will pay a percentage of gross profits to MediWound on initial committed amounts and a royalty on any additional BARDA purchases of NexoBrid beyond the initial committed amount. As of March 31, 2021, the Company did not hold a direct contract or distribution agreement with BARDA. During 2020, BARDA accepted the first shipments of NexoBrid for emergency use preparedness per the agreement between BARDA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MediWound. During the three months ended March 31, 2021, the Company recognized $0.9 million of revenue. No revenue related to the procurement by BARDA was recognized for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 In addition, the Company also pays for usage of an offsite warehouse space. In February 2021, the terms of the operating agreement were extended through March 31, 2027. The Company records rent expense related to this agreement on a straight-line basis over the remaining term.</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minimum payments related to the Company's contractual obligations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April 1, 2021</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(in thousands)</w:t>
            </w: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to December</w:t>
            </w:r>
          </w:p>
        </w:tc>
        <w:tc>
          <w:tcPr>
            <w:tcW w:w="22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31, 2021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Warehouse Operating Agreement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We currently market two FDA-approved autologous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a registration-stage biological orphan product. In 2020, MediWound submitted to the FDA a BLA seeking the approval of NexoBrid for eschar removal (debridement) in adults with deep partial-thickness and/or full-thickness thermal burns. The FDA subsequently accepted the BLA for filing and has assigned a Prescription Drug User Fee Act (PDUFA) target date of June 29, 2021. See "Risk Factors - NexoBrid’s approval in the United States for the treatment of severe burns may be delayed, and it may not be approved for use in the United States and other North American markets."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pandemic caused by the spread of a novel strain of coronavirus (COVID-19) has created significant disruptions to the U.S. and global economy and has contributed to significant volatility in financial markets. The global impact of the outbreak is continually evolving and many state, local and national governments – including those in Massachusetts and Michigan, where our operations are located – have responded at times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19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Notwithstanding being an essential business, the Company’s business and operations were, at times, adversely impacted by the effects of COVID-19 during 2020. At the urging of the American College of Surgeons and the United States Surgeon General, hospitals, health systems and surgeons minimized, postponed, or canceled electively scheduled surgeries during the initial wave of the pandemic in the spring of 2020. These recommendations were followed by numerous state level executive orders either restricting or partially restricting elective surgeries. Because MACI is an elective surgical procedure, as a result of these restrictions the Company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approved and are being widely distributed in the United States, the risk remains that regional or local restrictions could again be placed on the performance of elective surgical procedures if the number of COVID-19 infections in the United States were to rise again, or if new COVID-19 variants emerge which render current vaccine treatments ineffective.</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 Epicel procedure volumes did experience a slow-down during the second quarter of 2020, however, the reduction was less pronounced than that observed with MACI. Further reductions could be observed in the future, based on the degree of restrictions imposed.</w:t>
      </w:r>
    </w:p>
    <w:p>
      <w:pPr>
        <w:spacing w:after="0" w:line="215"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At the outset of the pandemic, Vericel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are reviewing these measures regularly as the pandemic evolves and may take additional actions to the extent required. Depending on the pandemic’s trajectory in the coming months, we may take additional actions to the extent required, or we may ease certain protective measures to the extent available data and state and local rules permit.</w:t>
      </w:r>
    </w:p>
    <w:p>
      <w:pPr>
        <w:spacing w:after="0" w:line="21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There is no expected impact of COVID-19 on our distributors, operations or third-party service providers’ ability to manage patient cases.</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it is possible that we could experience variable impacts on our business, should there be a resurgence of COVID-19 in various areas of the United States. Measures taken to limit the impact of COVID-19 at the international, national and local levels, including the availability of COVID-19 vaccines, shelter-in-place orders, social distancing measures, travel bans and restrictions, and business and government shutdowns, may again create significant negative economic impacts on a global basis. Given that uncertainty, we cannot reliably estimate the extent to which the COVID-19 pandemic may continue to impact utilization and revenue of our products in 2021 and beyond.</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a discussion of additional risks associated with COVID-19, please see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North America, following regulatory approval. As previously mentioned, MediWound has submitted a BLA to the FDA seeking commercial approval of NexoBrid. On September 16, 2020, we announced that the FDA accepted the BLA for review and has assigned a PDUFA target date of June 29, 2021.</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MACI is a third-generation autologous chondrocyte implantation (ACI) product for the repair of symptomatic, single or multiple full-thickness cartilage defects of the knee with or without bone involvement in adults.</w:t>
      </w:r>
    </w:p>
    <w:p>
      <w:pPr>
        <w:spacing w:after="0" w:line="1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target audience of U.S. physicians is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the date of this report, we currently have 76 MACI sales representatives to enable the sales force to reach our target audience.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 For the three months ended March 31, 2021 and 2020, net revenue for MACI was $23.8 million and $20.3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Epicel is a permanent skin replacement for deep dermal or full-thickness burns greater than or equal to 30% of TBSA. Epicel is regulated by the Center for Biologics Evaluation and Research, or CBER of the U.S. Food and Drug Administration under medical device authorities, and is the only FDA-approved cultured epidermal autograft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2019. We currently have an eleven-person field force comprised of seven (7) account managers and four (4) burn clinical specialists, overseen by a senior sales director. During the three months ended March 31, 2021 and 2020, net revenue for Epicel was $9.8 million and $6.4 million, respectively.</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5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portfolio also includes NexoBrid, a registration-stage, topically-administered biological product that enzymatically removes nonviable burn tissue, or eschar, in patients with deep partial and full-thickness thermal burns. On June 30, 2020, we announced MediWound's submission of a BLA to the FDA seeking the approval of NexoBrid. Subsequently, on September 16, 2020, we announced that the FDA accepted the BLA for review and assigned a PDUFA target date of June 29, 2021. See "Risk Factors - NexoBrid’s approval in the United States for the treatment of severe burns may be delayed, and it may not be approved for use in the United States and other North American markets." NexoBrid is approved in the European Union and other international markets and has been designated as an orphan biologic in the United States, European Union and other international markets. Pursuant to the terms of our existing license agreement, if the BLA is approved, MediWound will transfer the BLA to Vericel and Vericel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 During the three months ended March 31, 2021, net revenue of $0.9 million associated with delivery of NexoBrid to BARDA was recorded. No revenue related to the procurement of BARDA was recognized for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loss for the three months ended March 31, 2021 and 2020 totaled $3.3 million and $4.7 million,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26,678</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Net revenue increased for the three months ended March 31, 2021 compared to the same period in 2020, driven by strong volume growth for both MACI and Epicel. Additionally, during the three months ended March 31, 2021, we recorded $0.9 million of revenue associated with delivery of NexoBrid to BARDA for emergency response preparedness.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 for the three months ended March 31, 2021 and 2020 are shown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32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20,286</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26,678</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15"/>
        <w:spacing w:after="0" w:line="270"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During the past year, the effects of the COVID-19 pandemic disrupted the normal seasonality of our MACI business. These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among others, the temporary limitation of elective surgical procedures throughout the country, the inability of our Clinical Account Specialists to call on surgeon customers and, we believe, a reduction in the number of patients seeking treatment for cartilage damage. In the four years preceding 2020, ACI sales volumes from the first through the fourth quarter on average represented 19% (16%-24% range), 23% (21%-25% range), 22% (20%-23% range) and 36% (32%-38% range) respectively, of total annual volumes. MACI orders are consistently stronger in the fourth quarter due to several factors including insurance deductible limits and the time of year patients prefer to start rehabilitation. Due to COVID-19, the seasonality in 2020 did not follow our historical patterns, and seasonality in 2021 could be impacted by COVID-19 related factors, as well. Due to the low incidence and variable occurrence of severe burns, Epicel revenue has inherent variability from quarter-to-quarter and does not exhibit significant seasonality. Over the past four years, Epicel revenue in a single quarter has ranged from as high as 38% to as low as 18% of annual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22,985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16,756</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Gross profit %</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200" w:lineRule="exact"/>
        <w:rPr>
          <w:sz w:val="20"/>
          <w:szCs w:val="20"/>
          <w:color w:val="auto"/>
        </w:rPr>
      </w:pP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24" w:name="page25"/>
    <w:bookmarkEnd w:id="24"/>
    <w:p>
      <w:pPr>
        <w:ind w:right="420" w:firstLine="243"/>
        <w:spacing w:after="0" w:line="277" w:lineRule="auto"/>
        <w:rPr>
          <w:sz w:val="20"/>
          <w:szCs w:val="20"/>
          <w:color w:val="auto"/>
        </w:rPr>
      </w:pPr>
      <w:r>
        <w:rPr>
          <w:rFonts w:ascii="Arial" w:cs="Arial" w:eastAsia="Arial" w:hAnsi="Arial"/>
          <w:sz w:val="18"/>
          <w:szCs w:val="18"/>
          <w:color w:val="auto"/>
        </w:rPr>
        <w:t>Gross profit increased for the three months ended March 31, 2021 compared to the same period in 2020 primarily due to the increase in MACI and Epicel volume and other revenue related to NexoBrid.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3,630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3,763</w:t>
            </w:r>
          </w:p>
        </w:tc>
      </w:tr>
    </w:tbl>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summarizes research and development expenses which includes license fees, materials, professional fees and the approximate allocation of employee-related salary and fringe benefit costs for our research and development projects: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ACI</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Total research and development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for the three months ended March 31, 2021 were $3.6 million compared to $3.8 million for the same period in 2020. R&amp;D costs continue to be centered around process development, regulatory, and medical affairs for MACI and Epicel.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22,660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w:t>
            </w:r>
          </w:p>
        </w:tc>
      </w:tr>
    </w:tbl>
    <w:p>
      <w:pPr>
        <w:spacing w:after="0" w:line="296" w:lineRule="exact"/>
        <w:rPr>
          <w:sz w:val="20"/>
          <w:szCs w:val="20"/>
          <w:color w:val="auto"/>
        </w:rPr>
      </w:pPr>
    </w:p>
    <w:p>
      <w:pPr>
        <w:ind w:firstLine="243"/>
        <w:spacing w:after="0" w:line="308" w:lineRule="auto"/>
        <w:rPr>
          <w:sz w:val="20"/>
          <w:szCs w:val="20"/>
          <w:color w:val="auto"/>
        </w:rPr>
      </w:pPr>
      <w:r>
        <w:rPr>
          <w:rFonts w:ascii="Arial" w:cs="Arial" w:eastAsia="Arial" w:hAnsi="Arial"/>
          <w:sz w:val="16"/>
          <w:szCs w:val="16"/>
          <w:color w:val="auto"/>
        </w:rPr>
        <w:t>Selling, general and administrative expenses for the three months ended March 31, 2021 were $22.7 million compared to $18.1 million for the same period in 2020. The increase in selling, general and administrative expenses during the three months ended March 31, 2021, compared to the same period in</w:t>
      </w:r>
    </w:p>
    <w:p>
      <w:pPr>
        <w:spacing w:after="0" w:line="277" w:lineRule="auto"/>
        <w:rPr>
          <w:sz w:val="20"/>
          <w:szCs w:val="20"/>
          <w:color w:val="auto"/>
        </w:rPr>
      </w:pPr>
      <w:r>
        <w:rPr>
          <w:rFonts w:ascii="Arial" w:cs="Arial" w:eastAsia="Arial" w:hAnsi="Arial"/>
          <w:sz w:val="18"/>
          <w:szCs w:val="18"/>
          <w:color w:val="auto"/>
        </w:rPr>
        <w:t>2020, is due primarily to an incremental $2.5 million increase in stock-based compensation expense and a $1.1 million increase in MACI sales force expenses as a result of the sales team expansion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decrease in other income for the three months ended March 31, 2021, compared to the same period in 2020 is due primarily to the decreasing rates of returns on our investments in various marketable debt securities compared to the prior period.</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product sales, research and development expenses and selling, general and administrative expenses is summarized in the following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Total non-cash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increase in stock-based compensation expense for the three months ended March 31, 2021 compared to the same period in 2020 is due primarily to increases in stock prices which impacts the fair value of the options and restricted stock units awarded and the expense recognized in the period.</w:t>
      </w:r>
    </w:p>
    <w:p>
      <w:pPr>
        <w:spacing w:after="0" w:line="15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March 31, 2021, there was approximately $50.1 million of total unrecognized compensation cost related to non-vested service-based stock options granted under the 2019 Plan and the Prior Plans, compared to $13.1 million as of December 31, 2020. That cost is expected to be recognized over a weighted-average period of 3.6 years. As of March 31, 2021, there was approximately $11.7 million of total unrecognized compensation cost related to non-vested restricted stock awards granted under the 2019 Plan and Prior Plans, compared to $2.1 million as of December 31, 2020. That cost is also expected to be recognized over a weighted-average period of 3.6 years. The estimated unrecognized compensation cost is not reduced by expected forfeitures.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Since our acquisition in 2014 of MACI and Epicel, our primary focus has been to invest in our existing commercial business with the goal of growing revenue. We have raised significant funds in order to complete our product development programs and to market and commercialize our products, and product candidates. To date, we have financed our operations primarily through cash received through Epicel and MACI sales, debt and public and private sales of our equity securities. We generated $10.1 million in operating cash flows during the three months ended March 31, 2021, and we may continue to finance our operations through the sales of equity securities.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Cash provided by investment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13,742</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18,734</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cash and cash equivalents totaled $58.2 million, short-term investments totaled $25.4 million and long-term investments totaled $26.0 million as of March 31, 2021. The $10.1 million of cash provided by operations during the three months ended March 31, 2021 was the result of cash collections from a decrease in accounts receivable of $5.4 million from the prior quarter, an increase in accounts payable of $2.2 million, including noncash charges of $7.0 million related to stock compensation expense, $1.2 million of operating lease amortization and $0.8 million in depreciation and amortization expense and a $3.3 million net loss.</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cash and cash equivalents totaled $45.7 million and short-term investments totaled $36.0 million and long-term investments of $1.7 million as of March 31, 2020. The $4.7 million of cash provided operations during the three months ended March 31, 2020 was the result of cash collections from a decrease in accounts receivable of $8.0 million from the prior quarter, including noncash charges of $3.8 million related to stock compensation expense, offset by a $1.9 million decrease in accrued expenses and a $4.7 million net loss.</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cash provided by investing activities during the three months ended March 31, 2021 was the result of $25.0 million of investment sales and maturities offset by $10.4 million in investment purchases and property plant and equipment purchases of $2.3 million primarily for manufacturing upgrades through March 31, 2021. The cash provided by investing activities for the three months ended March 31, 2020 was the result of $20.1 million of investment sales and maturities offset by $5.7 million in investment purchases, and property plant and equipment purchases of $0.7 million primarily for manufacturing upgrades and leasehold improvements.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jc w:val="both"/>
        <w:ind w:firstLine="243"/>
        <w:spacing w:after="0" w:line="301" w:lineRule="auto"/>
        <w:rPr>
          <w:sz w:val="20"/>
          <w:szCs w:val="20"/>
          <w:color w:val="auto"/>
        </w:rPr>
      </w:pPr>
      <w:r>
        <w:rPr>
          <w:rFonts w:ascii="Arial" w:cs="Arial" w:eastAsia="Arial" w:hAnsi="Arial"/>
          <w:sz w:val="16"/>
          <w:szCs w:val="16"/>
          <w:color w:val="auto"/>
        </w:rPr>
        <w:t>The change in cash provided from financing activities was the result of net proceeds from the exercise of stock options of $3.8 million, partially offset by the payment of employee withholding taxes related to the vesting of restricted stock units of $1.5 million during the three months ended March 31, 2021. The change in cash provided from financing activities during the three months ended March 31, 2020 was the result of proceeds from the exercise of stock options of $0.4 million, slightly offset by the payment of employee withholding taxes related to the vesting of restricted stock units of $0.1 million.</w:t>
      </w:r>
    </w:p>
    <w:p>
      <w:pPr>
        <w:spacing w:after="0" w:line="18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believe that our current cash on hand, cash equivalents and investments will be sufficient to support our current operations through at least 12 months from the issuance of these Condensed Consolidated Financial Statements. However, the continuing effects of the COVID-19 pandemic continue to evolve and may result in irrecoverable losses from customers.</w:t>
      </w:r>
    </w:p>
    <w:p>
      <w:pPr>
        <w:spacing w:after="0" w:line="2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If revenue declines for a sustained period, we may need to access additional capital; however, we may not be able to obtain financing on acceptable terms or at all. Market volatility could also adversely impact our ability to access financing as and when needed. The terms of any financing may adversely affect the holdings or the rights of our shareholders. Actual cash requirements may differ from projections and will depend on many factors, including any future impacts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we were not party to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are prepared in accordance with accounting principles generally accepted in the United States. The preparation of these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and disclosures based on varying assumptions. The accounting policies discussed in our Annual Report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19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by law, we undertake no obligation to publicly update any of our forward-looking or other statements, whether as a result of new information, future events, or otherwise. These forward-looking statements include statements regarding:</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for our products;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FDA’s review of the BLA for NexoBrid;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approval by the FDA of the BLA for NexoBrid;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features and successes of our therapies;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including economic slowdowns or recessions, impact to our operations or to the healthcare industry generally, which could reduce demand for our products;</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March 31, 2021, we held marketable debt securities, which are classified as available-for-sale and carried at fair value in the accompanying condensed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$0.4 million and $0.5 million decrease in the fair value of our investment portfolio as of March 31, 2021 and December 31, 2020, respectively.</w:t>
      </w:r>
    </w:p>
    <w:p>
      <w:pPr>
        <w:spacing w:after="0" w:line="204"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 xml:space="preserve">We have evaluated the potential credit risk exposure for our accounts receivable and available-for sale investment securities in accordance with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Financial Instruments - Credit Losses. </w:t>
      </w:r>
      <w:r>
        <w:rPr>
          <w:rFonts w:ascii="Arial" w:cs="Arial" w:eastAsia="Arial" w:hAnsi="Arial"/>
          <w:sz w:val="18"/>
          <w:szCs w:val="18"/>
          <w:color w:val="auto"/>
        </w:rPr>
        <w:t>See note 4 and note 8, for further discussion.</w:t>
      </w:r>
    </w:p>
    <w:p>
      <w:pPr>
        <w:spacing w:after="0" w:line="19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2021, the Company’s Certifying Officers concluded that the Company’s disclosure controls and procedures were effective.</w:t>
      </w:r>
    </w:p>
    <w:p>
      <w:pPr>
        <w:spacing w:after="0" w:line="176"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three months ended March 31, 2021, there were no material changes made in our internal control over financial reporting (as such term is defined in Rules 13a-15(f) and 15d-15(f) of the Exchange Act).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00"/>
        <w:spacing w:after="0" w:line="273" w:lineRule="auto"/>
        <w:rPr>
          <w:sz w:val="20"/>
          <w:szCs w:val="20"/>
          <w:color w:val="auto"/>
        </w:rPr>
      </w:pPr>
      <w:r>
        <w:rPr>
          <w:rFonts w:ascii="Arial" w:cs="Arial" w:eastAsia="Arial" w:hAnsi="Arial"/>
          <w:sz w:val="17"/>
          <w:szCs w:val="17"/>
          <w:color w:val="auto"/>
        </w:rPr>
        <w:t>Certain risks described below update the risk factors discussed in Part I, Item 1A, “Risk Factors,” of our Annual Report on Form 10-K for the fiscal year ended December 31, 2020, and expound upon and amend the specific risks resulting from the COVID-19 pandemic, as well as the specific risks related to the U.S. Food &amp; Drug Administration’s (FDA) review of MediWound’s submitted BLA for approval of NexoBrid in the United States.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1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Broad-based business or economic disruptions could adversely affect our ongoing or planned research, development and commercialization activities. For example, the COVID-19 pandemic has created significant disruptions to the U.S. and global economy and has contributed to significant volatility in financial markets. The global impact of the outbreak is continually evolving and many state, local and national governments – including those in Massachusetts and Michigan, where the Company’s operations are located – have responded at times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and as world health leaders learn more about the virus, its transmission pathway and who is most at risk. As a biopharmaceutical company, Vericel is deemed an essential business and has been exempted from government orders requiring the closure of workplaces and the cessation of business operations, as they have existed from time-to-time during the pandemic. Even though widespread distribution of vaccines designed to protect against COVID-19 infection began in the United States and other countries throughout the world in early 2021, the pandemic remains highly fluid and the number of COVID-19 infections has fluctuated significantly in various geographies during 2020 and early 2021 and could continue to do so. As such, many state and local governments have re-instituted restrictions on businesses, travel, and personal activities from time-to-time and additional such measures may occur in the future as the pandemic evolves.</w:t>
      </w:r>
    </w:p>
    <w:p>
      <w:pPr>
        <w:spacing w:after="0" w:line="20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March 2020, we put in place a comprehensive workplace protection plan, which institutes protective measures in response to the COVID-19 pandemic.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are reviewing these measures regularly as the pandemic evolves. Depending on the pandemic’s trajectory in the coming months, we may take additional actions to the extent required, or we may ease certain protective measures to the extent available data and state and local rules permit. Both these existing measures and any future actions we take may result in disruption to our business.</w:t>
      </w:r>
    </w:p>
    <w:p>
      <w:pPr>
        <w:spacing w:after="0" w:line="20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 Nevertheless, the COVID-19 pandemic has and could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continue to adversely affect our business, financial condition and results of operations, and it may have the effect of heightening many of the risks described herein, including the below.</w:t>
      </w:r>
    </w:p>
    <w:p>
      <w:pPr>
        <w:spacing w:after="0" w:line="197"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Hospitals, health systems and surgeons minimized, postponed, or canceled electively scheduled surgeries during the initial wave of the pandemic in the spring of 2020. These actions were followed by numerous state level executive orders either restricting or partially restricting elective surgeries. Because MACI is an elective surgical procedure, as a result of these restrictions the Company experienced a significant increase in cancellations of scheduled MACI procedures as well as a slowdown in new MACI orders during March and April of 2020, which negatively impacted the Company’s business and results of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made available and are being widely distributed in the United States, the risk remains that regional or local restrictions could again be placed on the performance of elective surgical procedures if the number of COVID-19 infections in the United States were to rise again, or if new COVID-19 variants emerge which render current vaccine treatments ineffective. We believe our MACI business will be negatively impacted if elective surgical procedures are again restricted. Further, continued, and prolonged material disruption to the operations of our employees, distributors, suppliers or customers will impact our sales and operating results and could lead to potential impairments to inventory and accounts receivable. While trauma injury admissions have been reported to have declined due to various COVID-19 related restrictions and although Epicel has been less directly impacted by the pandemic given the critical nature of severe burn injuries, it is difficult to ascertain the continued impact of COVID-19 on the treatment of severe burns.</w:t>
      </w:r>
    </w:p>
    <w:p>
      <w:pPr>
        <w:spacing w:after="0" w:line="206"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Three (3) such sites have currently paused enrollment of new PEAK patients as a result of the effects of the pandemic, and the PEAK Study experienced a slow-down in its traditional rate of patient enrollment during 2020 and into 2021. Furthermore, the PEAK Study or another of our clinical trials may in the future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 future outbreak may also affect employees of third-party contract research organizations located in affected geographies that we rely upon to carry out our clinical trials.</w:t>
      </w:r>
    </w:p>
    <w:p>
      <w:pPr>
        <w:spacing w:after="0" w:line="194"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continue to manufacture MACI and Epicel and we maintain a significant safety back-up of all key raw materials. We do not expect that current supply chain interruptions will impact our ongoing manufacturing operations. However, we currently rely on both domestic and international third parties to, among other things, manufacture and supply raw materials, which are used to produce our products, and supply other goods and services to run our business. If any such third parties in our supply chain are adversely impacted by current or future restrictions or executive orders resulting from the COVID-19 pandemic for an extended period of time, including staffing shortages, production slowdowns, disruptions in delivery systems, or federal, state or foreign orders requiring the diversion of key supplies for use in the production or manufacturing of vaccines designed to inoculate individuals against COVID-19,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six (6) days and established shipping shelf life of three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 have not experienced material shipping delays or increased costs to date, significant disruption of air travel in the future could result in the inability to deliver MACI or Epicel final products to customer sites within appropriate timeframes, which would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ind w:left="328" w:hanging="328"/>
        <w:spacing w:after="0" w:line="271"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pandemic we have generally restricted on-site staff in our facilities to only those personnel and contractors who must perform essential activities related to the manufacture, production and delivery of our products. We have encouraged the majority of our remaining employees to work remotely. Our continued reliance on personnel working from home may negatively impact productivity, or disrupt, delay, or otherwise adversely impact our business. Additionally, the resurgence of COVID-19, COVID-19 variants, or similar infectious diseases in the U.S. may lead to further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05" w:lineRule="exact"/>
        <w:rPr>
          <w:rFonts w:ascii="Arial" w:cs="Arial" w:eastAsia="Arial" w:hAnsi="Arial"/>
          <w:sz w:val="17"/>
          <w:szCs w:val="17"/>
          <w:color w:val="auto"/>
        </w:rPr>
      </w:pPr>
    </w:p>
    <w:p>
      <w:pPr>
        <w:jc w:val="both"/>
        <w:ind w:left="328" w:hanging="328"/>
        <w:spacing w:after="0" w:line="271"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continued reliance on certain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third-party contractors and suppliers, clinical trial sites and other important agencies and contractors. Our business operations may be further disrupted if any of our employees, officers or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w:t>
      </w:r>
    </w:p>
    <w:p>
      <w:pPr>
        <w:spacing w:after="0" w:line="205" w:lineRule="exact"/>
        <w:rPr>
          <w:rFonts w:ascii="Arial" w:cs="Arial" w:eastAsia="Arial" w:hAnsi="Arial"/>
          <w:sz w:val="17"/>
          <w:szCs w:val="17"/>
          <w:color w:val="auto"/>
        </w:rPr>
      </w:pPr>
    </w:p>
    <w:p>
      <w:pPr>
        <w:jc w:val="both"/>
        <w:ind w:left="328" w:hanging="328"/>
        <w:spacing w:after="0" w:line="259"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resurgence of COVID-19 or any new COVID-19 variants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As a result, this could delay timely completion of ongoing clinical trials or preclinical activities, and our ability to select future development candidates.</w:t>
      </w:r>
    </w:p>
    <w:p>
      <w:pPr>
        <w:spacing w:after="0" w:line="213"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NexoBrid is currently a pre-commercial product in North America. On September 16, 2020, we announced that the FDA has accepted for review a BLA seeking marketing approval for NexoBrid in the United States and has assigned a PDUFA target date for the product of June 29, 2021. However, health regulatory agencies globally, including the FDA, have experienced, and may continue to experience disruptions in their operations as a result of the continued spread of the COVID-19 pandemic. For instance, the COVID-19 pandemic may impact the FDA’s response times to regulatory submissions and its ability to monitor our clinical trials. Additionally, in many instances across the industry, the FDA has postponed, or has been unable to conduct certain inspections of domestic and international manufacturing facilities in connection with its regulatory review of product applications as a result of travel and other restrictions caused by the pandemic. As part of its ongoing review of the BLA submission, the FDA has communicated to MediWound that physical Current Good Manufacturing Practice (cGMP) inspections of manufacturing facilities in Israel and Taiwan are required before the BLA can be approved, as the FDA must assess the ability of those facilities to conduct certain manufacturing operations in compliance with cGMP. The FDA has indicated further that because of restrictions on travel caused by the COVID-19 pandemic, the agency may be unable to conduct the required inspections of those facilities during the current review cycle in order to meet the PDUFA target date of June 29, 2021. Should restrictions prevent or delay the FDA in conducting necessary reviews or physical inspections of the manufacturing facilities involved in the production of NexoBrid, or should other events impact FDA’s response times, the timeline for approval of NexoBrid could be materially delayed, which could materially affect the development, study and ultimate commercialization of the product.</w:t>
      </w:r>
    </w:p>
    <w:p>
      <w:pPr>
        <w:spacing w:after="0" w:line="208" w:lineRule="exact"/>
        <w:rPr>
          <w:rFonts w:ascii="Arial" w:cs="Arial" w:eastAsia="Arial" w:hAnsi="Arial"/>
          <w:sz w:val="17"/>
          <w:szCs w:val="17"/>
          <w:color w:val="auto"/>
        </w:rPr>
      </w:pPr>
    </w:p>
    <w:p>
      <w:pPr>
        <w:jc w:val="both"/>
        <w:ind w:left="328" w:hanging="328"/>
        <w:spacing w:after="0" w:line="259"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prices of our common stock and that of other biopharmaceutical companies have been highly volatile during the COVID-19 pandemic. As a result, we may face difficulties raising capital through sales of our common stock or such sales may be on unfavorable terms. In addition, a recession, depression or other sustained adverse market event resulting from the continued spread or a resurgence of the COVID-19 pandemic could materially and adversely affect our business and the value of our common stock.</w:t>
      </w:r>
    </w:p>
    <w:p>
      <w:pPr>
        <w:spacing w:after="0" w:line="213" w:lineRule="exact"/>
        <w:rPr>
          <w:rFonts w:ascii="Arial" w:cs="Arial" w:eastAsia="Arial" w:hAnsi="Arial"/>
          <w:sz w:val="18"/>
          <w:szCs w:val="18"/>
          <w:color w:val="auto"/>
        </w:rPr>
      </w:pPr>
    </w:p>
    <w:p>
      <w:pPr>
        <w:jc w:val="both"/>
        <w:ind w:left="328" w:hanging="328"/>
        <w:spacing w:after="0" w:line="296"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negative economic effects of the pandemic have, at times, caused increased unemployment in the U.S. resulting in many individuals losing their employer-based insurance coverage. Although the economy has begun to recover from the pandemic’s initial effects, the continued or future unemployment of our potential patients may adversely affect our ability to commercialize our products. In addition, market disruption or rising unemployment caused by a resurgence of the COVID-19 pandemic may lead to delays in obtaining insurance coverage and reimbursement of newly approved products as well as an increase in the numbers of uninsured patients and patients who may no longer be able to afford</w:t>
      </w: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31" w:name="page32"/>
    <w:bookmarkEnd w:id="31"/>
    <w:p>
      <w:pPr>
        <w:jc w:val="both"/>
        <w:ind w:left="660"/>
        <w:spacing w:after="0" w:line="269" w:lineRule="auto"/>
        <w:rPr>
          <w:sz w:val="20"/>
          <w:szCs w:val="20"/>
          <w:color w:val="auto"/>
        </w:rPr>
      </w:pPr>
      <w:r>
        <w:rPr>
          <w:rFonts w:ascii="Arial" w:cs="Arial" w:eastAsia="Arial" w:hAnsi="Arial"/>
          <w:sz w:val="17"/>
          <w:szCs w:val="17"/>
          <w:color w:val="auto"/>
        </w:rPr>
        <w:t>their co-insurance or co-pay obligations. These factors may lead to decreased utilization of our products, which could reduce revenue. The continued outbreak or a worsening of COVID-19 may also negatively impact our commercialization strategy for our products and product candidates, if approved. At times during the pandemic, hospitals and other medical institutions have reduced and diverted staffing, diverted resources to patients suffering from COVID-19 and limited hospital access for non-patients, which has included our sales personnel. Hospitals may continue or increase these and similar measures in the future should the COVID-19 virus continue to spread or surge in certain areas. In addition, COVID-19 levels in the United States may cause customers or patients to postpone or cancel previously scheduled surgeries or to decline to schedule surgeries utilizing our products, which would negatively impact our operations and financial results. Although many face-to-face interactions are again resuming, we have, at times, encouraged our sales personnel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20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NexoBrid’s approval in the United States for the treatment of severe burns may be delayed, and it may not be approved for use in the United States and other North American markets.</w:t>
      </w:r>
    </w:p>
    <w:p>
      <w:pPr>
        <w:spacing w:after="0" w:line="1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September 16, 2020, we announced that the FDA has accepted for review MediWound’s BLA seeking marketing approval for NexoBrid in the United States for the treatment of severe burns, and has assigned a PDUFA target date for the product of June 29, 2021. The BLA submission is based in large part on data derived from a U.S. Phase 3 pivotal study. MediWound is conducting twelve and twenty-four month safety follow-ups for cosmesis, function, quality of life and other safety measurements. Data from MediWound’s twelve-month follow-up has been compiled and is being evaluated by the FDA, while data from the twenty-four month follow-up, which is ongoing, will be submitted as a safety update as part of a post-approval commitment, if the BLA is approved. While this and previous studies evaluating NexoBrid have met their primary endpoints, we cannot predict the outcome of the planned safety follow-ups or whether the FDA will approve the BLA based on the available preclinical and clinical data and the submitted manufacturing processes and cGMP data.</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part of its ongoing review of the BLA submission, the FDA has communicated to MediWound that physical cGMP inspections of manufacturing facilities in Israel and Taiwan are required before the BLA can be approved, as the FDA must assess the ability of those facilities to conduct certain manufacturing operations in compliance with cGMP. The FDA has indicated further that because of restrictions on travel caused by the COVID-19 pandemic, the agency may be unable to conduct the required inspections of those facilities during the current review cycle in order to meet the PDUFA target date of June 29, 2021.</w:t>
      </w:r>
    </w:p>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as part of its ongoing review of the BLA submission, the FDA has communicated to MediWound that it has identified certain issues related to the Chemistry, Manufacturing and Controls (CMC) section of the BLA and has requested that MediWound provide additional information. Although MediWound is providing the requested information to the FDA, the FDA has indicated that it is unlikely that the additional information will be reviewed during the current review cycle. Moreover, we cannot predict whether MediWound’s responses to the CMC-related information requests from the FDA will be considered sufficient by the agency.</w:t>
      </w:r>
    </w:p>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predict how long the FDA may take to review and approve NexoBrid during this or a subsequent review cycle, or whether any such approval in the United States will ultimately be granted.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United States may have a material adverse impact on our business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4"/>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Exhibit No.</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418"/>
        </w:trPr>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60" w:type="dxa"/>
            <w:vAlign w:val="bottom"/>
            <w:tcBorders>
              <w:top w:val="single" w:sz="8" w:color="auto"/>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Chief Executive Officer pursuant to Section 302 of the Sarbanes-Oxley Act of 2002.</w:t>
              </w:r>
            </w:hyperlink>
          </w:p>
        </w:tc>
      </w:tr>
      <w:tr>
        <w:trPr>
          <w:trHeight w:val="479"/>
        </w:trPr>
        <w:tc>
          <w:tcPr>
            <w:tcW w:w="1320" w:type="dxa"/>
            <w:vAlign w:val="bottom"/>
          </w:tcPr>
          <w:p>
            <w:pPr>
              <w:jc w:val="cente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Chief Financial Officer pursuant to Section 302 of the Sarbanes-Oxley Act of 2002.</w:t>
              </w:r>
            </w:hyperlink>
          </w:p>
        </w:tc>
        <w:tc>
          <w:tcPr>
            <w:tcW w:w="2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r>
      <w:tr>
        <w:trPr>
          <w:trHeight w:val="480"/>
        </w:trPr>
        <w:tc>
          <w:tcPr>
            <w:tcW w:w="1320" w:type="dxa"/>
            <w:vAlign w:val="bottom"/>
          </w:tcPr>
          <w:p>
            <w:pPr>
              <w:jc w:val="cente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Executive Officer pursuant to Section 906 of the Sarbanes-Oxley Act of 2002.</w:t>
              </w:r>
            </w:hyperlink>
          </w:p>
        </w:tc>
      </w:tr>
      <w:tr>
        <w:trPr>
          <w:trHeight w:val="480"/>
        </w:trPr>
        <w:tc>
          <w:tcPr>
            <w:tcW w:w="1320" w:type="dxa"/>
            <w:vAlign w:val="bottom"/>
          </w:tcPr>
          <w:p>
            <w:pPr>
              <w:jc w:val="cente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Chief Financial Officer pursuant to Section 906 of the Sarbanes-Oxley Act of 2002.</w:t>
              </w:r>
            </w:hyperlink>
          </w:p>
        </w:tc>
        <w:tc>
          <w:tcPr>
            <w:tcW w:w="40" w:type="dxa"/>
            <w:vAlign w:val="bottom"/>
            <w:tcBorders>
              <w:top w:val="single" w:sz="8" w:color="0000FF"/>
            </w:tcBorders>
            <w:gridSpan w:val="2"/>
          </w:tcPr>
          <w:p>
            <w:pPr>
              <w:spacing w:after="0"/>
              <w:rPr>
                <w:sz w:val="24"/>
                <w:szCs w:val="24"/>
                <w:color w:val="auto"/>
              </w:rPr>
            </w:pPr>
          </w:p>
        </w:tc>
        <w:tc>
          <w:tcPr>
            <w:tcW w:w="2140" w:type="dxa"/>
            <w:vAlign w:val="bottom"/>
          </w:tcPr>
          <w:p>
            <w:pPr>
              <w:spacing w:after="0"/>
              <w:rPr>
                <w:sz w:val="24"/>
                <w:szCs w:val="24"/>
                <w:color w:val="auto"/>
              </w:rPr>
            </w:pPr>
          </w:p>
        </w:tc>
      </w:tr>
      <w:tr>
        <w:trPr>
          <w:trHeight w:val="52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r>
      <w:tr>
        <w:trPr>
          <w:trHeight w:val="499"/>
        </w:trPr>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101.SCH**</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0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99"/>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0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99"/>
        </w:trPr>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101.DEF**</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69" w:lineRule="exact"/>
        <w:rPr>
          <w:sz w:val="20"/>
          <w:szCs w:val="20"/>
          <w:color w:val="auto"/>
        </w:rPr>
      </w:pPr>
    </w:p>
    <w:p>
      <w:pPr>
        <w:ind w:left="1760" w:hanging="1232"/>
        <w:spacing w:after="0"/>
        <w:tabs>
          <w:tab w:leader="none" w:pos="1760" w:val="left"/>
        </w:tabs>
        <w:numPr>
          <w:ilvl w:val="1"/>
          <w:numId w:val="11"/>
        </w:numPr>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Cover Page Interactive Data File (formatted as Inline XBRL and contained in Exhibit 101).</w:t>
        </w:r>
      </w:hyperlink>
    </w:p>
    <w:p>
      <w:pPr>
        <w:spacing w:after="0" w:line="306" w:lineRule="exact"/>
        <w:rPr>
          <w:rFonts w:ascii="Arial" w:cs="Arial" w:eastAsia="Arial" w:hAnsi="Arial"/>
          <w:sz w:val="18"/>
          <w:szCs w:val="18"/>
          <w:u w:val="single" w:color="auto"/>
          <w:color w:val="0000FF"/>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34" w:name="page35"/>
    <w:bookmarkEnd w:id="34"/>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Joseph A. Mara</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20"/>
          </w:cols>
          <w:pgMar w:left="320" w:top="1134" w:right="10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20" w:firstLine="332"/>
        <w:spacing w:after="0" w:line="263"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80" w:firstLine="332"/>
        <w:spacing w:after="0" w:line="308" w:lineRule="auto"/>
        <w:tabs>
          <w:tab w:leader="none" w:pos="8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80" w:firstLine="332"/>
        <w:spacing w:after="0" w:line="263"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1182"/>
        <w:spacing w:after="0" w:line="263" w:lineRule="auto"/>
        <w:tabs>
          <w:tab w:leader="none" w:pos="141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280" w:firstLine="1182"/>
        <w:spacing w:after="0" w:line="263" w:lineRule="auto"/>
        <w:tabs>
          <w:tab w:leader="none" w:pos="14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1182"/>
        <w:spacing w:after="0" w:line="308" w:lineRule="auto"/>
        <w:tabs>
          <w:tab w:leader="none" w:pos="1419"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80" w:firstLine="1182"/>
        <w:spacing w:after="0" w:line="263" w:lineRule="auto"/>
        <w:tabs>
          <w:tab w:leader="none" w:pos="14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332"/>
        <w:spacing w:after="0" w:line="308" w:lineRule="auto"/>
        <w:tabs>
          <w:tab w:leader="none" w:pos="8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1182"/>
        <w:spacing w:after="0" w:line="308" w:lineRule="auto"/>
        <w:tabs>
          <w:tab w:leader="none" w:pos="140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 w:firstLine="1182"/>
        <w:spacing w:after="0" w:line="277" w:lineRule="auto"/>
        <w:tabs>
          <w:tab w:leader="none" w:pos="141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5, 2021</w:t>
      </w:r>
    </w:p>
    <w:p>
      <w:pPr>
        <w:spacing w:after="0" w:line="36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9743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60" w:firstLine="251"/>
        <w:spacing w:after="0" w:line="342" w:lineRule="auto"/>
        <w:tabs>
          <w:tab w:leader="none" w:pos="4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251"/>
        <w:spacing w:after="0" w:line="277"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251"/>
        <w:spacing w:after="0" w:line="263"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34"/>
        <w:spacing w:after="0" w:line="263" w:lineRule="auto"/>
        <w:tabs>
          <w:tab w:leader="none" w:pos="7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34"/>
        <w:spacing w:after="0" w:line="263" w:lineRule="auto"/>
        <w:tabs>
          <w:tab w:leader="none" w:pos="7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60" w:firstLine="534"/>
        <w:spacing w:after="0" w:line="342" w:lineRule="auto"/>
        <w:tabs>
          <w:tab w:leader="none" w:pos="7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34"/>
        <w:spacing w:after="0" w:line="263" w:lineRule="auto"/>
        <w:tabs>
          <w:tab w:leader="none" w:pos="7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251"/>
        <w:spacing w:after="0" w:line="308" w:lineRule="auto"/>
        <w:tabs>
          <w:tab w:leader="none" w:pos="4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60" w:firstLine="534"/>
        <w:spacing w:after="0" w:line="277" w:lineRule="auto"/>
        <w:tabs>
          <w:tab w:leader="none" w:pos="7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34"/>
        <w:spacing w:after="0" w:line="277" w:lineRule="auto"/>
        <w:tabs>
          <w:tab w:leader="none" w:pos="7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5, 2021</w:t>
      </w:r>
    </w:p>
    <w:p>
      <w:pPr>
        <w:spacing w:after="0" w:line="36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974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Joseph A. Mara</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4"/>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100" w:firstLine="332"/>
        <w:spacing w:after="0" w:line="527"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2021</w:t>
      </w:r>
    </w:p>
    <w:p>
      <w:pPr>
        <w:spacing w:after="0" w:line="9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4"/>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100" w:firstLine="332"/>
        <w:spacing w:after="0" w:line="527"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2021</w:t>
      </w:r>
    </w:p>
    <w:p>
      <w:pPr>
        <w:spacing w:after="0" w:line="90"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Joseph A. Mara</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11"/>
    </w:lvl>
    <w:lvl w:ilvl="1">
      <w:lvlJc w:val="left"/>
      <w:lvlText w:val="%2"/>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2021-05-05T07:09:47Z</dcterms:created>
  <dcterms:modified xsi:type="dcterms:W3CDTF">2021-05-05T07:09:47Z</dcterms:modified>
</cp:coreProperties>
</file>