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605790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jc w:val="center"/>
        <w:ind w:right="80"/>
        <w:spacing w:after="0" w:line="233" w:lineRule="auto"/>
        <w:rPr>
          <w:sz w:val="20"/>
          <w:szCs w:val="20"/>
          <w:color w:val="auto"/>
        </w:rPr>
      </w:pPr>
      <w:r>
        <w:rPr>
          <w:rFonts w:ascii="Arial" w:cs="Arial" w:eastAsia="Arial" w:hAnsi="Arial"/>
          <w:sz w:val="28"/>
          <w:szCs w:val="28"/>
          <w:b w:val="1"/>
          <w:bCs w:val="1"/>
          <w:color w:val="auto"/>
        </w:rPr>
        <w:t>Form 10-K</w:t>
      </w:r>
    </w:p>
    <w:p>
      <w:pPr>
        <w:spacing w:after="0" w:line="1"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2021</w:t>
      </w:r>
    </w:p>
    <w:p>
      <w:pPr>
        <w:jc w:val="center"/>
        <w:ind w:right="-19"/>
        <w:spacing w:after="0" w:line="186" w:lineRule="auto"/>
        <w:rPr>
          <w:sz w:val="20"/>
          <w:szCs w:val="20"/>
          <w:color w:val="auto"/>
        </w:rPr>
      </w:pPr>
      <w:r>
        <w:rPr>
          <w:rFonts w:ascii="Arial" w:cs="Arial" w:eastAsia="Arial" w:hAnsi="Arial"/>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jc w:val="center"/>
        <w:ind w:right="-39"/>
        <w:spacing w:after="0"/>
        <w:rPr>
          <w:sz w:val="20"/>
          <w:szCs w:val="20"/>
          <w:color w:val="auto"/>
        </w:rPr>
      </w:pPr>
      <w:r>
        <w:rPr>
          <w:rFonts w:ascii="Arial" w:cs="Arial" w:eastAsia="Arial" w:hAnsi="Arial"/>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p>
      <w:pPr>
        <w:spacing w:after="0" w:line="290" w:lineRule="exact"/>
        <w:rPr>
          <w:sz w:val="24"/>
          <w:szCs w:val="24"/>
          <w:color w:val="auto"/>
        </w:rPr>
      </w:pPr>
    </w:p>
    <w:p>
      <w:pPr>
        <w:jc w:val="center"/>
        <w:ind w:right="1500"/>
        <w:spacing w:after="0"/>
        <w:rPr>
          <w:sz w:val="20"/>
          <w:szCs w:val="20"/>
          <w:color w:val="auto"/>
        </w:rPr>
      </w:pPr>
      <w:r>
        <w:rPr>
          <w:rFonts w:ascii="Arial" w:cs="Arial" w:eastAsia="Arial" w:hAnsi="Arial"/>
          <w:sz w:val="14"/>
          <w:szCs w:val="14"/>
          <w:b w:val="1"/>
          <w:bCs w:val="1"/>
          <w:color w:val="auto"/>
        </w:rPr>
        <w:t>Michigan</w:t>
      </w:r>
    </w:p>
    <w:p>
      <w:pPr>
        <w:spacing w:after="0" w:line="30" w:lineRule="exact"/>
        <w:rPr>
          <w:sz w:val="24"/>
          <w:szCs w:val="24"/>
          <w:color w:val="auto"/>
        </w:rPr>
      </w:pPr>
    </w:p>
    <w:p>
      <w:pPr>
        <w:jc w:val="center"/>
        <w:ind w:right="15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94-3096597</w:t>
      </w:r>
    </w:p>
    <w:p>
      <w:pPr>
        <w:spacing w:after="0" w:line="30"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(I.R.S. Employer Identification No.)</w:t>
      </w:r>
    </w:p>
    <w:p>
      <w:pPr>
        <w:spacing w:after="0" w:line="184" w:lineRule="exact"/>
        <w:rPr>
          <w:sz w:val="24"/>
          <w:szCs w:val="24"/>
          <w:color w:val="auto"/>
        </w:rPr>
      </w:pPr>
    </w:p>
    <w:p>
      <w:pPr>
        <w:sectPr>
          <w:pgSz w:w="11900" w:h="16838" w:orient="portrait"/>
          <w:cols w:equalWidth="0" w:num="2">
            <w:col w:w="6460" w:space="720"/>
            <w:col w:w="4060"/>
          </w:cols>
          <w:pgMar w:left="320" w:top="102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64 Sidney Street</w:t>
      </w:r>
    </w:p>
    <w:p>
      <w:pPr>
        <w:jc w:val="center"/>
        <w:spacing w:after="0" w:line="191" w:lineRule="auto"/>
        <w:rPr>
          <w:sz w:val="20"/>
          <w:szCs w:val="20"/>
          <w:color w:val="auto"/>
        </w:rPr>
      </w:pPr>
      <w:r>
        <w:rPr>
          <w:rFonts w:ascii="Arial" w:cs="Arial" w:eastAsia="Arial" w:hAnsi="Arial"/>
          <w:sz w:val="18"/>
          <w:szCs w:val="18"/>
          <w:b w:val="1"/>
          <w:bCs w:val="1"/>
          <w:color w:val="auto"/>
        </w:rPr>
        <w:t>Cambridge, MA 02139</w:t>
      </w: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107315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4120" w:type="dxa"/>
            <w:vAlign w:val="bottom"/>
          </w:tcPr>
          <w:p>
            <w:pPr>
              <w:jc w:val="center"/>
              <w:ind w:left="203"/>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3700" w:type="dxa"/>
            <w:vAlign w:val="bottom"/>
          </w:tcPr>
          <w:p>
            <w:pPr>
              <w:spacing w:after="0"/>
              <w:rPr>
                <w:sz w:val="15"/>
                <w:szCs w:val="15"/>
                <w:color w:val="auto"/>
              </w:rPr>
            </w:pPr>
          </w:p>
        </w:tc>
      </w:tr>
      <w:tr>
        <w:trPr>
          <w:trHeight w:val="302"/>
        </w:trPr>
        <w:tc>
          <w:tcPr>
            <w:tcW w:w="342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b w:val="1"/>
                <w:bCs w:val="1"/>
                <w:color w:val="auto"/>
                <w:w w:val="90"/>
              </w:rPr>
              <w:t>Title of Class</w:t>
            </w:r>
          </w:p>
        </w:tc>
        <w:tc>
          <w:tcPr>
            <w:tcW w:w="412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4"/>
        </w:trPr>
        <w:tc>
          <w:tcPr>
            <w:tcW w:w="3420" w:type="dxa"/>
            <w:vAlign w:val="bottom"/>
          </w:tcPr>
          <w:p>
            <w:pPr>
              <w:jc w:val="center"/>
              <w:ind w:left="240"/>
              <w:spacing w:after="0"/>
              <w:rPr>
                <w:sz w:val="20"/>
                <w:szCs w:val="20"/>
                <w:color w:val="auto"/>
              </w:rPr>
            </w:pPr>
            <w:r>
              <w:rPr>
                <w:rFonts w:ascii="Arial" w:cs="Arial" w:eastAsia="Arial" w:hAnsi="Arial"/>
                <w:sz w:val="16"/>
                <w:szCs w:val="16"/>
                <w:color w:val="auto"/>
                <w:w w:val="91"/>
              </w:rPr>
              <w:t>Common Stock (No par value)</w:t>
            </w:r>
          </w:p>
        </w:tc>
        <w:tc>
          <w:tcPr>
            <w:tcW w:w="4120" w:type="dxa"/>
            <w:vAlign w:val="bottom"/>
          </w:tcPr>
          <w:p>
            <w:pPr>
              <w:jc w:val="center"/>
              <w:ind w:left="183"/>
              <w:spacing w:after="0"/>
              <w:rPr>
                <w:sz w:val="20"/>
                <w:szCs w:val="20"/>
                <w:color w:val="auto"/>
              </w:rPr>
            </w:pPr>
            <w:r>
              <w:rPr>
                <w:rFonts w:ascii="Arial" w:cs="Arial" w:eastAsia="Arial" w:hAnsi="Arial"/>
                <w:sz w:val="16"/>
                <w:szCs w:val="16"/>
                <w:color w:val="auto"/>
              </w:rPr>
              <w:t>VCEL</w:t>
            </w:r>
          </w:p>
        </w:tc>
        <w:tc>
          <w:tcPr>
            <w:tcW w:w="370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780"/>
        <w:spacing w:after="0" w:line="301"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spacing w:after="0" w:line="27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4" w:lineRule="exact"/>
        <w:rPr>
          <w:sz w:val="24"/>
          <w:szCs w:val="24"/>
          <w:color w:val="auto"/>
        </w:rPr>
      </w:pPr>
    </w:p>
    <w:p>
      <w:pPr>
        <w:ind w:right="360"/>
        <w:spacing w:after="0" w:line="30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97" w:lineRule="exact"/>
        <w:rPr>
          <w:sz w:val="24"/>
          <w:szCs w:val="24"/>
          <w:color w:val="auto"/>
        </w:rPr>
      </w:pPr>
    </w:p>
    <w:p>
      <w:pPr>
        <w:ind w:right="320"/>
        <w:spacing w:after="0" w:line="29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600" w:type="dxa"/>
            <w:vAlign w:val="bottom"/>
          </w:tcPr>
          <w:p>
            <w:pPr>
              <w:jc w:val="center"/>
              <w:ind w:left="1166"/>
              <w:spacing w:after="0"/>
              <w:rPr>
                <w:sz w:val="20"/>
                <w:szCs w:val="20"/>
                <w:color w:val="auto"/>
              </w:rPr>
            </w:pPr>
            <w:r>
              <w:rPr>
                <w:rFonts w:ascii="Arial" w:cs="Arial" w:eastAsia="Arial" w:hAnsi="Arial"/>
                <w:sz w:val="14"/>
                <w:szCs w:val="14"/>
                <w:color w:val="auto"/>
                <w:w w:val="92"/>
              </w:rPr>
              <w:t>Large accelerated filer</w:t>
            </w:r>
          </w:p>
        </w:tc>
        <w:tc>
          <w:tcPr>
            <w:tcW w:w="1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7"/>
        </w:trPr>
        <w:tc>
          <w:tcPr>
            <w:tcW w:w="4600" w:type="dxa"/>
            <w:vAlign w:val="bottom"/>
          </w:tcPr>
          <w:p>
            <w:pPr>
              <w:jc w:val="center"/>
              <w:ind w:left="1166"/>
              <w:spacing w:after="0"/>
              <w:rPr>
                <w:sz w:val="20"/>
                <w:szCs w:val="20"/>
                <w:color w:val="auto"/>
              </w:rPr>
            </w:pPr>
            <w:r>
              <w:rPr>
                <w:rFonts w:ascii="Arial" w:cs="Arial" w:eastAsia="Arial" w:hAnsi="Arial"/>
                <w:sz w:val="14"/>
                <w:szCs w:val="14"/>
                <w:color w:val="auto"/>
                <w:w w:val="92"/>
              </w:rPr>
              <w:t>Non-accelerated filer</w:t>
            </w:r>
          </w:p>
        </w:tc>
        <w:tc>
          <w:tcPr>
            <w:tcW w:w="1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jc w:val="center"/>
              <w:spacing w:after="0"/>
              <w:rPr>
                <w:sz w:val="20"/>
                <w:szCs w:val="20"/>
                <w:color w:val="auto"/>
              </w:rPr>
            </w:pPr>
            <w:r>
              <w:rPr>
                <w:rFonts w:ascii="Arial" w:cs="Arial" w:eastAsia="Arial" w:hAnsi="Arial"/>
                <w:sz w:val="14"/>
                <w:szCs w:val="14"/>
                <w:color w:val="auto"/>
                <w:w w:val="93"/>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2"/>
        </w:trPr>
        <w:tc>
          <w:tcPr>
            <w:tcW w:w="460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19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auto"/>
                <w:w w:val="93"/>
              </w:rPr>
              <w:t>Emerging growth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80"/>
        </w:trPr>
        <w:tc>
          <w:tcPr>
            <w:tcW w:w="460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3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100"/>
        <w:spacing w:after="0" w:line="25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9" w:lineRule="exact"/>
        <w:rPr>
          <w:sz w:val="24"/>
          <w:szCs w:val="24"/>
          <w:color w:val="auto"/>
        </w:rPr>
      </w:pPr>
    </w:p>
    <w:p>
      <w:pPr>
        <w:ind w:right="320"/>
        <w:spacing w:after="0" w:line="207"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w:t>
      </w:r>
      <w:r>
        <w:rPr>
          <w:rFonts w:ascii="Arial" w:cs="Arial" w:eastAsia="Arial" w:hAnsi="Arial"/>
          <w:sz w:val="15"/>
          <w:szCs w:val="15"/>
          <w:color w:val="008080"/>
        </w:rPr>
        <w:t>’</w:t>
      </w:r>
      <w:r>
        <w:rPr>
          <w:rFonts w:ascii="Arial" w:cs="Arial" w:eastAsia="Arial" w:hAnsi="Arial"/>
          <w:sz w:val="14"/>
          <w:szCs w:val="14"/>
          <w:color w:val="auto"/>
        </w:rPr>
        <w:t xml:space="preserve">s assessment of the effectiveness of its internal control over financial reporting under Section 404(b) of the Sarbanes-Oxley Act (15 U.S. 7262(b)) by the registered public accounting firm that prepared or issued its audit report </w:t>
      </w:r>
      <w:r>
        <w:rPr>
          <w:rFonts w:ascii="MS PGothic" w:cs="MS PGothic" w:eastAsia="MS PGothic" w:hAnsi="MS PGothic"/>
          <w:sz w:val="14"/>
          <w:szCs w:val="14"/>
          <w:color w:val="auto"/>
        </w:rPr>
        <w:t>☒</w:t>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80" w:lineRule="exact"/>
        <w:rPr>
          <w:sz w:val="24"/>
          <w:szCs w:val="24"/>
          <w:color w:val="auto"/>
        </w:rPr>
      </w:pPr>
    </w:p>
    <w:p>
      <w:pPr>
        <w:ind w:right="40"/>
        <w:spacing w:after="0" w:line="223" w:lineRule="auto"/>
        <w:rPr>
          <w:sz w:val="20"/>
          <w:szCs w:val="20"/>
          <w:color w:val="auto"/>
        </w:rPr>
      </w:pPr>
      <w:r>
        <w:rPr>
          <w:rFonts w:ascii="Arial" w:cs="Arial" w:eastAsia="Arial" w:hAnsi="Arial"/>
          <w:sz w:val="16"/>
          <w:szCs w:val="16"/>
          <w:color w:val="auto"/>
        </w:rPr>
        <w:t>The aggregate market value of the registrant’s Common Stock, no par value per share (“Common Stock”), held by non-affiliates of the registrant (based on the closing sales price of the Common Stock as reported on the NASDAQ Capital Market) on June 30, 2021 was approximately $2,430,875,370. This computation excludes shares of Common Stock held by each executive officer and director who may be deemed to be affiliates of the registrant. This determination of affiliate status is not necessarily a conclusive determination for other purposes.</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18, 2022, 46,967,681 shares of Common Stock, no par value per share, were outstanding.</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7100" w:type="dxa"/>
            <w:vAlign w:val="bottom"/>
            <w:gridSpan w:val="2"/>
          </w:tcPr>
          <w:p>
            <w:pPr>
              <w:ind w:left="3060"/>
              <w:spacing w:after="0"/>
              <w:rPr>
                <w:sz w:val="20"/>
                <w:szCs w:val="20"/>
                <w:color w:val="auto"/>
              </w:rPr>
            </w:pPr>
            <w:r>
              <w:rPr>
                <w:rFonts w:ascii="Arial" w:cs="Arial" w:eastAsia="Arial" w:hAnsi="Arial"/>
                <w:sz w:val="12"/>
                <w:szCs w:val="12"/>
                <w:b w:val="1"/>
                <w:bCs w:val="1"/>
                <w:color w:val="auto"/>
              </w:rPr>
              <w:t>Document</w:t>
            </w:r>
          </w:p>
        </w:tc>
        <w:tc>
          <w:tcPr>
            <w:tcW w:w="4100" w:type="dxa"/>
            <w:vAlign w:val="bottom"/>
            <w:gridSpan w:val="2"/>
          </w:tcPr>
          <w:p>
            <w:pPr>
              <w:ind w:left="1020"/>
              <w:spacing w:after="0"/>
              <w:rPr>
                <w:sz w:val="20"/>
                <w:szCs w:val="20"/>
                <w:color w:val="auto"/>
              </w:rPr>
            </w:pPr>
            <w:r>
              <w:rPr>
                <w:rFonts w:ascii="Arial" w:cs="Arial" w:eastAsia="Arial" w:hAnsi="Arial"/>
                <w:sz w:val="12"/>
                <w:szCs w:val="12"/>
                <w:b w:val="1"/>
                <w:bCs w:val="1"/>
                <w:color w:val="auto"/>
              </w:rPr>
              <w:t>Form 10-K Reference</w:t>
            </w:r>
          </w:p>
        </w:tc>
      </w:tr>
      <w:tr>
        <w:trPr>
          <w:trHeight w:val="181"/>
        </w:trPr>
        <w:tc>
          <w:tcPr>
            <w:tcW w:w="40" w:type="dxa"/>
            <w:vAlign w:val="bottom"/>
          </w:tcPr>
          <w:p>
            <w:pPr>
              <w:spacing w:after="0"/>
              <w:rPr>
                <w:sz w:val="15"/>
                <w:szCs w:val="15"/>
                <w:color w:val="auto"/>
              </w:rPr>
            </w:pPr>
          </w:p>
        </w:tc>
        <w:tc>
          <w:tcPr>
            <w:tcW w:w="6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Proxy Statement for the Annual Meeting of Shareholders scheduled for April 27, 2022</w:t>
            </w:r>
          </w:p>
        </w:tc>
        <w:tc>
          <w:tcPr>
            <w:tcW w:w="420" w:type="dxa"/>
            <w:vAlign w:val="bottom"/>
          </w:tcPr>
          <w:p>
            <w:pPr>
              <w:spacing w:after="0"/>
              <w:rPr>
                <w:sz w:val="15"/>
                <w:szCs w:val="15"/>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Items 10, 11, 12, 13 and 14 of Part III</w:t>
            </w:r>
          </w:p>
        </w:tc>
        <w:tc>
          <w:tcPr>
            <w:tcW w:w="900" w:type="dxa"/>
            <w:vAlign w:val="bottom"/>
          </w:tcPr>
          <w:p>
            <w:pPr>
              <w:spacing w:after="0"/>
              <w:rPr>
                <w:sz w:val="15"/>
                <w:szCs w:val="15"/>
                <w:color w:val="auto"/>
              </w:rPr>
            </w:pPr>
          </w:p>
        </w:tc>
      </w:tr>
      <w:tr>
        <w:trPr>
          <w:trHeight w:val="213"/>
        </w:trPr>
        <w:tc>
          <w:tcPr>
            <w:tcW w:w="4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53"/>
        </w:trPr>
        <w:tc>
          <w:tcPr>
            <w:tcW w:w="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67"/>
        </w:trPr>
        <w:tc>
          <w:tcPr>
            <w:tcW w:w="40" w:type="dxa"/>
            <w:vAlign w:val="bottom"/>
            <w:shd w:val="clear" w:color="auto" w:fill="000000"/>
          </w:tcPr>
          <w:p>
            <w:pPr>
              <w:spacing w:after="0"/>
              <w:rPr>
                <w:sz w:val="5"/>
                <w:szCs w:val="5"/>
                <w:color w:val="auto"/>
              </w:rPr>
            </w:pPr>
          </w:p>
        </w:tc>
        <w:tc>
          <w:tcPr>
            <w:tcW w:w="66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r>
        <w:trPr>
          <w:trHeight w:val="687"/>
        </w:trPr>
        <w:tc>
          <w:tcPr>
            <w:tcW w:w="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rPr>
              <w:t>VERICEL CORPORATION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8"/>
              </w:rPr>
              <w:t>ANNUAL REPORT ON FORM 10-K</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2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w w:val="97"/>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5"/>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Page</w:t>
            </w:r>
          </w:p>
        </w:tc>
      </w:tr>
      <w:tr>
        <w:trPr>
          <w:trHeight w:val="212"/>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7"/>
          </w:tcPr>
          <w:p>
            <w:pPr>
              <w:jc w:val="center"/>
              <w:ind w:right="4280"/>
              <w:spacing w:after="0"/>
              <w:rPr>
                <w:sz w:val="20"/>
                <w:szCs w:val="20"/>
                <w:color w:val="auto"/>
              </w:rPr>
            </w:pPr>
            <w:r>
              <w:rPr>
                <w:rFonts w:ascii="Arial" w:cs="Arial" w:eastAsia="Arial" w:hAnsi="Arial"/>
                <w:sz w:val="18"/>
                <w:szCs w:val="18"/>
                <w:b w:val="1"/>
                <w:bCs w:val="1"/>
                <w:color w:val="auto"/>
                <w:w w:val="94"/>
              </w:rPr>
              <w:t>PART I</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1240" w:type="dxa"/>
            <w:vAlign w:val="bottom"/>
            <w:gridSpan w:val="3"/>
          </w:tcPr>
          <w:p>
            <w:pPr>
              <w:spacing w:after="0" w:line="189"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189"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600" w:type="dxa"/>
            <w:vAlign w:val="bottom"/>
            <w:gridSpan w:val="18"/>
          </w:tcPr>
          <w:p>
            <w:pPr>
              <w:spacing w:after="0"/>
              <w:rPr>
                <w:sz w:val="16"/>
                <w:szCs w:val="16"/>
                <w:color w:val="auto"/>
              </w:rPr>
            </w:pPr>
          </w:p>
        </w:tc>
        <w:tc>
          <w:tcPr>
            <w:tcW w:w="60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6"/>
                <w:szCs w:val="16"/>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Risk Factors</w:t>
              </w:r>
            </w:hyperlink>
          </w:p>
        </w:tc>
        <w:tc>
          <w:tcPr>
            <w:tcW w:w="8340" w:type="dxa"/>
            <w:vAlign w:val="bottom"/>
            <w:gridSpan w:val="16"/>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924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Unresolved Staff Comments</w:t>
              </w:r>
            </w:hyperlink>
          </w:p>
        </w:tc>
        <w:tc>
          <w:tcPr>
            <w:tcW w:w="7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2020" w:type="dxa"/>
            <w:vAlign w:val="bottom"/>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Properties</w:t>
              </w:r>
            </w:hyperlink>
          </w:p>
        </w:tc>
        <w:tc>
          <w:tcPr>
            <w:tcW w:w="7220" w:type="dxa"/>
            <w:vAlign w:val="bottom"/>
            <w:gridSpan w:val="11"/>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Legal Proceedings</w:t>
              </w:r>
            </w:hyperlink>
          </w:p>
        </w:tc>
        <w:tc>
          <w:tcPr>
            <w:tcW w:w="7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7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gridSpan w:val="7"/>
          </w:tcPr>
          <w:p>
            <w:pPr>
              <w:jc w:val="center"/>
              <w:ind w:right="4280"/>
              <w:spacing w:after="0"/>
              <w:rPr>
                <w:sz w:val="20"/>
                <w:szCs w:val="20"/>
                <w:color w:val="auto"/>
              </w:rPr>
            </w:pPr>
            <w:r>
              <w:rPr>
                <w:rFonts w:ascii="Arial" w:cs="Arial" w:eastAsia="Arial" w:hAnsi="Arial"/>
                <w:sz w:val="18"/>
                <w:szCs w:val="18"/>
                <w:b w:val="1"/>
                <w:bCs w:val="1"/>
                <w:color w:val="auto"/>
                <w:w w:val="99"/>
              </w:rPr>
              <w:t>PART 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1240" w:type="dxa"/>
            <w:vAlign w:val="bottom"/>
            <w:gridSpan w:val="3"/>
          </w:tcPr>
          <w:p>
            <w:pPr>
              <w:spacing w:after="0" w:line="189" w:lineRule="exact"/>
              <w:rPr>
                <w:sz w:val="20"/>
                <w:szCs w:val="20"/>
                <w:color w:val="auto"/>
              </w:rPr>
            </w:pPr>
            <w:r>
              <w:rPr>
                <w:rFonts w:ascii="Arial" w:cs="Arial" w:eastAsia="Arial" w:hAnsi="Arial"/>
                <w:sz w:val="18"/>
                <w:szCs w:val="18"/>
                <w:color w:val="auto"/>
              </w:rPr>
              <w:t>Item 5.</w:t>
            </w:r>
          </w:p>
        </w:tc>
        <w:tc>
          <w:tcPr>
            <w:tcW w:w="9240" w:type="dxa"/>
            <w:vAlign w:val="bottom"/>
            <w:gridSpan w:val="19"/>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Market for Registrant’s Common Equity, Related Shareholder Matters and Issuer Purchases of Equity Securities</w:t>
              </w:r>
            </w:hyperlink>
          </w:p>
        </w:tc>
        <w:tc>
          <w:tcPr>
            <w:tcW w:w="700" w:type="dxa"/>
            <w:vAlign w:val="bottom"/>
            <w:gridSpan w:val="4"/>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7980" w:type="dxa"/>
            <w:vAlign w:val="bottom"/>
            <w:gridSpan w:val="18"/>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Reserved</w:t>
              </w:r>
            </w:hyperlink>
          </w:p>
        </w:tc>
        <w:tc>
          <w:tcPr>
            <w:tcW w:w="1260" w:type="dxa"/>
            <w:vAlign w:val="bottom"/>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7.</w:t>
            </w:r>
          </w:p>
        </w:tc>
        <w:tc>
          <w:tcPr>
            <w:tcW w:w="9240" w:type="dxa"/>
            <w:vAlign w:val="bottom"/>
            <w:gridSpan w:val="1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4280" w:type="dxa"/>
            <w:vAlign w:val="bottom"/>
            <w:gridSpan w:val="12"/>
          </w:tcPr>
          <w:p>
            <w:pP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Quantitative and Qualitative Disclosures About Market Risk</w:t>
              </w:r>
            </w:hyperlink>
          </w:p>
        </w:tc>
        <w:tc>
          <w:tcPr>
            <w:tcW w:w="2100" w:type="dxa"/>
            <w:vAlign w:val="bottom"/>
            <w:gridSpan w:val="3"/>
          </w:tcPr>
          <w:p>
            <w:pPr>
              <w:spacing w:after="0"/>
              <w:rPr>
                <w:sz w:val="17"/>
                <w:szCs w:val="17"/>
                <w:color w:val="auto"/>
              </w:rPr>
            </w:pPr>
          </w:p>
        </w:tc>
        <w:tc>
          <w:tcPr>
            <w:tcW w:w="2860" w:type="dxa"/>
            <w:vAlign w:val="bottom"/>
            <w:gridSpan w:val="4"/>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280" w:type="dxa"/>
            <w:vAlign w:val="bottom"/>
            <w:gridSpan w:val="12"/>
          </w:tcPr>
          <w:p>
            <w:pPr>
              <w:spacing w:after="0"/>
              <w:rPr>
                <w:rFonts w:ascii="Arial" w:cs="Arial" w:eastAsia="Arial" w:hAnsi="Arial"/>
                <w:sz w:val="18"/>
                <w:szCs w:val="18"/>
                <w:color w:val="0000FF"/>
                <w:w w:val="87"/>
              </w:rPr>
            </w:pPr>
            <w:hyperlink w:anchor="page66">
              <w:r>
                <w:rPr>
                  <w:rFonts w:ascii="Arial" w:cs="Arial" w:eastAsia="Arial" w:hAnsi="Arial"/>
                  <w:sz w:val="18"/>
                  <w:szCs w:val="18"/>
                  <w:color w:val="0000FF"/>
                  <w:w w:val="87"/>
                </w:rPr>
                <w:t>Consolidated Financial Statements and Supplementary Data</w:t>
              </w:r>
            </w:hyperlink>
          </w:p>
        </w:tc>
        <w:tc>
          <w:tcPr>
            <w:tcW w:w="4960" w:type="dxa"/>
            <w:vAlign w:val="bottom"/>
            <w:gridSpan w:val="7"/>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9.</w:t>
            </w:r>
          </w:p>
        </w:tc>
        <w:tc>
          <w:tcPr>
            <w:tcW w:w="9240" w:type="dxa"/>
            <w:vAlign w:val="bottom"/>
            <w:gridSpan w:val="19"/>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 xml:space="preserve">Changes in and Disagreements </w:t>
              </w:r>
            </w:hyperlink>
            <w:r>
              <w:rPr>
                <w:rFonts w:ascii="Arial" w:cs="Arial" w:eastAsia="Arial" w:hAnsi="Arial"/>
                <w:sz w:val="18"/>
                <w:szCs w:val="18"/>
                <w:color w:val="0000FF"/>
              </w:rPr>
              <w:t xml:space="preserve">with </w:t>
            </w:r>
            <w:hyperlink w:anchor="page92">
              <w:r>
                <w:rPr>
                  <w:rFonts w:ascii="Arial" w:cs="Arial" w:eastAsia="Arial" w:hAnsi="Arial"/>
                  <w:sz w:val="18"/>
                  <w:szCs w:val="18"/>
                  <w:color w:val="0000FF"/>
                </w:rPr>
                <w:t>Accountants on Accounting and Financial Disclosure</w:t>
              </w:r>
            </w:hyperlink>
          </w:p>
        </w:tc>
        <w:tc>
          <w:tcPr>
            <w:tcW w:w="700" w:type="dxa"/>
            <w:vAlign w:val="bottom"/>
            <w:gridSpan w:val="4"/>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93</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6"/>
          </w:tcPr>
          <w:p>
            <w:pPr>
              <w:spacing w:after="0"/>
              <w:rPr>
                <w:rFonts w:ascii="Arial" w:cs="Arial" w:eastAsia="Arial" w:hAnsi="Arial"/>
                <w:sz w:val="18"/>
                <w:szCs w:val="18"/>
                <w:color w:val="0000FF"/>
                <w:w w:val="87"/>
              </w:rPr>
            </w:pPr>
            <w:hyperlink w:anchor="page93">
              <w:r>
                <w:rPr>
                  <w:rFonts w:ascii="Arial" w:cs="Arial" w:eastAsia="Arial" w:hAnsi="Arial"/>
                  <w:sz w:val="18"/>
                  <w:szCs w:val="18"/>
                  <w:color w:val="0000FF"/>
                  <w:w w:val="87"/>
                </w:rPr>
                <w:t>Controls and Procedures</w:t>
              </w:r>
            </w:hyperlink>
          </w:p>
        </w:tc>
        <w:tc>
          <w:tcPr>
            <w:tcW w:w="4640" w:type="dxa"/>
            <w:vAlign w:val="bottom"/>
            <w:gridSpan w:val="10"/>
          </w:tcPr>
          <w:p>
            <w:pPr>
              <w:spacing w:after="0"/>
              <w:rPr>
                <w:sz w:val="17"/>
                <w:szCs w:val="17"/>
                <w:color w:val="auto"/>
              </w:rPr>
            </w:pPr>
          </w:p>
        </w:tc>
        <w:tc>
          <w:tcPr>
            <w:tcW w:w="2840" w:type="dxa"/>
            <w:vAlign w:val="bottom"/>
            <w:gridSpan w:val="3"/>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Other Information</w:t>
              </w:r>
            </w:hyperlink>
          </w:p>
        </w:tc>
        <w:tc>
          <w:tcPr>
            <w:tcW w:w="7480" w:type="dxa"/>
            <w:vAlign w:val="bottom"/>
            <w:gridSpan w:val="13"/>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9C.</w:t>
            </w:r>
          </w:p>
        </w:tc>
        <w:tc>
          <w:tcPr>
            <w:tcW w:w="9240" w:type="dxa"/>
            <w:vAlign w:val="bottom"/>
            <w:gridSpan w:val="19"/>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Disclosure Regarding Foreign Jurisdictions that Prevent Inspections</w:t>
              </w:r>
            </w:hyperlink>
          </w:p>
        </w:tc>
        <w:tc>
          <w:tcPr>
            <w:tcW w:w="700" w:type="dxa"/>
            <w:vAlign w:val="bottom"/>
            <w:gridSpan w:val="4"/>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18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1240" w:type="dxa"/>
            <w:vAlign w:val="bottom"/>
            <w:gridSpan w:val="3"/>
          </w:tcPr>
          <w:p>
            <w:pPr>
              <w:spacing w:after="0" w:line="189" w:lineRule="exact"/>
              <w:rPr>
                <w:sz w:val="20"/>
                <w:szCs w:val="20"/>
                <w:color w:val="auto"/>
              </w:rPr>
            </w:pPr>
            <w:r>
              <w:rPr>
                <w:rFonts w:ascii="Arial" w:cs="Arial" w:eastAsia="Arial" w:hAnsi="Arial"/>
                <w:sz w:val="18"/>
                <w:szCs w:val="18"/>
                <w:color w:val="auto"/>
              </w:rPr>
              <w:t>Item 10.</w:t>
            </w:r>
          </w:p>
        </w:tc>
        <w:tc>
          <w:tcPr>
            <w:tcW w:w="4060" w:type="dxa"/>
            <w:vAlign w:val="bottom"/>
            <w:gridSpan w:val="11"/>
          </w:tcPr>
          <w:p>
            <w:pPr>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Directors, Executive Officers and Corporate Governance</w:t>
              </w:r>
            </w:hyperlink>
          </w:p>
        </w:tc>
        <w:tc>
          <w:tcPr>
            <w:tcW w:w="5180" w:type="dxa"/>
            <w:vAlign w:val="bottom"/>
            <w:gridSpan w:val="8"/>
          </w:tcPr>
          <w:p>
            <w:pPr>
              <w:spacing w:after="0"/>
              <w:rPr>
                <w:sz w:val="16"/>
                <w:szCs w:val="16"/>
                <w:color w:val="auto"/>
              </w:rPr>
            </w:pPr>
          </w:p>
        </w:tc>
        <w:tc>
          <w:tcPr>
            <w:tcW w:w="700" w:type="dxa"/>
            <w:vAlign w:val="bottom"/>
            <w:gridSpan w:val="4"/>
          </w:tcPr>
          <w:p>
            <w:pPr>
              <w:jc w:val="right"/>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2840" w:type="dxa"/>
            <w:vAlign w:val="bottom"/>
            <w:gridSpan w:val="9"/>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Executive Compensation</w:t>
              </w:r>
            </w:hyperlink>
          </w:p>
        </w:tc>
        <w:tc>
          <w:tcPr>
            <w:tcW w:w="1220" w:type="dxa"/>
            <w:vAlign w:val="bottom"/>
            <w:gridSpan w:val="2"/>
          </w:tcPr>
          <w:p>
            <w:pPr>
              <w:spacing w:after="0"/>
              <w:rPr>
                <w:sz w:val="17"/>
                <w:szCs w:val="17"/>
                <w:color w:val="auto"/>
              </w:rPr>
            </w:pPr>
          </w:p>
        </w:tc>
        <w:tc>
          <w:tcPr>
            <w:tcW w:w="5180" w:type="dxa"/>
            <w:vAlign w:val="bottom"/>
            <w:gridSpan w:val="8"/>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260" w:type="dxa"/>
            <w:vAlign w:val="bottom"/>
            <w:gridSpan w:val="17"/>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Security Ownership of Certain Beneficial Owners and Management, and Related Shareholder Matters</w:t>
              </w:r>
            </w:hyperlink>
          </w:p>
        </w:tc>
        <w:tc>
          <w:tcPr>
            <w:tcW w:w="1980" w:type="dxa"/>
            <w:vAlign w:val="bottom"/>
            <w:gridSpan w:val="2"/>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400" w:type="dxa"/>
            <w:vAlign w:val="bottom"/>
            <w:gridSpan w:val="14"/>
          </w:tcPr>
          <w:p>
            <w:pPr>
              <w:spacing w:after="0"/>
              <w:rPr>
                <w:rFonts w:ascii="Arial" w:cs="Arial" w:eastAsia="Arial" w:hAnsi="Arial"/>
                <w:sz w:val="18"/>
                <w:szCs w:val="18"/>
                <w:color w:val="0000FF"/>
                <w:w w:val="88"/>
              </w:rPr>
            </w:pPr>
            <w:hyperlink w:anchor="page94">
              <w:r>
                <w:rPr>
                  <w:rFonts w:ascii="Arial" w:cs="Arial" w:eastAsia="Arial" w:hAnsi="Arial"/>
                  <w:sz w:val="18"/>
                  <w:szCs w:val="18"/>
                  <w:color w:val="0000FF"/>
                  <w:w w:val="88"/>
                </w:rPr>
                <w:t>Certain Relationships and Related Transactions, and Director Independence</w:t>
              </w:r>
            </w:hyperlink>
          </w:p>
        </w:tc>
        <w:tc>
          <w:tcPr>
            <w:tcW w:w="1860" w:type="dxa"/>
            <w:vAlign w:val="bottom"/>
            <w:gridSpan w:val="3"/>
          </w:tcPr>
          <w:p>
            <w:pPr>
              <w:spacing w:after="0"/>
              <w:rPr>
                <w:sz w:val="17"/>
                <w:szCs w:val="17"/>
                <w:color w:val="auto"/>
              </w:rPr>
            </w:pPr>
          </w:p>
        </w:tc>
        <w:tc>
          <w:tcPr>
            <w:tcW w:w="1980" w:type="dxa"/>
            <w:vAlign w:val="bottom"/>
            <w:gridSpan w:val="2"/>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400" w:type="dxa"/>
            <w:vAlign w:val="bottom"/>
            <w:gridSpan w:val="1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Principal Accountant Fees and Services</w:t>
              </w:r>
            </w:hyperlink>
          </w:p>
        </w:tc>
        <w:tc>
          <w:tcPr>
            <w:tcW w:w="3840" w:type="dxa"/>
            <w:vAlign w:val="bottom"/>
            <w:gridSpan w:val="5"/>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2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18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8"/>
              </w:rPr>
              <w:t>PART IV</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1240" w:type="dxa"/>
            <w:vAlign w:val="bottom"/>
            <w:gridSpan w:val="3"/>
          </w:tcPr>
          <w:p>
            <w:pPr>
              <w:spacing w:after="0" w:line="189" w:lineRule="exact"/>
              <w:rPr>
                <w:sz w:val="20"/>
                <w:szCs w:val="20"/>
                <w:color w:val="auto"/>
              </w:rPr>
            </w:pPr>
            <w:r>
              <w:rPr>
                <w:rFonts w:ascii="Arial" w:cs="Arial" w:eastAsia="Arial" w:hAnsi="Arial"/>
                <w:sz w:val="18"/>
                <w:szCs w:val="18"/>
                <w:color w:val="auto"/>
              </w:rPr>
              <w:t>Item 15.</w:t>
            </w:r>
          </w:p>
        </w:tc>
        <w:tc>
          <w:tcPr>
            <w:tcW w:w="9240" w:type="dxa"/>
            <w:vAlign w:val="bottom"/>
            <w:gridSpan w:val="19"/>
          </w:tcPr>
          <w:p>
            <w:pPr>
              <w:spacing w:after="0" w:line="189" w:lineRule="exact"/>
              <w:rPr>
                <w:rFonts w:ascii="Arial" w:cs="Arial" w:eastAsia="Arial" w:hAnsi="Arial"/>
                <w:sz w:val="18"/>
                <w:szCs w:val="18"/>
                <w:color w:val="0000FF"/>
              </w:rPr>
            </w:pPr>
            <w:hyperlink w:anchor="page95">
              <w:r>
                <w:rPr>
                  <w:rFonts w:ascii="Arial" w:cs="Arial" w:eastAsia="Arial" w:hAnsi="Arial"/>
                  <w:sz w:val="18"/>
                  <w:szCs w:val="18"/>
                  <w:color w:val="0000FF"/>
                </w:rPr>
                <w:t>Exhibits and Financial Statement Schedules</w:t>
              </w:r>
            </w:hyperlink>
          </w:p>
        </w:tc>
        <w:tc>
          <w:tcPr>
            <w:tcW w:w="700" w:type="dxa"/>
            <w:vAlign w:val="bottom"/>
            <w:gridSpan w:val="4"/>
          </w:tcPr>
          <w:p>
            <w:pPr>
              <w:jc w:val="right"/>
              <w:spacing w:after="0" w:line="189" w:lineRule="exact"/>
              <w:rPr>
                <w:rFonts w:ascii="Arial" w:cs="Arial" w:eastAsia="Arial" w:hAnsi="Arial"/>
                <w:sz w:val="18"/>
                <w:szCs w:val="18"/>
                <w:color w:val="0000FF"/>
              </w:rPr>
            </w:pPr>
            <w:hyperlink w:anchor="page95">
              <w:r>
                <w:rPr>
                  <w:rFonts w:ascii="Arial" w:cs="Arial" w:eastAsia="Arial" w:hAnsi="Arial"/>
                  <w:sz w:val="18"/>
                  <w:szCs w:val="18"/>
                  <w:color w:val="0000FF"/>
                </w:rPr>
                <w:t>95</w:t>
              </w:r>
            </w:hyperlink>
          </w:p>
        </w:tc>
        <w:tc>
          <w:tcPr>
            <w:tcW w:w="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1540" w:type="dxa"/>
            <w:vAlign w:val="bottom"/>
            <w:gridSpan w:val="5"/>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Form 10-K Summary</w:t>
              </w:r>
            </w:hyperlink>
          </w:p>
        </w:tc>
        <w:tc>
          <w:tcPr>
            <w:tcW w:w="1580" w:type="dxa"/>
            <w:vAlign w:val="bottom"/>
            <w:gridSpan w:val="5"/>
          </w:tcPr>
          <w:p>
            <w:pPr>
              <w:spacing w:after="0"/>
              <w:rPr>
                <w:sz w:val="17"/>
                <w:szCs w:val="17"/>
                <w:color w:val="auto"/>
              </w:rPr>
            </w:pPr>
          </w:p>
        </w:tc>
        <w:tc>
          <w:tcPr>
            <w:tcW w:w="6120" w:type="dxa"/>
            <w:vAlign w:val="bottom"/>
            <w:gridSpan w:val="9"/>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95</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80" w:type="dxa"/>
            <w:vAlign w:val="bottom"/>
            <w:gridSpan w:val="2"/>
          </w:tcPr>
          <w:p>
            <w:pPr>
              <w:spacing w:after="0"/>
              <w:rPr>
                <w:rFonts w:ascii="Arial" w:cs="Arial" w:eastAsia="Arial" w:hAnsi="Arial"/>
                <w:sz w:val="18"/>
                <w:szCs w:val="18"/>
                <w:color w:val="0000FF"/>
                <w:w w:val="93"/>
              </w:rPr>
            </w:pPr>
            <w:hyperlink w:anchor="page95">
              <w:r>
                <w:rPr>
                  <w:rFonts w:ascii="Arial" w:cs="Arial" w:eastAsia="Arial" w:hAnsi="Arial"/>
                  <w:sz w:val="18"/>
                  <w:szCs w:val="18"/>
                  <w:color w:val="0000FF"/>
                  <w:w w:val="93"/>
                </w:rPr>
                <w:t>Exhibit Index</w:t>
              </w:r>
            </w:hyperlink>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gridSpan w:val="4"/>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96</w:t>
              </w:r>
            </w:hyperlink>
          </w:p>
        </w:tc>
        <w:tc>
          <w:tcPr>
            <w:tcW w:w="20" w:type="dxa"/>
            <w:vAlign w:val="bottom"/>
          </w:tcPr>
          <w:p>
            <w:pPr>
              <w:spacing w:after="0"/>
              <w:rPr>
                <w:sz w:val="17"/>
                <w:szCs w:val="17"/>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760" w:type="dxa"/>
            <w:vAlign w:val="bottom"/>
          </w:tcPr>
          <w:p>
            <w:pPr>
              <w:spacing w:after="0"/>
              <w:rPr>
                <w:rFonts w:ascii="Arial" w:cs="Arial" w:eastAsia="Arial" w:hAnsi="Arial"/>
                <w:sz w:val="18"/>
                <w:szCs w:val="18"/>
                <w:color w:val="0000FF"/>
                <w:w w:val="85"/>
              </w:rPr>
            </w:pPr>
            <w:hyperlink w:anchor="page99">
              <w:r>
                <w:rPr>
                  <w:rFonts w:ascii="Arial" w:cs="Arial" w:eastAsia="Arial" w:hAnsi="Arial"/>
                  <w:sz w:val="18"/>
                  <w:szCs w:val="18"/>
                  <w:color w:val="0000FF"/>
                  <w:w w:val="85"/>
                </w:rPr>
                <w:t>Signatures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100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79" w:right="359" w:bottom="1440" w:gutter="0" w:footer="0" w:header="0"/>
        </w:sectPr>
      </w:pPr>
    </w:p>
    <w:bookmarkStart w:id="2" w:name="page3"/>
    <w:bookmarkEnd w:id="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1"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This Annual Report on Form 10-K,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(the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198"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194"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i w:val="1"/>
          <w:iCs w:val="1"/>
          <w:color w:val="auto"/>
        </w:rPr>
        <w:t>Except for the historical information presented, the matters discussed in this Annual Report, including our product development and commercialization goals and expectations, our plans and anticipated timing and results of clinical and regulatory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“Vericel,” “the Company,” “our company,” “we,” “us,” and “our” refer to Vericel Corporation.</w:t>
      </w:r>
    </w:p>
    <w:p>
      <w:pPr>
        <w:spacing w:after="0" w:line="192" w:lineRule="exact"/>
        <w:rPr>
          <w:sz w:val="20"/>
          <w:szCs w:val="20"/>
          <w:color w:val="auto"/>
        </w:rPr>
      </w:pPr>
    </w:p>
    <w:p>
      <w:pPr>
        <w:jc w:val="both"/>
        <w:ind w:firstLine="240"/>
        <w:spacing w:after="0" w:line="238" w:lineRule="auto"/>
        <w:rPr>
          <w:sz w:val="20"/>
          <w:szCs w:val="20"/>
          <w:color w:val="auto"/>
        </w:rPr>
      </w:pPr>
      <w:r>
        <w:rPr>
          <w:rFonts w:ascii="Arial" w:cs="Arial" w:eastAsia="Arial" w:hAnsi="Arial"/>
          <w:sz w:val="18"/>
          <w:szCs w:val="18"/>
          <w:i w:val="1"/>
          <w:iCs w:val="1"/>
          <w:color w:val="auto"/>
        </w:rPr>
        <w:t xml:space="preserve">We own various trademark registrations and applications, and unregistered trademarks, including Vericel Corporation, Epicel, MACI and our corporate logo. All other trade names, trademarks and service marks of other companies appearing in this Form 10-K are the property of their respective holders, including NexoBrid, which is a registered trademark of MediWound Ltd. Solely for convenience, the trademarks and trade names in this document may be referred to without the </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76" w:lineRule="exact"/>
        <w:rPr>
          <w:sz w:val="20"/>
          <w:szCs w:val="20"/>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have incurred losses and may not achieve consistent profitability for some time or at all.</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Future sales of shares of common stock could have an adverse effect on the market price of such shares.</w:t>
      </w:r>
    </w:p>
    <w:p>
      <w:pPr>
        <w:spacing w:after="0" w:line="27" w:lineRule="exact"/>
        <w:rPr>
          <w:rFonts w:ascii="Arial" w:cs="Arial" w:eastAsia="Arial" w:hAnsi="Arial"/>
          <w:sz w:val="21"/>
          <w:szCs w:val="21"/>
          <w:color w:val="auto"/>
        </w:rPr>
      </w:pPr>
    </w:p>
    <w:p>
      <w:pPr>
        <w:ind w:left="640" w:hanging="313"/>
        <w:spacing w:after="0" w:line="235"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may not be able to raise the required capital to develop and commercialize our future product candidates and otherwise grow and expand our business.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operating results will be harmed if we are unable to effectively manage and sustain our future growth or scale our operations.</w:t>
      </w:r>
    </w:p>
    <w:p>
      <w:pPr>
        <w:spacing w:after="0" w:line="27" w:lineRule="exact"/>
        <w:rPr>
          <w:rFonts w:ascii="Arial" w:cs="Arial" w:eastAsia="Arial" w:hAnsi="Arial"/>
          <w:sz w:val="21"/>
          <w:szCs w:val="21"/>
          <w:color w:val="auto"/>
        </w:rPr>
      </w:pPr>
    </w:p>
    <w:p>
      <w:pPr>
        <w:ind w:left="640" w:hanging="313"/>
        <w:spacing w:after="0" w:line="252" w:lineRule="auto"/>
        <w:tabs>
          <w:tab w:leader="none" w:pos="635" w:val="left"/>
        </w:tabs>
        <w:numPr>
          <w:ilvl w:val="0"/>
          <w:numId w:val="3"/>
        </w:numPr>
        <w:rPr>
          <w:rFonts w:ascii="Arial" w:cs="Arial" w:eastAsia="Arial" w:hAnsi="Arial"/>
          <w:sz w:val="20"/>
          <w:szCs w:val="20"/>
          <w:color w:val="auto"/>
        </w:rPr>
      </w:pPr>
      <w:r>
        <w:rPr>
          <w:rFonts w:ascii="Arial" w:cs="Arial" w:eastAsia="Arial" w:hAnsi="Arial"/>
          <w:sz w:val="17"/>
          <w:szCs w:val="17"/>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5" w:lineRule="exact"/>
        <w:rPr>
          <w:rFonts w:ascii="Arial" w:cs="Arial" w:eastAsia="Arial" w:hAnsi="Arial"/>
          <w:sz w:val="20"/>
          <w:szCs w:val="20"/>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Current financial market conditions may exacerbate certain risks affecting our business.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20" w:hanging="313"/>
        <w:spacing w:after="0" w:line="235"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are dependent on our key manufacturing, quality and other management personnel and the loss of any of these individuals could harm our business.</w:t>
      </w:r>
    </w:p>
    <w:p>
      <w:pPr>
        <w:spacing w:after="0" w:line="12" w:lineRule="exact"/>
        <w:rPr>
          <w:rFonts w:ascii="Arial" w:cs="Arial" w:eastAsia="Arial" w:hAnsi="Arial"/>
          <w:sz w:val="21"/>
          <w:szCs w:val="21"/>
          <w:color w:val="auto"/>
        </w:rPr>
      </w:pPr>
    </w:p>
    <w:p>
      <w:pPr>
        <w:ind w:left="620" w:hanging="313"/>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8"/>
          <w:szCs w:val="18"/>
          <w:color w:val="auto"/>
        </w:rPr>
        <w:t>Failure to obtain and/or maintain required regulatory approvals would severely limit our ability to sell our products.</w:t>
      </w:r>
    </w:p>
    <w:p>
      <w:pPr>
        <w:spacing w:after="0" w:line="27" w:lineRule="exact"/>
        <w:rPr>
          <w:rFonts w:ascii="Arial" w:cs="Arial" w:eastAsia="Arial" w:hAnsi="Arial"/>
          <w:sz w:val="21"/>
          <w:szCs w:val="21"/>
          <w:color w:val="auto"/>
        </w:rPr>
      </w:pPr>
    </w:p>
    <w:p>
      <w:pPr>
        <w:ind w:left="620" w:hanging="313"/>
        <w:spacing w:after="0" w:line="235"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Any changes in the regulatory requirements that affect our products and/or future product candidates could prevent, limit or delay our ability to market or develop new product candidates.</w:t>
      </w:r>
    </w:p>
    <w:p>
      <w:pPr>
        <w:spacing w:after="0" w:line="27" w:lineRule="exact"/>
        <w:rPr>
          <w:rFonts w:ascii="Arial" w:cs="Arial" w:eastAsia="Arial" w:hAnsi="Arial"/>
          <w:sz w:val="21"/>
          <w:szCs w:val="21"/>
          <w:color w:val="auto"/>
        </w:rPr>
      </w:pPr>
    </w:p>
    <w:p>
      <w:pPr>
        <w:jc w:val="both"/>
        <w:ind w:left="620" w:hanging="313"/>
        <w:spacing w:after="0" w:line="241"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The ongoing COVID-19 pandemic and the potential future outbreak of other highly infectious or contagious diseases, could seriously harm our research, development, commercialization and sales efforts, increase our costs and expenses and have a material adverse effect on our business, financial condition and results of operations, including delaying regulatory authorities’ ability to review and/or inspect required facilities or submissions.</w:t>
      </w:r>
    </w:p>
    <w:p>
      <w:pPr>
        <w:spacing w:after="0" w:line="27" w:lineRule="exact"/>
        <w:rPr>
          <w:rFonts w:ascii="Arial" w:cs="Arial" w:eastAsia="Arial" w:hAnsi="Arial"/>
          <w:sz w:val="21"/>
          <w:szCs w:val="21"/>
          <w:color w:val="auto"/>
        </w:rPr>
      </w:pPr>
    </w:p>
    <w:p>
      <w:pPr>
        <w:jc w:val="both"/>
        <w:ind w:left="620" w:hanging="313"/>
        <w:spacing w:after="0" w:line="239"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The Federal Government may, in the future, commandeer materials or manufacturing facilities for the production of COVID-19 vaccines or therapeutics, making it more difficult for us to obtain materials or manufacturing supplies needed for our preclinical studies or clinical trials or for our commercial product, which could lead to delays in studies, trials, or our commercial supply.</w:t>
      </w:r>
    </w:p>
    <w:p>
      <w:pPr>
        <w:spacing w:after="0" w:line="27" w:lineRule="exact"/>
        <w:rPr>
          <w:rFonts w:ascii="Arial" w:cs="Arial" w:eastAsia="Arial" w:hAnsi="Arial"/>
          <w:sz w:val="21"/>
          <w:szCs w:val="21"/>
          <w:color w:val="auto"/>
        </w:rPr>
      </w:pPr>
    </w:p>
    <w:p>
      <w:pPr>
        <w:ind w:left="620" w:hanging="313"/>
        <w:spacing w:after="0" w:line="235"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If our manufacturing facility is destroyed or we experience any manufacturing difficulties, disruptions or delays, this could limit supply of our products or adversely affect our ability to conduct clinical trials and our business would be adversely impacted.</w:t>
      </w:r>
    </w:p>
    <w:p>
      <w:pPr>
        <w:spacing w:after="0" w:line="12" w:lineRule="exact"/>
        <w:rPr>
          <w:rFonts w:ascii="Arial" w:cs="Arial" w:eastAsia="Arial" w:hAnsi="Arial"/>
          <w:sz w:val="21"/>
          <w:szCs w:val="21"/>
          <w:color w:val="auto"/>
        </w:rPr>
      </w:pPr>
    </w:p>
    <w:p>
      <w:pPr>
        <w:ind w:left="620" w:hanging="313"/>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8"/>
          <w:szCs w:val="18"/>
          <w:color w:val="auto"/>
        </w:rPr>
        <w:t>If we do not manage inventory in an effective and efficient manner, it could adversely affect our results of operations.</w:t>
      </w:r>
    </w:p>
    <w:p>
      <w:pPr>
        <w:spacing w:after="0" w:line="13" w:lineRule="exact"/>
        <w:rPr>
          <w:rFonts w:ascii="Arial" w:cs="Arial" w:eastAsia="Arial" w:hAnsi="Arial"/>
          <w:sz w:val="21"/>
          <w:szCs w:val="21"/>
          <w:color w:val="auto"/>
        </w:rPr>
      </w:pPr>
    </w:p>
    <w:p>
      <w:pPr>
        <w:jc w:val="both"/>
        <w:ind w:left="620" w:hanging="313"/>
        <w:spacing w:after="0" w:line="215"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Failure of third parties, including for example Matricel GmbH (“Matricel”), to manufacture or supply certain components, equipment, disposable devices and other materials used in our MACI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Epicel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cell manufacturing processes would impair our cell product development and commercialization.</w:t>
      </w:r>
    </w:p>
    <w:p>
      <w:pPr>
        <w:spacing w:after="0" w:line="15" w:lineRule="exact"/>
        <w:rPr>
          <w:rFonts w:ascii="Arial" w:cs="Arial" w:eastAsia="Arial" w:hAnsi="Arial"/>
          <w:sz w:val="21"/>
          <w:szCs w:val="21"/>
          <w:color w:val="auto"/>
        </w:rPr>
      </w:pPr>
    </w:p>
    <w:p>
      <w:pPr>
        <w:jc w:val="both"/>
        <w:ind w:left="620" w:hanging="313"/>
        <w:spacing w:after="0" w:line="239"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Because our manufacturing and supply chain are subject to significant regulations, failure by our third-party manufacturers, including Matricel, to comply with the regulatory requirements set forth by the FDA with respect to our products could limit our ability to manufacture commercial products and/or result in the products being subject to restrictions or withdrawn from the market.</w:t>
      </w:r>
    </w:p>
    <w:p>
      <w:pPr>
        <w:spacing w:after="0" w:line="27" w:lineRule="exact"/>
        <w:rPr>
          <w:rFonts w:ascii="Arial" w:cs="Arial" w:eastAsia="Arial" w:hAnsi="Arial"/>
          <w:sz w:val="21"/>
          <w:szCs w:val="21"/>
          <w:color w:val="auto"/>
        </w:rPr>
      </w:pPr>
    </w:p>
    <w:p>
      <w:pPr>
        <w:ind w:left="620" w:right="20" w:hanging="313"/>
        <w:spacing w:after="0" w:line="235"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Changes to our products or future product candidates may require regulatory approvals which could result in the delay of the change being made or, if not approved, prevent any changes from being made.</w:t>
      </w:r>
    </w:p>
    <w:p>
      <w:pPr>
        <w:spacing w:after="0" w:line="27" w:lineRule="exact"/>
        <w:rPr>
          <w:rFonts w:ascii="Arial" w:cs="Arial" w:eastAsia="Arial" w:hAnsi="Arial"/>
          <w:sz w:val="21"/>
          <w:szCs w:val="21"/>
          <w:color w:val="auto"/>
        </w:rPr>
      </w:pPr>
    </w:p>
    <w:p>
      <w:pPr>
        <w:ind w:left="620" w:hanging="313"/>
        <w:spacing w:after="0" w:line="235"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Failure to obtain adequate reimbursement and reimbursement rates for our products could have a material adverse effect on our financial condition and operating results.</w:t>
      </w:r>
    </w:p>
    <w:p>
      <w:pPr>
        <w:spacing w:after="0" w:line="22" w:lineRule="exact"/>
        <w:rPr>
          <w:rFonts w:ascii="Arial" w:cs="Arial" w:eastAsia="Arial" w:hAnsi="Arial"/>
          <w:sz w:val="21"/>
          <w:szCs w:val="21"/>
          <w:color w:val="auto"/>
        </w:rPr>
      </w:pPr>
    </w:p>
    <w:p>
      <w:pPr>
        <w:ind w:left="620" w:right="20" w:hanging="313"/>
        <w:spacing w:after="0" w:line="226"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NexoBrid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may not be approved for treatment of severe burns in the U.S. and other North American markets, or its approval may be materially delayed, and there is no guarantee that NexoBrid will be accepted in the market, even if regulatory approval is received.</w:t>
      </w:r>
    </w:p>
    <w:p>
      <w:pPr>
        <w:spacing w:after="0" w:line="28" w:lineRule="exact"/>
        <w:rPr>
          <w:rFonts w:ascii="Arial" w:cs="Arial" w:eastAsia="Arial" w:hAnsi="Arial"/>
          <w:sz w:val="21"/>
          <w:szCs w:val="21"/>
          <w:color w:val="auto"/>
        </w:rPr>
      </w:pPr>
    </w:p>
    <w:p>
      <w:pPr>
        <w:ind w:left="620" w:hanging="313"/>
        <w:spacing w:after="0" w:line="267" w:lineRule="auto"/>
        <w:tabs>
          <w:tab w:leader="none" w:pos="615" w:val="left"/>
        </w:tabs>
        <w:numPr>
          <w:ilvl w:val="0"/>
          <w:numId w:val="4"/>
        </w:numPr>
        <w:rPr>
          <w:rFonts w:ascii="Arial" w:cs="Arial" w:eastAsia="Arial" w:hAnsi="Arial"/>
          <w:sz w:val="19"/>
          <w:szCs w:val="19"/>
          <w:color w:val="auto"/>
        </w:rPr>
      </w:pPr>
      <w:r>
        <w:rPr>
          <w:rFonts w:ascii="Arial" w:cs="Arial" w:eastAsia="Arial" w:hAnsi="Arial"/>
          <w:sz w:val="16"/>
          <w:szCs w:val="16"/>
          <w:color w:val="auto"/>
        </w:rPr>
        <w:t>Our licensor MediWound Ltd. is dependent on a contract with the U.S. Biomedical Advanced Research and Development Authority (“BARDA”) to fund clinical trials and other development activities of NexoBrid in the U.S. and these contracts may be terminated by BARDA at any time.</w:t>
      </w:r>
    </w:p>
    <w:p>
      <w:pPr>
        <w:spacing w:after="0" w:line="19" w:lineRule="exact"/>
        <w:rPr>
          <w:rFonts w:ascii="Arial" w:cs="Arial" w:eastAsia="Arial" w:hAnsi="Arial"/>
          <w:sz w:val="19"/>
          <w:szCs w:val="19"/>
          <w:color w:val="auto"/>
        </w:rPr>
      </w:pPr>
    </w:p>
    <w:p>
      <w:pPr>
        <w:jc w:val="both"/>
        <w:ind w:left="620" w:hanging="313"/>
        <w:spacing w:after="0" w:line="239"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8"/>
          <w:szCs w:val="18"/>
          <w:color w:val="auto"/>
        </w:rPr>
        <w:t>If any federal or state agency determines that we have promoted the off-label use of our products and/or we have violated anti-kickback or other anti-bribery laws, we may be subject to various penalties, including civil or criminal penalties, and the off-label use of our products may result in injuries that lead to product liability lawsuits, which could be costly to our business.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4" w:name="page5"/>
    <w:bookmarkEnd w:id="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51" w:lineRule="exact"/>
        <w:rPr>
          <w:sz w:val="20"/>
          <w:szCs w:val="20"/>
          <w:color w:val="auto"/>
        </w:rPr>
      </w:pPr>
    </w:p>
    <w:p>
      <w:pPr>
        <w:jc w:val="both"/>
        <w:ind w:firstLine="240"/>
        <w:spacing w:after="0" w:line="262" w:lineRule="auto"/>
        <w:rPr>
          <w:sz w:val="20"/>
          <w:szCs w:val="20"/>
          <w:color w:val="auto"/>
        </w:rPr>
      </w:pPr>
      <w:r>
        <w:rPr>
          <w:rFonts w:ascii="Arial" w:cs="Arial" w:eastAsia="Arial" w:hAnsi="Arial"/>
          <w:sz w:val="16"/>
          <w:szCs w:val="16"/>
          <w:color w:val="auto"/>
        </w:rPr>
        <w:t>Vericel Corporation is a fully-integrated, commercial-stage biopharmaceutical company and is a leader in advanced therapies for sports medicine and severe burn care markets. We currently market two FDA-approved autologous cell therapy products in the U.S. MACI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(cultured epidermal autografts)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(concentrate of proteolytic enzymes enriched in bromelain), a registration-stage biological orphan product for debridement of severe thermal burns. In 2020, MediWound submitted to the U.S. Food and Drug Administration (“FDA”) a Biologics License Application (“BLA”) seeking the approval of NexoBrid for eschar removal (debridement) in adults with deep partial-thickness and/or full-thickness thermal burns. The FDA accepted the BLA for filing and assigned a Prescription Drug User Fee Act (“PDUFA”) target date of June 29, 2021. Thereafter, on June 29, 2021, MediWound received a complete response letter from the FDA regarding the BLA, through which the FDA communicated to MediWound that it had completed its review of the BLA, as amended, and had determined that it could not approve the BLA in its present form. We continue to work with MediWound, BARDA and the FDA to address the issues identified by the FDA, to prepare and submit a BLA resubmission to the FDA, and to seek the potential approval of NexoBrid.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Our objective is to become the leading developer in advanced therapies for the sports medicine and severe burn care markets. To achieve this objective, we intend to:</w:t>
      </w:r>
    </w:p>
    <w:p>
      <w:pPr>
        <w:spacing w:after="0" w:line="201" w:lineRule="exact"/>
        <w:rPr>
          <w:sz w:val="20"/>
          <w:szCs w:val="20"/>
          <w:color w:val="auto"/>
        </w:rPr>
      </w:pPr>
    </w:p>
    <w:p>
      <w:pPr>
        <w:ind w:left="640" w:hanging="313"/>
        <w:spacing w:after="0" w:line="286"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 MACI revenue by increasing the number of surgeons implanting MACI and the average number of implants per surgeon, seek to expand the clinical indications for which the MACI procedure is approved, and optimizing the ease of use of the MACI procedure for surgeons;</w:t>
      </w:r>
    </w:p>
    <w:p>
      <w:pPr>
        <w:spacing w:after="0" w:line="1" w:lineRule="exact"/>
        <w:rPr>
          <w:rFonts w:ascii="Arial" w:cs="Arial" w:eastAsia="Arial" w:hAnsi="Arial"/>
          <w:sz w:val="16"/>
          <w:szCs w:val="16"/>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Epicel revenue by expanding the number of burn centers and surgeons consistently using Epicel;</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Commercialize and market NexoBrid for burn patients requiring debridement, should the FDA approve the NexoBrid BLA;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 operating income by keeping the growth in commercial expense lower than the growth in revenue.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1"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ongoing pandemic caused by the spread of a novel strain of coronavirus (COVID-19) has created significant disruptions to the U.S. and global economy and has contributed to significant volatility in financial markets. The global impact of the pandemic has fluctuated since early 2020. At times,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we were exempted from government orders requiring the closure of workplaces and the cessation of business operations.</w:t>
      </w:r>
    </w:p>
    <w:p>
      <w:pPr>
        <w:spacing w:after="0" w:line="194"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Notwithstanding being an essential business, our business and operations at times have been adversely impacted by the effects of the COVID-19 pandemic. For example, as a result of periodic restrictions placed on the performance of elective surgical procedures, we experienced a significant increase in cancellations of scheduled MACI procedures, as well as a slowdown in new MACI orders during March and April of 2020. The widespread suspension of surgical procedures impacted our business and operations during the first and second quarters of 2020. The level and degree of restrictions on elective surgeries, on the ability of patients to seek treatment and on U.S. business operations generally fluctuated throughout 2020 as COVID-19 infection rates rose and fell during the summer months and into the autumn. By the first quarter of 2021, the pandemic’s effects on our MACI business had largely dissipated. During the summer of 2021, however, the pandemic’s direct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ancillary effects again began to cause some disruption to our MACI business. Following the cessation of COVID-19-related travel restrictions in many parts of the U.S. and the availability of vaccinations in May and June 2021, some MACI patients postponed or delayed treatment – opting instead to take vacation and/or travel. Further, surges of new COVID-19 cases during the second half of 2021 caused by the spread of the “Delta” and “Omicron” variants again caused disruptions to health care networks including restrictions on the performance of elective surgical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Although hospitals are now better prepared for subsequent surges in COVID-19 patients, the risk remains that regional or local restrictions could again be placed on the performance of elective surgical procedures if the number of COVID-19 infections in the U.S. were to rise, or if new or existing COVID-19 variants render current vaccine treatments ineffective or less effective.</w:t>
      </w:r>
    </w:p>
    <w:p>
      <w:pPr>
        <w:spacing w:after="0" w:line="19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Because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the outset of the pandemic, we put in place a comprehensive workplace protection plan, which instituted protective measures in response to COVID-</w:t>
      </w:r>
    </w:p>
    <w:p>
      <w:pPr>
        <w:spacing w:after="0" w:line="42" w:lineRule="exact"/>
        <w:rPr>
          <w:sz w:val="20"/>
          <w:szCs w:val="20"/>
          <w:color w:val="auto"/>
        </w:rPr>
      </w:pPr>
    </w:p>
    <w:p>
      <w:pPr>
        <w:jc w:val="both"/>
        <w:ind w:firstLine="7"/>
        <w:spacing w:after="0" w:line="250" w:lineRule="auto"/>
        <w:tabs>
          <w:tab w:leader="none" w:pos="27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workplace protection plan has closely followed guidance issued by the Centers for Disease Control and Prevention (“CDC”) and has complied with applicable federal and state law. To date, we have been successful in sustaining our operations and providing MACI and Epicel to patients in need. We continue to review our policies and procedures regularly, including our workplace protection plan, as the pandemic evolves and we may take additional actions to the extent required.</w:t>
      </w:r>
    </w:p>
    <w:p>
      <w:pPr>
        <w:spacing w:after="0" w:line="219"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We continue to manufacture MACI and Epicel and we are maintaining a significant safety stock of all key raw materials. We do not expect current supply chain interruptions will impact our ongoing manufacturing operations. With respect to customer delivery, MACI final product has an established shelf life of six (6) days and an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At this time, we are not aware of COVID-19 related impacts on our distributors, operations or third-party service providers’ ability to manage patient cases.</w:t>
      </w:r>
    </w:p>
    <w:p>
      <w:pPr>
        <w:spacing w:after="0" w:line="20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We believe it is possible that we could continue to experience variable impacts on our business, should the current resurgence of COVID-19 in various areas of the U.S. continue for an extended period, or should a new resurgence occur in the future. Measures taken to limit the impact of COVID-19 at the international, national and local levels, including the availability and effectiveness of COVID-19 vaccines, shelter-in-place orders, social distancing measures, travel bans and restrictions, and business and government shutdowns, may again create significant negative economic impacts on a global basis. Given that uncertainty, we cannot reliably estimate the extent to which the ongoing COVID-19 pandemic may continue to impact utilization and revenue of our products in 2022 and beyond.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 discussion of additional risks associated with the ongoing COVID-19 pandemic, please see Part I, 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of TBSA. Both products are currently marketed in the U.S. In addition, we have entered into exclusive license and supply agreements with MediWound to commercialize NexoBrid in North America, following potential regulatory approval. As previously mentioned, MediWound submitted a BLA to the FDA, seeking commercial approval of NexoBrid. On June 29, 2021, we announced that MediWound had received a complete response letter from the FDA in response to the BLA and that we are committed to working with both MediWound and the FDA to address the items raised by the agency and seek the potential approval of NexoBrid through a BLA resubmission.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MACI</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 of Cartilage Defects</w:t>
      </w:r>
    </w:p>
    <w:p>
      <w:pPr>
        <w:spacing w:after="0" w:line="220"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Damage to cartilage in the knee can occur from acute or repetitive trauma from playing sports, exercising, work-related physical demands, or performing everyday activities. When damaged, cartilage in the knee does not usually heal on its own. If left untreated, cartilage defects can progress and lead to degenerative joint disease, osteoarthritis and potentially require total knee replacement, which is a poor option for younger and more active patients.</w:t>
      </w:r>
    </w:p>
    <w:p>
      <w:pPr>
        <w:spacing w:after="0" w:line="150" w:lineRule="exact"/>
        <w:rPr>
          <w:sz w:val="20"/>
          <w:szCs w:val="20"/>
          <w:color w:val="auto"/>
        </w:rPr>
      </w:pPr>
    </w:p>
    <w:p>
      <w:pPr>
        <w:jc w:val="both"/>
        <w:ind w:firstLine="240"/>
        <w:spacing w:after="0" w:line="260" w:lineRule="auto"/>
        <w:rPr>
          <w:sz w:val="20"/>
          <w:szCs w:val="20"/>
          <w:color w:val="auto"/>
        </w:rPr>
      </w:pPr>
      <w:r>
        <w:rPr>
          <w:rFonts w:ascii="Arial" w:cs="Arial" w:eastAsia="Arial" w:hAnsi="Arial"/>
          <w:sz w:val="16"/>
          <w:szCs w:val="16"/>
          <w:color w:val="auto"/>
        </w:rPr>
        <w:t>For patients diagnosed with cartilage defects, there are several treatment options, including arthroscopic debridement/chondroplasty, marrow stimulation techniques such as microfracture (a minimally invasive procedure that can be performed arthroscopically), osteochondral autografts for smaller cartilage injuries, osteochondral allografts, and autologous chondrocyte implantation (“ACI”). Allogeneic tissue-derived products are also used to treat cartilage defects. These products, which are subject to human tissue regulation, include DeNovo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NT (marketed by Zimmer Holdings, Inc. (“Zimmer Biomet”)), Cartiform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(manufactured and distributed by Osiris (recently acquired by Smith &amp; Nephew) and marketed by Arthrex) and Prochondrix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(marketed by Stryker). Products subject only to FDA human tissue regulations are not required to obtain a Biologics License prior to being marketed. Products, like MACI, which must meet the requirements for a BLA before being marketed, are required to demonstrate clinical efficacy equal or superior to a standard of care.</w:t>
      </w:r>
    </w:p>
    <w:p>
      <w:pPr>
        <w:spacing w:after="0" w:line="215"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Carticel received a BLA approval in 1997, and was marketed in the U.S. until the second quarter of 2017. The FDA approved MACI on December 13, 2016.</w:t>
      </w:r>
    </w:p>
    <w:p>
      <w:pPr>
        <w:spacing w:after="0" w:line="188"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manufacture of MACI. An orthopedic surgeon obtains the sample by taking a cartilage biopsy during an initial arthroscopic procedure. We isolate the patient’s chondrocytes (the cells that produce cartilage) from the biopsy and expand those cells in a manufacturing process compliant with current Good Manufacturing Practices (“cGMP”). The expanded cells are then uniformly seeded onto a resorbable collagen membrane using a proprietary process prior to shipment. After receipt by the surgeon,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Unlike Carticel, which was a cell suspension and required a membrane to be sutured in place to confine the cell suspension to the defect area, MACI is comprised of cells uniformly seeded on a collagen membrane resulting in a surgery that is simpler than that with Carticel. MACI may be implanted through a smaller incision or mini arthrotomy for focal defects. By using specialized instruments, MACI is simply trimmed by the surgeon to the size of the defect, allowing for a precise fit, and fixed to the bone with an off-the-shelf surgical fibrin sealant. MACI has expanded the ACI market since MACI shares the efficacy advantages of Carticel, while being less invasive, having a shorter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19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 patient study demonstrated at Week 104 a statistically significant greater improvement in the co-primary endpoint of pain and function for those patients treated with MACI compared to microfracture.</w:t>
      </w:r>
    </w:p>
    <w:p>
      <w:pPr>
        <w:spacing w:after="0" w:line="214"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MACI became commercially available in the European Union (the “EU”) in 2001 and in Australia in 2002, prior to promulgation of regulations requiring marketing authorizations for cell therapies in those markets. MACI received marketing authorization in Europe in June 2013, by meeting the requirements of the Advanced Therapy and Medicinal Product (“ATMP”) guidelines based on the results of the SUMMIT trial in which MACI was manufactured at, and supplied from, our Cambridge, Massachusetts site. We suspended the marketing of MACI in Europe in September 2014, primarily due to an unfavorable pricing environment. Lifting of the suspension would have required the registration of a new manufacturing facility in Europe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 to the five year renewal deadline of June 2018, which was not feasible. Consequently, the European manufacturing authorization for MACI expired by its terms at the end of June 2018. Australian operations and the commercialization of MACI in that country was discontinued prior to our acquisition of the product in 2014.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MACI</w:t>
      </w:r>
    </w:p>
    <w:p>
      <w:pPr>
        <w:spacing w:after="0" w:line="22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According to a 2018 external market study, approximately 750,000 patients undergo cartilage repair procedures of the knee annually in the U.S.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214"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In the U.S., the target audience of physicians that repair cartilage defects consists of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Over the past 13 months, we have increased the number of MACI sales representatives to 76 Clinical Account Specialists and expanded their reach to over nine geographical regions to enable the sales force to call on 2,000 of the general orthopedic surgeons. 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07"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effects of the ongoing COVID-19 pandemic disrupted the normal seasonality of our MACI business. These effects included, among others, the temporary limitation of elective surgical procedures throughout the country, staffing shortages throughout the healthcare industry, the inability of our Clinical Account Specialists to call on surgeon customers and temporary fluctuations in the number of patients seeking treatment for cartilage damage. In previous years, the volume of our MACI business has varied significantly by quarter due to several factors including insurance deductible limits and the time of year patients prefer to start rehabilitation. Over the last five years, ACI (MACI and Carticel prior to its replacement) sales volumes from the first through the fourth quarter have on average represented 19% (16%-21% range), 22% (16%-25% range), 23% (21%-26% range) and 36% (33%-38% range) respectively, of total annual volumes. The widespread effects of the COVID-19 pandemic impacted the seasonality in 2021 and 2020.</w:t>
      </w:r>
    </w:p>
    <w:p>
      <w:pPr>
        <w:spacing w:after="0" w:line="194"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20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As discussed more fully above, MACI is currently implanted into the patient’s cartilage defect through an open surgical procedure. We are currently evaluating the potential for the arthroscopic delivery of MACI to the cartilage defect – a procedure in which a surgeon can evaluate, prepare and treat the defect under direct vision using specialized instruments delivered through a number of smaller incisions or portals. The arthroscopic delivery of MACI could increase the ease of MACI’s use for physicians and reduce both the length of the procedure and a patient’s post-operative pain and recovery. We are currently developing specialized instruments to be used in such a procedure and intend to discuss with regulators the clinical and regulatory requirements in connection with potential inclusion of arthroscopic delivery in MACI’s approved labeling. We also are evaluating the feasibility and potential market opportunity involved in delivering MACI treatment to patients suffering from cartilage damage in the ankle. We believe that this potential lifecycle enhancement and indication expansion for MACI will require the conduct of an additional randomized clinical trial concerning the product’s use for this indication and we intend to discuss this with FDA in due course.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Epicel (cultured epidermal autografts) is a permanent skin replacement for deep-dermal or full-thickness burns greater than or equal to 30% of TBSA. The extent of the skin surface that the burn affects is usually referred to as a percent of TBSA. Epicel is currently the only FDA approved cultured epidermal autograft product available for large total surface area burns in both adult and pediatric patients.</w:t>
      </w:r>
    </w:p>
    <w:p>
      <w:pPr>
        <w:spacing w:after="0" w:line="2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Epicel is produced by isolating and expanding keratinocytes, which are the predominant cell type in the epidermis or outer layer of the skin, and which are originally obtained by taking of a small biopsy of a patient’s healthy skin. Epicel is an important treatment option for patients with severe burns because these patients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Epicel is a cell-based product that is regulated by the Center for Biologics Evaluation and Research (“CBER”) under medical device authorities. Epicel was designated as a HUD in 1998 and a Humanitarian Device Exemption (“HDE”) application for the product was submitted in 1999. HUDs are devices that are intended for diseases or conditions that affect not more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w:t>
      </w:r>
    </w:p>
    <w:p>
      <w:pPr>
        <w:spacing w:after="0" w:line="20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On February 18, 2016, the FDA approved our HDE supplement to revise the labeled indications of use for Epicel to specifically include pediatric patients. The revised product label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pediatric eligibility criteria, the FDA has determined the Annual Distribution Number, or ADN, for Epicel to be 360,400 which is approximately 30 times larger than the volume of grafts sold in 2021. Currently, over 100 patients are treated with Epicel in the U.S. each year.</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Epicel</w:t>
      </w:r>
    </w:p>
    <w:p>
      <w:pPr>
        <w:spacing w:after="0" w:line="220"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Each year in the U.S., more than 40,000 people are hospitalized for burns. Approximately 1,500 of these patients are treated for burns covering more than 30% of their TBSA, the labeled indication for Epicel. Currently, the mortality rate for this group is approximately 34%, partially due to the inability to quickly close wounds because of the lack of remaining healthy tissue from which to harvest autografts. Although age can vary, the typical Epicel patient is young and has suffered full-thickness burns due to a wide variety of occupational, household or auto accidents. Many of the most severely burned patients are medivac transported to one of the approximately 140 specialized burn centers across the U.S. While the average acute care hospital has less than 3 admissions for burns annually, these specialized burn centers average over 200 admissions per year.</w:t>
      </w:r>
    </w:p>
    <w:p>
      <w:pPr>
        <w:spacing w:after="0" w:line="20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Relative to clinical need, we believe Epicel has been underutilized by burn centers due to the lack of a consistent promotional effort prior to 2015. Since the acquisition of Epicel we have expanded our sales force from a single representative to thirteen sales and clinical personnel. We expect Epicel’s utility to continue to grow as commercial and medical efforts are appropriately dedicated to the product and the burn centers that use it to treat patients.</w:t>
      </w:r>
    </w:p>
    <w:p>
      <w:pPr>
        <w:spacing w:after="0" w:line="17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Due to the low incidence and sporadic nature of severe burns, Epicel revenue has inherent variability from quarter to quarter and does not exhibit significant seasonality. Over the past four years, a single quarter has ranged from as high as 37% to as low as 17% of annual volumes. Seasonal sales patterns and other variations related to our revenue recognition may cause significant fluctuations in our results of operations and cash flows.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NexoBrid</w:t>
      </w:r>
    </w:p>
    <w:p>
      <w:pPr>
        <w:spacing w:after="0" w:line="25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Our development portfolio also includes NexoBrid, a registration-stage, topically-administered biological product that enzymatically removes nonviable burn tissue, or eschar, in patients with deep partial and full-thickness thermal burns. We have entered into exclusive license and supply agreements with MediWound to commercialize NexoBrid and any improvements to the product in North America. On September 16, 2020, we announced the acceptance of MediWound’s submission of a BLA for review by the FDA to seek marketing approval for NexoBrid in the U.S. for the treatment of severe burns, and the FDA’s assignment of a PDUFA target date for the product of June 29, 2021. Subsequently, on June 29, 2021, we announced that MediWound had received a complete response letter from the FDA regarding the BLA, through which the FDA communicated to MediWound that it had completed its review of the BLA, as amended, and had determined that it could not approve the BLA in its present form. We continue to work with MediWound, BARDA and the FDA to address the issues identified in the agency’s complete response letter, to prepare and submit a BLA re-submission to the FDA and to seek the potential approval of NexoBrid.</w:t>
      </w:r>
    </w:p>
    <w:p>
      <w:pPr>
        <w:spacing w:after="0" w:line="21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NexoBrid is approved in the EU and other international markets and has been designated as an orphan biologic in the U.S., EU and other international markets. Pursuant to the terms of our existing license agreement, if the BLA is approved, MediWound will transfer the BLA to us and we will market NexoBrid in the U.S. Both MediWound and Vericel, under the supervision of a Central Steering Committee comprised of members of both companies, will continue to guide the development of NexoBrid in North America. Under our license agreement with MediWound, NexoBrid is being manufactured for BARDA prior to approval by the FDA under an emergency use authorization.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Cell Manufacturing and Cell Production Components</w:t>
      </w:r>
    </w:p>
    <w:p>
      <w:pPr>
        <w:spacing w:after="0" w:line="22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cell-manufacturing facility is located in Cambridge, Massachusetts, and is used for the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bulk of our ongoing research and development activities are focused on exploring methods that improve our ability to efficiently manufacture high quality cell therapy products for patients. We have performed an in-depth analysis of the cell culture processes used in the manufacturing of Epicel and MACI and have identified several areas for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success depends in part on our ability, and the ability of our future licensors, to obtain patent protection for our products and processes.</w:t>
      </w:r>
    </w:p>
    <w:p>
      <w:pPr>
        <w:spacing w:after="0" w:line="258"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As part of the acquisition of the Cell Therapy and Regenerative Medicine (“CTRM”) business from Sanofi, we acquired a multinational intellectual property estate, which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determining the presence of chondrocytes in cell cultures used to produce both MACI and Carticel, which are scheduled to expire October 2029 in the U.S. and in April 2028 abroad. We have one issued patent in the U.S. directed to a device related to MACI that is set to expire in November 2033, and one issued patent in the EU set to expire in November 2034.</w:t>
      </w:r>
    </w:p>
    <w:p>
      <w:pPr>
        <w:spacing w:after="0" w:line="20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As a biologic, MACI is entitled to twelve years of data exclusivity until December 13, 2028, calculated from its date of approval. When these patents and data exclusivity expire, our opportunity to establish or maintain product revenue could be substantially reduced. In the future, we may also rely on certain licenses granted by third parties for certain patent rights, including for future product candidates, such as the license from MediWound for North American commercial rights to NexoBrid. We will need to comply with the terms of such agreements in order to maintain our rights to such patents.</w:t>
      </w:r>
    </w:p>
    <w:p>
      <w:pPr>
        <w:spacing w:after="0" w:line="186"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Our efforts to secure our proprietary rights also include our reliance on trade secrets and know-how, which we seek to protect, in part, by confidentiality agreements. It is our policy to require our employees, consultants, contractors, manufacturers,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See “Government Regulation - Product Approval” and “Risk Factors </w:t>
      </w:r>
      <w:r>
        <w:rPr>
          <w:rFonts w:ascii="Arial" w:cs="Arial" w:eastAsia="Arial" w:hAnsi="Arial"/>
          <w:sz w:val="17"/>
          <w:szCs w:val="17"/>
          <w:i w:val="1"/>
          <w:iCs w:val="1"/>
          <w:color w:val="auto"/>
        </w:rPr>
        <w:t>-</w:t>
      </w:r>
      <w:r>
        <w:rPr>
          <w:rFonts w:ascii="Arial" w:cs="Arial" w:eastAsia="Arial" w:hAnsi="Arial"/>
          <w:sz w:val="17"/>
          <w:szCs w:val="17"/>
          <w:color w:val="auto"/>
        </w:rPr>
        <w:t xml:space="preserve"> Risks Related to Intellectual Property,” below, for additional information.</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also own a broadly filed trademark portfolio with registrations for MACI and Epicel.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Both our marketed and development stage products are specialty products with focused physician and institutional call points. The MACI sales organization is comprised of approximately 76 Clinical Account Specialists in nine geographical regions. Those Clinical Account Specialists are managed by nine area sales directors and ultimately overseen by a National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Sales Director. The current target audience is a concentrated (approximately 5,000) set of sports medicine and general orthopedic surgeons and their staffs.</w:t>
      </w:r>
    </w:p>
    <w:p>
      <w:pPr>
        <w:spacing w:after="0" w:line="27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 contract with two specialty pharmacies, Orsini Pharmaceutical Services, Inc. (“Orsini”) and AllCare Plus Pharmacy, Inc. (“AllCare”) to distribute MACI in a manner in which we retain the credit and collection risk from the end customer. Pursuant to these agreements, both Orsini and AllCare act as non-exclusive specialty pharmacy providers of MACI, and we pay both specialty pharmacies a fee for each patient to whom MACI is dispensed. In addition, we sell MACI directly to DMS Pharmaceutical (“DMS”) for military patients treated at military treatment facilities, or direct to facilities based on contracted rates.</w:t>
      </w:r>
    </w:p>
    <w:p>
      <w:pPr>
        <w:spacing w:after="0" w:line="2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field force supporting our burn care franchise is currently comprised of seven account managers and six burn clinical specialists who are led by a regional and a national sales director. There are approximately 140 specialized burn centers in the U.S., and a subset of these institutions regularly treat patients suffering from large TBSA burns. As a result, reaching target centers is feasible with a relatively small sales team. The burn sales team for Epicel has been increased to support the anticipated NexoBrid launch, following potential BLA approval by the FDA.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Our research and development activities and the manufacturing and marketing of our products are subject to the laws and regulations of governmental authorities in the U.S. and other countries in which our products may be marketed. Specifically, in the U.S., the FDA regulates drugs, biologics and medical devices and requires new product approvals or clearances to assure safety and effectiveness of these products. Governments in other countries have similar requirements for testing and marketing. In the U.S., in addition to meeting FDA regulations, we are also subject to other federal laws, such as the Occupational Safety and Health Act and the Environmental Protection Act, as well as certain state laws.</w:t>
      </w:r>
    </w:p>
    <w:p>
      <w:pPr>
        <w:spacing w:after="0" w:line="17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Some human cell or tissue products that are intended for implantation, transplantation, infusion, or transfer into a human recipient are regulated solely as human cell, tissue, and cellular and tissue-based products (“HCT/Ps”) and do not require the FDA’s premarket review. If these cell or tissue products do not meet the FDA’s requirements for regulation solely as an HCT/P, they require FDA premarket review and marketing authorization. The types of marketing authorizations required for non HCT/P cell therapy products have evolved since cell therapy products were initially introduced. Epicel was approved by the Center for Devices and Radiological Health, as an HDE medical device in 2007, but now is regulated by CBER under the same medical device regulations. MACI, approved in 2016, is regulated by CBER as a combination cell therapy/device product and required an approved BLA to be marketed in the U.S. NexoBrid, a product licensed in North America from MediWound, is currently in clinical development in North America. In the U.S., NexoBrid is regulated as a botanical protein biologic and requires an approved BLA to be marketed in the U.S. Commercial production of these products needs to occur in FDA-registered facilities in compliance with cGMP requirements for biologics.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Process</w:t>
      </w:r>
    </w:p>
    <w:p>
      <w:pPr>
        <w:spacing w:after="0" w:line="22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FDA regulates biologics under the Federal Food, Drug, and Cosmetic Act (“FFDCA”) and the Public Health Service Act, and their implementing regulations. Obtaining approval of a BLA for a new biological product is a lengthy process, leading from the development of a new product through preclinical and clinical testing. This process takes several years and requires expenditure of significant resources. There can be no assurance that our current or future product candidates will ultimately receive approval.</w:t>
      </w:r>
    </w:p>
    <w:p>
      <w:pPr>
        <w:spacing w:after="0" w:line="188"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recalls, injunctions or seizures of products, refusal of the government to approve our product approval applications or to allow us to enter into government supply contracts, withdrawal of previously approved applications and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4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In order to obtain an FDA license for,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can take several years to complete and could have uncertain outcomes. The FDA regulatory review and approval process is complex and can result in requests for additional data, increased development costs, time to market delays, or preclude us from bringing to market new products. The FDA may also require post-marketing studies and risk evaluation and mitigation strategies (“REMS”) as conditions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w:t>
      </w:r>
    </w:p>
    <w:p>
      <w:pPr>
        <w:spacing w:after="0" w:line="194"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Adequate and well-controlled clinical studies are required by the FDA for approval of a BLA. To conduct a clinical trial in the U.S., the study sponsor is required to submit an Investigational New Drug (“IND”) application, including the study protocol, prior to commencing human clinical trials. The submission must be supported by data, typically including the results of nonclinical, manufacturing and laboratory testing. The conduct of the nonclinical tests must comply with Good Laboratory Practice, and applicable cGMP requirements. Long-term nonclinical testing, such as animal reproductive toxicity and carcinogenicity, is conducted if warranted, and its results are submitted in connection with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the FDA prior to implementation. We have submitted an IND for MACI, and we conducted clinical investigations under that IND. Clinical studies can also be conducted outside of the U.S. with or without a U.S. IND. However, a clinical trial application (“CTA”) or IND is required to be submitted to the local competent regulatory authority to begin conducting human clinical trials. The CTA has similar data requirements to those of an IND.</w:t>
      </w:r>
    </w:p>
    <w:p>
      <w:pPr>
        <w:spacing w:after="0" w:line="19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MACI and NexoBrid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sometimes overlap:</w:t>
      </w:r>
    </w:p>
    <w:p>
      <w:pPr>
        <w:spacing w:after="0" w:line="220" w:lineRule="exact"/>
        <w:rPr>
          <w:sz w:val="20"/>
          <w:szCs w:val="20"/>
          <w:color w:val="auto"/>
        </w:rPr>
      </w:pPr>
    </w:p>
    <w:p>
      <w:pPr>
        <w:jc w:val="both"/>
        <w:ind w:left="640" w:hanging="313"/>
        <w:spacing w:after="0" w:line="25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1—The biological product is initially tested for safety and tolerability. In the case of biological products and those for severe or life-threatening diseases, the initial human testing is generally conducted in healthy patients. These trials may also provide early evidence of effectiveness.</w:t>
      </w:r>
    </w:p>
    <w:p>
      <w:pPr>
        <w:spacing w:after="0" w:line="213" w:lineRule="exact"/>
        <w:rPr>
          <w:rFonts w:ascii="Arial" w:cs="Arial" w:eastAsia="Arial" w:hAnsi="Arial"/>
          <w:sz w:val="18"/>
          <w:szCs w:val="18"/>
          <w:color w:val="auto"/>
        </w:rPr>
      </w:pPr>
    </w:p>
    <w:p>
      <w:pPr>
        <w:jc w:val="both"/>
        <w:ind w:left="640" w:hanging="313"/>
        <w:spacing w:after="0" w:line="25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213" w:lineRule="exact"/>
        <w:rPr>
          <w:rFonts w:ascii="Arial" w:cs="Arial" w:eastAsia="Arial" w:hAnsi="Arial"/>
          <w:sz w:val="18"/>
          <w:szCs w:val="18"/>
          <w:color w:val="auto"/>
        </w:rPr>
      </w:pPr>
    </w:p>
    <w:p>
      <w:pPr>
        <w:jc w:val="both"/>
        <w:ind w:left="640" w:hanging="313"/>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18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accordance with good clinical practice (“GCP”) requirements in order protect the health and safety of human subjects and for the data to be considered reliable for regulatory purposes.</w:t>
      </w:r>
    </w:p>
    <w:p>
      <w:pPr>
        <w:spacing w:after="0" w:line="175"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0"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55" w:lineRule="exact"/>
        <w:rPr>
          <w:sz w:val="20"/>
          <w:szCs w:val="20"/>
          <w:color w:val="auto"/>
        </w:rPr>
      </w:pPr>
    </w:p>
    <w:p>
      <w:pPr>
        <w:jc w:val="both"/>
        <w:ind w:firstLine="240"/>
        <w:spacing w:after="0" w:line="238" w:lineRule="auto"/>
        <w:rPr>
          <w:sz w:val="20"/>
          <w:szCs w:val="20"/>
          <w:color w:val="auto"/>
        </w:rPr>
      </w:pPr>
      <w:r>
        <w:rPr>
          <w:rFonts w:ascii="Arial" w:cs="Arial" w:eastAsia="Arial" w:hAnsi="Arial"/>
          <w:sz w:val="18"/>
          <w:szCs w:val="18"/>
          <w:color w:val="auto"/>
        </w:rPr>
        <w:t>A drug being studied in clinical trials may be made available to individual patients in certain circumstances. Pursuant to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w:t>
      </w:r>
    </w:p>
    <w:p>
      <w:pPr>
        <w:spacing w:after="0" w:line="229"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4"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After completion of the required clinical testing, a BLA is prepared and submitted to the FDA. FDA review and approval of the BLA is required before marketing of the product may begin in the U.S.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 annual prescription drug product program user fee, which may total several million dollars and are increased annually.</w:t>
      </w:r>
    </w:p>
    <w:p>
      <w:pPr>
        <w:spacing w:after="0" w:line="217"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including to review 90 percent of standard BLAs within 10 months from the date the application is accepted for filing. Although the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as part of a pre-approval inspection.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For certain products, the FDA also will not approve the product if the manufacturer is not in compliance with the Good Tissue Practices (“GTP”). These are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cGMP, GTP and GCP compliance, an applicant must expend significant time, money and effort in the areas of training, record keeping, production, and quality control.</w:t>
      </w:r>
    </w:p>
    <w:p>
      <w:pPr>
        <w:spacing w:after="0" w:line="219"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will review such resubmissions in two or six months depending on the type of information included. The FDA’s approval is never guaranteed, and the FDA may refuse to approve a BLA if the regulatory requirements are not satisfied.</w:t>
      </w:r>
    </w:p>
    <w:p>
      <w:pPr>
        <w:spacing w:after="0" w:line="188"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98"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and commercialization of products.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 of Combination Products in the U.S.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213" w:lineRule="exact"/>
        <w:rPr>
          <w:sz w:val="20"/>
          <w:szCs w:val="20"/>
          <w:color w:val="auto"/>
        </w:rPr>
      </w:pPr>
    </w:p>
    <w:p>
      <w:pPr>
        <w:ind w:left="640" w:hanging="313"/>
        <w:spacing w:after="0" w:line="27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201" w:lineRule="exact"/>
        <w:rPr>
          <w:rFonts w:ascii="Arial" w:cs="Arial" w:eastAsia="Arial" w:hAnsi="Arial"/>
          <w:sz w:val="18"/>
          <w:szCs w:val="18"/>
          <w:color w:val="auto"/>
        </w:rPr>
      </w:pPr>
    </w:p>
    <w:p>
      <w:pPr>
        <w:ind w:left="640" w:hanging="313"/>
        <w:spacing w:after="0" w:line="27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201" w:lineRule="exact"/>
        <w:rPr>
          <w:rFonts w:ascii="Arial" w:cs="Arial" w:eastAsia="Arial" w:hAnsi="Arial"/>
          <w:sz w:val="18"/>
          <w:szCs w:val="18"/>
          <w:color w:val="auto"/>
        </w:rPr>
      </w:pPr>
    </w:p>
    <w:p>
      <w:pPr>
        <w:jc w:val="both"/>
        <w:ind w:left="640" w:hanging="313"/>
        <w:spacing w:after="0" w:line="274"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201" w:lineRule="exact"/>
        <w:rPr>
          <w:rFonts w:ascii="Arial" w:cs="Arial" w:eastAsia="Arial" w:hAnsi="Arial"/>
          <w:sz w:val="17"/>
          <w:szCs w:val="17"/>
          <w:color w:val="auto"/>
        </w:rPr>
      </w:pPr>
    </w:p>
    <w:p>
      <w:pPr>
        <w:ind w:left="640" w:hanging="313"/>
        <w:spacing w:after="0" w:line="333"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31F20"/>
        </w:rPr>
        <w:t>Accelerated Approval for Regenerative Advanced Therapies</w:t>
      </w:r>
    </w:p>
    <w:p>
      <w:pPr>
        <w:spacing w:after="0" w:line="167"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 xml:space="preserve">As part of the Cures Act, Congress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human cells, tissues, and cellular and tissue-based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Arial" w:cs="Arial" w:eastAsia="Arial" w:hAnsi="Arial"/>
          <w:sz w:val="17"/>
          <w:szCs w:val="17"/>
          <w:color w:val="231F20"/>
        </w:rPr>
        <w:t>review or accelerated approval through surrogate or intermediate endpoints reasonably likely to predict long-term clinical benefit, or</w:t>
      </w:r>
      <w:r>
        <w:rPr>
          <w:rFonts w:ascii="Arial" w:cs="Arial" w:eastAsia="Arial" w:hAnsi="Arial"/>
          <w:sz w:val="17"/>
          <w:szCs w:val="17"/>
          <w:color w:val="auto"/>
        </w:rPr>
        <w:t xml:space="preserve"> </w:t>
      </w:r>
      <w:r>
        <w:rPr>
          <w:rFonts w:ascii="Arial" w:cs="Arial" w:eastAsia="Arial" w:hAnsi="Arial"/>
          <w:sz w:val="17"/>
          <w:szCs w:val="17"/>
          <w:color w:val="231F20"/>
        </w:rPr>
        <w:t>reliance upon data obtained from a meaningful number of sites. Therapies with a Regenerative Medicine Advanced Therapy (“RMAT”) designation will be eligible for accelerated approval through, as appropriate:</w:t>
      </w:r>
    </w:p>
    <w:p>
      <w:pPr>
        <w:spacing w:after="0" w:line="134" w:lineRule="exact"/>
        <w:rPr>
          <w:sz w:val="20"/>
          <w:szCs w:val="20"/>
          <w:color w:val="auto"/>
        </w:rPr>
      </w:pPr>
    </w:p>
    <w:p>
      <w:pPr>
        <w:ind w:left="500" w:hanging="213"/>
        <w:spacing w:after="0"/>
        <w:tabs>
          <w:tab w:leader="none" w:pos="50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Surrogate or intermediate endpoints reasonably likely to predict long-term clinical benefit; or</w:t>
      </w:r>
    </w:p>
    <w:p>
      <w:pPr>
        <w:spacing w:after="0" w:line="166" w:lineRule="exact"/>
        <w:rPr>
          <w:rFonts w:ascii="Arial" w:cs="Arial" w:eastAsia="Arial" w:hAnsi="Arial"/>
          <w:sz w:val="18"/>
          <w:szCs w:val="18"/>
          <w:color w:val="231F20"/>
        </w:rPr>
      </w:pPr>
    </w:p>
    <w:p>
      <w:pPr>
        <w:ind w:left="540" w:hanging="253"/>
        <w:spacing w:after="0"/>
        <w:tabs>
          <w:tab w:leader="none" w:pos="54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Reliance upon data obtained from a meaningful number of sites, including through expansion to additional sites, as appropriate.</w:t>
      </w:r>
    </w:p>
    <w:p>
      <w:pPr>
        <w:spacing w:after="0" w:line="167" w:lineRule="exact"/>
        <w:rPr>
          <w:sz w:val="20"/>
          <w:szCs w:val="20"/>
          <w:color w:val="auto"/>
        </w:rPr>
      </w:pPr>
    </w:p>
    <w:p>
      <w:pPr>
        <w:ind w:left="80" w:firstLine="200"/>
        <w:spacing w:after="0" w:line="270" w:lineRule="auto"/>
        <w:rPr>
          <w:sz w:val="20"/>
          <w:szCs w:val="20"/>
          <w:color w:val="auto"/>
        </w:rPr>
      </w:pPr>
      <w:r>
        <w:rPr>
          <w:rFonts w:ascii="Arial" w:cs="Arial" w:eastAsia="Arial" w:hAnsi="Arial"/>
          <w:sz w:val="18"/>
          <w:szCs w:val="18"/>
          <w:color w:val="231F20"/>
        </w:rPr>
        <w:t>Another benefit of RMAT designation is that it creates the option to meet post-approval requirements beyond the standard, controlled clinical trial. Post-approval requirements can be met through:</w:t>
      </w:r>
    </w:p>
    <w:p>
      <w:pPr>
        <w:spacing w:after="0" w:line="121" w:lineRule="exact"/>
        <w:rPr>
          <w:sz w:val="20"/>
          <w:szCs w:val="20"/>
          <w:color w:val="auto"/>
        </w:rPr>
      </w:pPr>
    </w:p>
    <w:p>
      <w:pPr>
        <w:ind w:left="640" w:hanging="313"/>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Clinical evidence, clinical studies, patient registries, or other sources of real-world evidence, such as electronic health records;</w:t>
      </w:r>
    </w:p>
    <w:p>
      <w:pPr>
        <w:spacing w:after="0" w:line="166" w:lineRule="exact"/>
        <w:rPr>
          <w:rFonts w:ascii="Arial" w:cs="Arial" w:eastAsia="Arial" w:hAnsi="Arial"/>
          <w:sz w:val="18"/>
          <w:szCs w:val="18"/>
          <w:color w:val="231F20"/>
        </w:rPr>
      </w:pPr>
    </w:p>
    <w:p>
      <w:pPr>
        <w:ind w:left="640" w:hanging="313"/>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collection of larger confirmatory data sets; or</w:t>
      </w:r>
    </w:p>
    <w:p>
      <w:pPr>
        <w:spacing w:after="0" w:line="166" w:lineRule="exact"/>
        <w:rPr>
          <w:rFonts w:ascii="Arial" w:cs="Arial" w:eastAsia="Arial" w:hAnsi="Arial"/>
          <w:sz w:val="18"/>
          <w:szCs w:val="18"/>
          <w:color w:val="231F20"/>
        </w:rPr>
      </w:pPr>
    </w:p>
    <w:p>
      <w:pPr>
        <w:ind w:left="640" w:hanging="313"/>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Post-approval monitoring of all patients treated with such therapy prior to approval of the therapy.</w:t>
      </w:r>
    </w:p>
    <w:p>
      <w:pPr>
        <w:spacing w:after="0" w:line="16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231F20"/>
        </w:rPr>
        <w:t>Finally, the designation also includes early interactions with the FDA to discuss any potential surrogate or intermediate endpoint to be used to support accelerated approval.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Humanitarian Device Exemption</w:t>
      </w:r>
    </w:p>
    <w:p>
      <w:pPr>
        <w:spacing w:after="0" w:line="24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Unless an exemption applies, each medical device commercially distributed in the U.S.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92"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217"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Except in certain circumstances, HUDs approved under an HDE cannot be sold for an amount that exceeds the costs of research and development, fabrication, and distribution of the device (i.e., for profit). Under the current HDE provision, as amended by the Food and Drug Administration Safety and Innovation Act (the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0"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testing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190"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6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advertising or communications with doctors, debarment, restitution, disgorgement of profits, or civil or criminal penalties. Any agency or judicial enforcement action could have a material adverse effect on us.</w:t>
      </w:r>
    </w:p>
    <w:p>
      <w:pPr>
        <w:spacing w:after="0" w:line="175"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47"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Under the Pediatric Research Equity Act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The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20"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U.S. Patent and Trademark Office, or PTO, in consultation with the FDA.</w:t>
      </w:r>
    </w:p>
    <w:p>
      <w:pPr>
        <w:spacing w:after="0" w:line="1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 biological product can obtain pediatric market exclusivity in the U.S. This six-month exclusivity, which runs from the end of other exclusivity protection or patent term, may be granted based on the voluntary completion of a pediatric study in accordance with an FDA-issued “Written Request” for such a study.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Biosimilars</w:t>
      </w:r>
    </w:p>
    <w:p>
      <w:pPr>
        <w:spacing w:after="0" w:line="24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0"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a requirement that future advertising and promotional materials be pre-cleared by the FDA, injunctions, and federal and state civil and criminal investigations and prosecutions.</w:t>
      </w:r>
    </w:p>
    <w:p>
      <w:pPr>
        <w:spacing w:after="0" w:line="207"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w:t>
      </w:r>
    </w:p>
    <w:p>
      <w:pPr>
        <w:spacing w:after="0" w:line="220"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w:t>
      </w:r>
    </w:p>
    <w:p>
      <w:pPr>
        <w:spacing w:after="0" w:line="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20"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In the U.S.,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noted above, in the U.S., we are subject to complex laws and regulations pertaining to healthcare “fraud and abuse,” including, but not limited to, the federal Anti-Kickback Statute, the federal False Claims Act, and other state and federal laws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and maintained a comprehensive compliance program that establishes internal controls to facilitate adherence to the rules and program requirements to which we are subject.</w:t>
      </w:r>
    </w:p>
    <w:p>
      <w:pPr>
        <w:spacing w:after="0" w:line="171"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$11,803 and $23,607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8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07"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95"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(defined to include doctors, dentists, optometrists, podiatrists and chiropractors) and teaching hospitals in the previous calendar year. Effective January 1, 2022, these reporting obligations extend to include transfers of value made to certain non-physician providers (physician assistants, nurse practitioners, clinical nurse specialists, certified registered nurse anesthetists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anesthesiologist assistants, and certified-nurse midwives).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 addition to regulations in the U.S.,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2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EU pharmaceutical legislation requires Marketing Authorization Holders (“MAH”) in the EU to comply with the Pediatric Investigational Plan (“PIP”) that is in place as a post-authorization commitment agreed with the Pediatric Committee (“PDCO”) within the European Medicines Agency (“EMA”) to undergo an initial license renewal procedure within five years after initial market authorization. In the case of MACI which has a suspended license due to a European manufacturing facility closure, this would require the registration, qualification and approval of an EU compliant cGMP manufacturing facility before the end of the applicable renewal period in June 2018. However, we did not take such actions prior to expiration, and therefore the EU marketing authorization for MACI expired in June 2018.</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Pharmaceutical Coverage and Reimbursement</w:t>
      </w:r>
    </w:p>
    <w:p>
      <w:pPr>
        <w:spacing w:after="0" w:line="220"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In the U.S.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Factors that payors consider in determining reimbursement are based on whether the product is (i) a covered benefit under its health plan; (ii) safe, effective and medically necessary; (iii) appropriate for the specific patient; (iv) cost-effective; and (v) neither experimental nor investigational. Third-party reimbursement adequate to enable us to realize an appropriate return on our investment in research and product development may not be available for our products.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47"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In both the U.S. and certain foreign jurisdictions, there have been, and continue to be, a number of legislative and regulatory changes to the health care system.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particular,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19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Since its enactment, there have been numerous judicial, administrative, executive, and legislative efforts to expand, repeal, replace or modify the ACA, some of which have been successful, in part, in modifying the law, as well as court challenges to the constitutionality of the law.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Prior to the Biden administration, on October 13, 2017, former President Trump signed an Executive Order terminating the cost-sharing subsidies that reimburse insurers under the ACA. The former Trump administration concluded that cost-sharing reduction, or CSR, payments to insurance companies required under the ACA have not received necessary appropriations from Congress and announced that it will discontinue these payments immediately until those appropriations are made. Several state Attorneys General filed suit to stop the administration from terminating the subsidies, but their request for a restraining order was denied by a federal judge in California on October 25, 2017. On August 14, 2020, the U.S. Court of Appeals for the Federal Circuit ruled in two separate cases that the federal government is liable for the full amount of unpaid CSRs for the years preceding and including 2017. For CSR claims made by health insurance companies for years 2018 and later, further litigation will be required to determine the amounts due, if any. Further, on June 14, 2018, the U.S. Court of Appeals for the Federal Circuit ruled that the federal government was not required to pay more than $12 billion in ACA risk corridor payments to third-party payors who argued the payments were owed to them. On April 27, 2020, the United States Supreme Court reversed the U.S. Court of Appeals for the Federal Circuit's decision and remanded the case to the U.S. Court of Federal Claims, concluding the government has an obligation to pay these risk corridor payments under the relevant formula. It is unclear what impact these rulings will have on our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other legislative and regulatory changes have been proposed and adopted in the United States since the ACA was enacted:</w:t>
      </w:r>
    </w:p>
    <w:p>
      <w:pPr>
        <w:spacing w:after="0" w:line="19" w:lineRule="exact"/>
        <w:rPr>
          <w:sz w:val="20"/>
          <w:szCs w:val="20"/>
          <w:color w:val="auto"/>
        </w:rPr>
      </w:pPr>
    </w:p>
    <w:p>
      <w:pPr>
        <w:jc w:val="both"/>
        <w:ind w:left="640" w:hanging="393"/>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2"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jc w:val="both"/>
        <w:ind w:left="640" w:hanging="393"/>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 w:lineRule="exact"/>
        <w:rPr>
          <w:rFonts w:ascii="Arial" w:cs="Arial" w:eastAsia="Arial" w:hAnsi="Arial"/>
          <w:sz w:val="18"/>
          <w:szCs w:val="18"/>
          <w:color w:val="auto"/>
        </w:rPr>
      </w:pPr>
    </w:p>
    <w:p>
      <w:pPr>
        <w:jc w:val="both"/>
        <w:ind w:left="640" w:hanging="393"/>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jc w:val="both"/>
        <w:ind w:left="640" w:hanging="393"/>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218"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There has been heightened governmental scrutiny in the United States of pharmaceutical pricing practices in light of the rising cost of prescription drugs and biologics.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212"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Plaintiffs-appellees filed a petition for a writ of certiorari at the Supreme Court on February 10, 2021. On Friday July 2, 2021, the Supreme Court granted the petition. It is unclear how these developments could affect covered hospitals who might purchase our future products and affect the rates we may charge such facilities for our approved products in the future, if any.</w:t>
      </w:r>
    </w:p>
    <w:p>
      <w:pPr>
        <w:spacing w:after="0" w:line="195"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Environment for Cartilage Repair and Burn Treatment</w:t>
      </w:r>
    </w:p>
    <w:p>
      <w:pPr>
        <w:spacing w:after="0" w:line="22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biotechnology and medical device industries are characterized by rapidly evolving technology and intense competition. Our competitors include major multinational medical device companies, pharmaceutical companies, biotechnology companies (those that process and distribute human tissue as well as human tissue-derived products or tissue banks),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82"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osteochondral autografts or allograft derived tissue products for smaller cartilage injuries, osteochondral allografts, and autologous chondrocyte implants (e.g., MACI) for larger injuries.</w:t>
      </w:r>
    </w:p>
    <w:p>
      <w:pPr>
        <w:spacing w:after="0" w:line="186" w:lineRule="exact"/>
        <w:rPr>
          <w:sz w:val="20"/>
          <w:szCs w:val="20"/>
          <w:color w:val="auto"/>
        </w:rPr>
      </w:pPr>
    </w:p>
    <w:p>
      <w:pPr>
        <w:jc w:val="both"/>
        <w:ind w:firstLine="240"/>
        <w:spacing w:after="0" w:line="234" w:lineRule="auto"/>
        <w:rPr>
          <w:sz w:val="20"/>
          <w:szCs w:val="20"/>
          <w:color w:val="auto"/>
        </w:rPr>
      </w:pPr>
      <w:r>
        <w:rPr>
          <w:rFonts w:ascii="Arial" w:cs="Arial" w:eastAsia="Arial" w:hAnsi="Arial"/>
          <w:sz w:val="17"/>
          <w:szCs w:val="17"/>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which can offer shorter term relief but is at high risk of breaking down in larger defects. This treatment is sometimes augmented with allograft derived products such as Cartiform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(manufactured and distributed by Osiris (recently acquired by Smith &amp; Nephew) and marketed by Arthrex) and Prochondrix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(marketed by Stryker). Other competitive treatments in the U.S. include a juvenile donor-derived allograft product, DeNovo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NT, marketed by Zimmer Biomet. The osteochondral allograft procedure involves the transplant of a bone and cartilage graft from a deceased donor. The donor tissue is processed by a number of tissue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banks and distributed by several companies. There are multiple other cartilage repair technologies currently being studied in clinical and preclinical studies. Hyalofast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biodegradable hyaluronic acid-based scaffold used in conjunction with autologous concentrated bone marrow aspirate being developed by Anika Therapeutics, Inc. It is currently being studied in a Phase 3 trial that was initiated in 2015. Agili-C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non-cellular biphasic implant derived from aragonite coral which is implanted into the subchondral bone and is being developed by CartiHeal, Inc. It has undergone a Phase 3 trial that initiated in 2018 and has met its primary endpoint. CartiHeal has announced plans to submit a PMA to the FDA’s Center for Devices and Radiological Health (“CDRH”) in late 2021 or early 2022 to seek medical device approval for Agili-C.</w:t>
      </w:r>
    </w:p>
    <w:p>
      <w:pPr>
        <w:spacing w:after="0" w:line="228" w:lineRule="exact"/>
        <w:rPr>
          <w:sz w:val="20"/>
          <w:szCs w:val="20"/>
          <w:color w:val="auto"/>
        </w:rPr>
      </w:pPr>
    </w:p>
    <w:p>
      <w:pPr>
        <w:jc w:val="both"/>
        <w:ind w:firstLine="240"/>
        <w:spacing w:after="0" w:line="231" w:lineRule="auto"/>
        <w:rPr>
          <w:sz w:val="20"/>
          <w:szCs w:val="20"/>
          <w:color w:val="auto"/>
        </w:rPr>
      </w:pPr>
      <w:r>
        <w:rPr>
          <w:rFonts w:ascii="Arial" w:cs="Arial" w:eastAsia="Arial" w:hAnsi="Arial"/>
          <w:sz w:val="18"/>
          <w:szCs w:val="18"/>
          <w:color w:val="auto"/>
        </w:rPr>
        <w:t>MACI is the only FDA-approved ACI product on the market in the U.S. We are aware of one other ACI product in development in the U.S. for the treatment of articular cartilage defects of the knee. In 2014, Aesculap Biologics, LLC initiated a Phase 3 trial of NOVOCART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3D, a biologic-device combination product comprised of autologous chondrocytes seeded on a collagen scaffold. The trial is still enrolling patients.</w:t>
      </w:r>
    </w:p>
    <w:p>
      <w:pPr>
        <w:spacing w:after="0" w:line="228" w:lineRule="exact"/>
        <w:rPr>
          <w:sz w:val="20"/>
          <w:szCs w:val="20"/>
          <w:color w:val="auto"/>
        </w:rPr>
      </w:pPr>
    </w:p>
    <w:p>
      <w:pPr>
        <w:jc w:val="both"/>
        <w:ind w:firstLine="240"/>
        <w:spacing w:after="0" w:line="238" w:lineRule="auto"/>
        <w:rPr>
          <w:sz w:val="20"/>
          <w:szCs w:val="20"/>
          <w:color w:val="auto"/>
        </w:rPr>
      </w:pPr>
      <w:r>
        <w:rPr>
          <w:rFonts w:ascii="Arial" w:cs="Arial" w:eastAsia="Arial" w:hAnsi="Arial"/>
          <w:sz w:val="18"/>
          <w:szCs w:val="18"/>
          <w:color w:val="auto"/>
        </w:rPr>
        <w:t>Patients who are severely burned over a substantial portion of their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FDA-approved Avita Medical’s RECELL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in for use in partial thickness burns and in full-thickness burns in conjunction with meshed split-thickness auto-graft. The RECELL system is a device which enables the on-site preparation of an autologous epithelial cell suspension. One RECELL kit can treat an approximately 10% TBSA wound.</w:t>
      </w:r>
    </w:p>
    <w:p>
      <w:pPr>
        <w:spacing w:after="0" w:line="232"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the general area of cell-based therapies, we potentially compete with a variety of companies, most of whom are specialty medical technology/device or biotechnology companies. Some of these, such as Arthrex and Zimmer, are well-established and have substantial technical and financial resources compared to ours. However, as cell-based products are only just emerging as viable medical therapies, many of our potential competitors are smaller biotechnology and specialty medical products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are subject to various federal, state and local laws and regulations relating to the protection of the environment, human health and safety in the U.S. and in other jurisdictions in which we operate. If we violate these laws and regulations, we could be fined, criminally charged or otherwise sanctioned by regulators. Environmental laws and regulations are complex, change frequently and have become more stringent over time. We believe that our operations currently comply in all material respects with applicable environmental laws and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As of December 31, 2021, we employed approximately 281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2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1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are committed to the health and safety of our employees, patients and other partners in the healthcare community. We work to promote an environment of awareness and shared responsibility for safety and regulatory compliance throughout our organization, in order to minimize risks of injury, exposure, or business impact.</w:t>
      </w:r>
    </w:p>
    <w:p>
      <w:pPr>
        <w:spacing w:after="0" w:line="21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With respect to the ongoing COVID-19 pandemic, we implement and oversee appropriate safety protocols, procedures and training, which align with applicable CDC guidance and state and local rules and regulations in order to minimize the spread of COVID-19 in our teams and communities. We continue to have flexible work arrangements for our employees and contractors and avoid non-essential work-related travel when possible.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Additional information about Vericel is included on our website, www.vcel.com. Information on our website is not incorporated by reference into this Annual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Corporate Governance Guidelines, Code of Business Conduct and Ethics, Code of Ethics for Senior Financial Officers, Insider Trading Policy, Special Trading Procedures for Insiders, Board Member Attendance at Annual Meetings Policy, Director Nominations Policy, Shareholder Communications with Directors Policy and the Charters for each of the Committees of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jc w:val="both"/>
        <w:ind w:firstLine="240"/>
        <w:spacing w:after="0" w:line="216" w:lineRule="exact"/>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 See “Cautionary Note Regarding Forward-Looking Statements” and the risks of our businesses described elsewhere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current and ongoing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13"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Broad-based business or economic disruptions could adversely affect our ongoing or planned research, development and commercialization activities. For example, the COVID-19 pandemic has created significant disruptions to the U.S. and global economy and has contributed, at times, to significant volatility in financial markets. The global impact of the pandemic has fluctuated since early 2020. At times,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we have been exempted from government orders requiring the closure of workplaces and the cessation of business operations as they have existed from time-to-time during the pandemic.</w:t>
      </w:r>
    </w:p>
    <w:p>
      <w:pPr>
        <w:spacing w:after="0" w:line="195"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Even though widespread distribution of vaccines designed to protect against COVID-19 infection began in the U.S. and other countries throughout the world in early 2021, the pandemic remains unpredictable, and the number of COVID-19 infections has fluctuated significantly in various geographies during 2020 and throughout 2021 and could continue to do so, particularly in light of emerging variant strains. As such, some state and local governments have re-instituted restrictions on businesses, travel, and personal activities from time-to-time and additional such measures may occur in the future as the pandemic evolves.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the outset of the pandemic, we put in place a comprehensive workplace protection plan, which instituted protective measures in response to COVID-</w:t>
      </w:r>
    </w:p>
    <w:p>
      <w:pPr>
        <w:spacing w:after="0" w:line="42" w:lineRule="exact"/>
        <w:rPr>
          <w:sz w:val="20"/>
          <w:szCs w:val="20"/>
          <w:color w:val="auto"/>
        </w:rPr>
      </w:pPr>
    </w:p>
    <w:p>
      <w:pPr>
        <w:jc w:val="both"/>
        <w:ind w:firstLine="7"/>
        <w:spacing w:after="0" w:line="25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all times, our workplace protection plan has closely followed guidance issued by the CDC and has complied with applicable federal and state law. We have continued to regularly review our policies and procedures as the pandemic has evolved and will continue to do so – balancing the need to protect our workforce,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and partners from COVID-19 infection with the need to continue optimal business operations and the delivery of MACI and Epicel to the patients we serve.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Future actions that we take may result in disruption to our business.</w:t>
      </w:r>
    </w:p>
    <w:p>
      <w:pPr>
        <w:spacing w:after="0" w:line="234"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extent to which the ongoing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The rapid development and uncertainty of this situation precludes any prediction as to the full adverse impact of the COVID-19 pandemic. Nevertheless, the COVID-19 pandemic has and could continue to adversely affect our business, financial condition and results of operations, and it may have the effect of heightening many of the risks described herein, including the below.</w:t>
      </w:r>
    </w:p>
    <w:p>
      <w:pPr>
        <w:spacing w:after="0" w:line="219" w:lineRule="exact"/>
        <w:rPr>
          <w:sz w:val="20"/>
          <w:szCs w:val="20"/>
          <w:color w:val="auto"/>
        </w:rPr>
      </w:pPr>
    </w:p>
    <w:p>
      <w:pPr>
        <w:jc w:val="both"/>
        <w:ind w:left="640" w:hanging="633"/>
        <w:spacing w:after="0" w:line="281"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Hospitals, health systems and surgeons minimized, postponed, or canceled electively scheduled surgeries during the initial wave of the pandemic in the spring of 2020. These actions were followed by numerous state-level executive orders either restricting or partially restricting elective surgeries. Because MACI is an elective surgical procedure, as a result of these restrictions we experienced a significant increase in cancellations of scheduled MACI procedures as well as a slowdown in new MACI orders during March and April of 2020, which negatively impacted our business and results of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our MACI business had largely dissipated. During the summer of 2021, however, some patients postponed or delayed treatment with MACI in order to take vacation and/or travel following the lifting of COVID-19-related restrictions that had been in place in many parts of the country for more than a year. Additionally, the surge of new COVID-19 infections seen throughout the U.S. during the second half of 2021, resulting from the spread of the “Delta” and “Omicron” variants again caused disruptions to health care networks, the postponement or cessation of elective surgical procedures, like MACI, and overall patient behavior. These effects were compounded by staffing shortages at many healthcare facilities across the U.S. during the same period. Consequently, and notwithstanding the widespread distribution of vaccines in the U.S., these factors contributed to a slowdown of MACI procedures during the third and fourth quarters of 2021. The risk remains that regional or local restrictions could again be placed on the performance of elective surgical procedures if the number of COVID-19 infections in the U.S. were to continue to rise, or if new or existing COVID-19 variants render current vaccine treatments ineffective. We believe our MACI business will be negatively impacted if elective surgical procedures are again materially restricted. Further, renewed and material disruption to the operations of our employees, distributors, suppliers or customers will impact our sales and operating results and could lead to potential impairments to inventory and accounts receivable. Although Epicel has been less directly impacted by the pandemic given the critical nature of severe burn injuries, it is difficult to ascertain the current or future impact of COVID-19 on the treatment of severe burns.</w:t>
      </w:r>
    </w:p>
    <w:p>
      <w:pPr>
        <w:spacing w:after="0" w:line="203" w:lineRule="exact"/>
        <w:rPr>
          <w:rFonts w:ascii="Arial" w:cs="Arial" w:eastAsia="Arial" w:hAnsi="Arial"/>
          <w:sz w:val="16"/>
          <w:szCs w:val="16"/>
          <w:color w:val="auto"/>
        </w:rPr>
      </w:pPr>
    </w:p>
    <w:p>
      <w:pPr>
        <w:jc w:val="both"/>
        <w:ind w:left="640" w:hanging="633"/>
        <w:spacing w:after="0" w:line="282"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continue to manufacture MACI and Epicel and we maintain a significant safety back-up of all key raw materials. We do not currently expect that supply chain interruptions will impact our ongoing manufacturing operations. However, we currently rely on both domestic and international third parties to, among other things, manufacture and supply raw materials, which are used to produce our products, and supply other goods and services to run our business. If any such third parties in our supply chain are adversely impacted by current or future restrictions or executive orders resulting from the ongoing COVID-19 pandemic for an extended period of time, including staffing shortages, production slowdowns, disruptions in delivery systems, or federal, state or foreign orders requiring the diversion of key supplies for use in the production or manufacturing of vaccines designed to inoculate individuals against COVID-19, our supply chain may be disrupted, limiting our ability to manufacture our products and product candidates and conduct our research and development operations, or commercially launch any of our product candidates, if approved. With respect to customer delivery, MACI final product has an established shelf life of six (6) days and established shipping shelf life of three (3) days. Currently, MACI is picked-up by courier and shipped by commercial air or ground transportation to our customers’ locations. Epicel final product has an established shelf life of 24 hours and is hand carried to customer hospital sites by courier. Transportation is primarily by commercial or charter airline. Although we have not experienced material shipping delays or increased costs to date, significant disruption of air travel in the future could result in the inability to deliver MACI or Epicel final products to customer sites within appropriate timeframes, which would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hanging="633"/>
        <w:spacing w:after="0" w:line="270"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documented and ongoing world-wide supply chain disruptions may adversely impact our ability or the ability of others, including hospitals, to utilize MACI or Epicel.</w:t>
      </w:r>
    </w:p>
    <w:p>
      <w:pPr>
        <w:spacing w:after="0" w:line="201" w:lineRule="exact"/>
        <w:rPr>
          <w:rFonts w:ascii="Arial" w:cs="Arial" w:eastAsia="Arial" w:hAnsi="Arial"/>
          <w:sz w:val="18"/>
          <w:szCs w:val="18"/>
          <w:color w:val="auto"/>
        </w:rPr>
      </w:pPr>
    </w:p>
    <w:p>
      <w:pPr>
        <w:jc w:val="both"/>
        <w:ind w:left="640" w:hanging="633"/>
        <w:spacing w:after="0" w:line="266"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public health data warranted, at various times during the pandemic we restricted on-site staff in our facilities to only those personnel and contractors who are required to perform essential activities related to the manufacture, production and delivery of our products. During these periods, we encouraged the majority of our remaining employees to work remotely. To date, we have been successful in sustaining our operations and providing MACI and Epicel to patients in need. We continue to review our policies and procedures regularly, including our workplace protection plan, as the pandemic evolves and we may take additional actions to the extent required. We expect that some of our employees will continue to work remotely from time to time. A resurgence of COVID-19, COVID-19 variants, or similar infectious diseases in the U.S., however, may lead to future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08" w:lineRule="exact"/>
        <w:rPr>
          <w:rFonts w:ascii="Arial" w:cs="Arial" w:eastAsia="Arial" w:hAnsi="Arial"/>
          <w:sz w:val="17"/>
          <w:szCs w:val="17"/>
          <w:color w:val="auto"/>
        </w:rPr>
      </w:pPr>
    </w:p>
    <w:p>
      <w:pPr>
        <w:jc w:val="both"/>
        <w:ind w:left="640" w:hanging="633"/>
        <w:spacing w:after="0" w:line="284"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partial reliance on certain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third-party contractors and suppliers, clinical trial sites and other important agencies and contractors. Our business operations may be further disrupted if any of our employees, officers or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 A resurgence of COVID-19 or COVID-19 variants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As a result, this could delay timely completion of ongoing clinical trials or preclinical activities, and our ability to select future development candidates.</w:t>
      </w:r>
    </w:p>
    <w:p>
      <w:pPr>
        <w:spacing w:after="0" w:line="193" w:lineRule="exact"/>
        <w:rPr>
          <w:rFonts w:ascii="Arial" w:cs="Arial" w:eastAsia="Arial" w:hAnsi="Arial"/>
          <w:sz w:val="16"/>
          <w:szCs w:val="16"/>
          <w:color w:val="auto"/>
        </w:rPr>
      </w:pPr>
    </w:p>
    <w:p>
      <w:pPr>
        <w:jc w:val="both"/>
        <w:ind w:left="640" w:hanging="633"/>
        <w:spacing w:after="0" w:line="282"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NexoBrid is currently a pre-commercial product in North America. On June 29, 2021, we announced that MediWound had received a complete response letter from the FDA regarding the BLA and the agency communicated to MediWound that it had completed its review of the BLA, as amended, and had determined that it cannot approve the BLA in its present form. We announced further that we are working with MediWound and the FDA to address the issues identified by the FDA to seek potential approval of NexoBrid. Health regulatory agencies, including the FDA, have experienced and may continue to experience disruptions in their operations as a result of the continued spread or resurgence of the ongoing COVID-19 pandemic. For instance, the COVID-19 pandemic may impact the FDA’s response times to regulatory submissions, like a BLA resubmission in response to the complete response letter, and its ability to monitor our clinical trials. Additionally, in many instances across the industry, the FDA has postponed, or has been unable to conduct certain inspections of domestic and international manufacturing facilities in connection with its regulatory review of product applications as a result of travel and other restrictions caused by the pandemic. As part of its review of the BLA, and any BLA resubmission, the FDA has communicated to MediWound that physical cGMP inspections of manufacturing facilities in Israel and Taiwan are required before the BLA can be approved, as the FDA must assess the ability of those facilities to conduct certain manufacturing operations in compliance with cGMP. The FDA indicated that because of restrictions on travel caused by the COVID-19 pandemic, the agency was unable to conduct the required inspections of those facilities during the original BLA review cycle. Should continued restrictions prevent or delay the FDA in conducting necessary reviews or physical inspections of the manufacturing facilities involved in the production of NexoBrid, or should other events impact the FDA’s response times, the timeline for approval of NexoBrid could be materially and further delayed, which could materially affect the development, study and ultimate commercialization of the product.</w:t>
      </w:r>
    </w:p>
    <w:p>
      <w:pPr>
        <w:spacing w:after="0" w:line="196" w:lineRule="exact"/>
        <w:rPr>
          <w:rFonts w:ascii="Arial" w:cs="Arial" w:eastAsia="Arial" w:hAnsi="Arial"/>
          <w:sz w:val="16"/>
          <w:szCs w:val="16"/>
          <w:color w:val="auto"/>
        </w:rPr>
      </w:pPr>
    </w:p>
    <w:p>
      <w:pPr>
        <w:jc w:val="both"/>
        <w:ind w:left="640" w:hanging="633"/>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prices of our common stock and that of other biopharmaceutical companies have been highly volatile during the COVID-19 pandemic. As a result, we may face difficulties raising capital through sales of our common stock or such sales may be on unfavorable terms. In addition, a recession, depression or other sustained adverse market event resulting from the ongoing COVID-19 pandemic could materially and adversely affect our business and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640" w:hanging="633"/>
        <w:spacing w:after="0" w:line="282" w:lineRule="auto"/>
        <w:tabs>
          <w:tab w:leader="none" w:pos="6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negative economic effects of the pandemic have, at times, caused increased unemployment in the U.S. resulting in many individuals losing their employer-based insurance coverage. The continued or future unemployment of our potential patients may adversely affect our ability to commercialize our products. In addition, market disruption or rising unemployment caused by the ongoing COVID-19 pandemic or a variant strain thereof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ongoing COVID-19 pandemic may also negatively impact our commercialization strategy for our products and product candidates, if approved. At times during the pandemic, hospitals and other medical institutions have reduced and diverted staffing, diverted resources to patients suffering from COVID-19 and limited hospital access for non-patients, which has included our sales personnel. Hospitals may continue or increase these and similar measures in the future should the COVID-19 virus and any future variants continue to spread or surge in certain areas. In addition, COVID-19 levels in the U.S. and/or specific regions of the U.S. may cause customers or patients to postpone or cancel previously scheduled surgeries or to decline to schedule surgeries utilizing our products, which would negatively impact our operations and financial results. Although many face-to-face interactions have resumed, our sales personnel, at times, have conducted, and may continue to have to conduct, many of their interactions with physicians and patients through the use of 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200"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If any of these risks related to the impact of the ongoing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47" w:lineRule="exact"/>
        <w:rPr>
          <w:sz w:val="20"/>
          <w:szCs w:val="20"/>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new orders and revenue recognition for new and prior year orders;</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sales of our products;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volume of revenues;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third-party coverage and reimbursement for our products;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supply and meet customer demand for our products;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increase sales to our existing customers, particularly larger customers;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our products;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ongoing COVID-19 pandemic, or the future outbreak of another highly infectious or contagious disease;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erosion in margins or significant fluctuations in revenues caused by changing customer demand;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hiring personnel and of large expenses such as third-party professional services;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expenses, which vary along with changes to our stock price;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chain disruptions or constraints;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or our accounting policies.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For example, the rate at which MACI biopsies convert to implants has generally been consistent since the product was first commercially launched in 2017, although the disruptions caused by the COVID-19 pandemic effected this conversion rate at times during 2021. We cannot be certain that this rate will remain constant in the future, and if this rate were to decline, our revenue growth could be negatively impacted.</w:t>
      </w:r>
    </w:p>
    <w:p>
      <w:pPr>
        <w:spacing w:after="0" w:line="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01"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b w:val="1"/>
          <w:bCs w:val="1"/>
          <w:i w:val="1"/>
          <w:iCs w:val="1"/>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157"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Historically, and specifically prior to the COVID-19 pandemic, we have had significant seasonal patterns in product orders with the highest volume occurring in the fourth quarter and the lowest volume occurring in the first quarter. As a result, a significantly higher percentage of our annual revenues have historically been recognized in the fourth quarter and the lowest percentage of annual revenues in the first quarter of a given calendar year. This is due to a number of factors, including insurance deductible limits and the time of year during which patients prefer to start rehabilitation. We expect to continue to experience this seasonality of our business in subsequent years after the COVID-19 pandemic and its related implications have ended.</w:t>
      </w:r>
    </w:p>
    <w:p>
      <w:pPr>
        <w:spacing w:after="0" w:line="18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Our quarterly growth in revenues also may not align with new orders that we receive in a given quarter, which could mask the impact of seasonal variations. This mismatch can be due to the timing of revenue recognition.</w:t>
      </w:r>
    </w:p>
    <w:p>
      <w:pPr>
        <w:spacing w:after="0" w:line="201" w:lineRule="exact"/>
        <w:rPr>
          <w:sz w:val="20"/>
          <w:szCs w:val="20"/>
          <w:color w:val="auto"/>
        </w:rPr>
      </w:pPr>
    </w:p>
    <w:p>
      <w:pPr>
        <w:jc w:val="both"/>
        <w:ind w:right="20" w:firstLine="240"/>
        <w:spacing w:after="0" w:line="281"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will be harmed if we are unable to effectively manage and sustain our future growth or scale our operations.</w:t>
      </w:r>
    </w:p>
    <w:p>
      <w:pPr>
        <w:spacing w:after="0" w:line="24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For example, we are planning to move to a larger facility to support our potential growth, but if the construction and customization of such facility is delayed, we may be limited in our ability to meet future demand for our products.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manage inventory in an effective and efficient manner, it could adversely affect our results of operations.</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Finally, we cannot provide assurances that we can keep inventory costs within our target levels. Failure to do so may harm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and may not achieve consistent profitability for some time or at all.</w:t>
      </w:r>
    </w:p>
    <w:p>
      <w:pPr>
        <w:spacing w:after="0" w:line="24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For the year ended December 31, 2021 we reported net loss of $7.5 million. Prior to that, with the exception of the year ended December 31, 2020, when we reported net income of $2.9 million, we had incurred net losses each year since our inception in 1989. As of December 31, 2021, we had accumulated a deficit of approximately $383.3 million and $129.3 million of cash, cash equivalents and investments. Based on our current plan and existing cash, cash equivalents and investments on hand we are positioned to sustain current operations through at least 12 months following the issuance of the consolidated financial statements included in this Annual Report on Form 10-K.</w:t>
      </w:r>
    </w:p>
    <w:p>
      <w:pPr>
        <w:spacing w:after="0" w:line="217"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Although we believe we can continue to achieve profitability without the need to raise additional capital, we may incur significant operating losses over the next several years despite sales increasing and margins improving, due to continuing expenses related to research and development,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 commercializing new products,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additional and complementary products. Therefore, we may not be able to achieve or sustain profitability.</w:t>
      </w:r>
    </w:p>
    <w:p>
      <w:pPr>
        <w:spacing w:after="0" w:line="22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or that funding will be available on favorable terms, if at all. Some of the factors that will impact our ability to raise additional capital and our overall success include:</w:t>
      </w:r>
    </w:p>
    <w:p>
      <w:pPr>
        <w:spacing w:after="0" w:line="186" w:lineRule="exact"/>
        <w:rPr>
          <w:sz w:val="20"/>
          <w:szCs w:val="20"/>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maintain our manufacturing facility’s compliance with FDA requirements, including establishment and product fees;</w:t>
      </w:r>
    </w:p>
    <w:p>
      <w:pPr>
        <w:spacing w:after="0" w:line="19"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requirements necessary to maintain in good standing marketing authorizations and licenses from regulatory bodies in the U.S. and other countries;</w:t>
      </w:r>
    </w:p>
    <w:p>
      <w:pPr>
        <w:ind w:left="640" w:hanging="39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Anticipating technological developments by competitors;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and cadence of the regulatory approvals needed to proceed with clinical development programs.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 which may decrease the chances of regulatory approval and could have material adverse effect on our financial condition and operating results.</w:t>
      </w:r>
    </w:p>
    <w:p>
      <w:pPr>
        <w:spacing w:after="0" w:line="20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Our products are subject to the inherent risks of failure associated with the development of new products based on novel technologies. The innovative nature of our therapeutics creates significant challenges with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20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with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degree of market acceptance of any of our marketed or potential new products will depend on a number of factors, including:</w:t>
      </w:r>
    </w:p>
    <w:p>
      <w:pPr>
        <w:spacing w:after="0" w:line="247" w:lineRule="exact"/>
        <w:rPr>
          <w:sz w:val="20"/>
          <w:szCs w:val="20"/>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demonstrated advantage over alternative treatment methods;</w:t>
      </w:r>
    </w:p>
    <w:p>
      <w:pPr>
        <w:spacing w:after="0" w:line="19"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demonstrate to healthcare providers that our products provide a therapeutic advancement over standard of care treatment or other competitive products and methods;</w:t>
      </w:r>
    </w:p>
    <w:p>
      <w:pPr>
        <w:ind w:left="640" w:hanging="393"/>
        <w:spacing w:after="0" w:line="24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ind w:left="640" w:hanging="39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educate healthcare providers, patients and payers on the safety and adverse reactions involving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meet supply and demand and develop a group of medical professionals familiar with and committed to the use of our products; and</w:t>
      </w:r>
    </w:p>
    <w:p>
      <w:pPr>
        <w:spacing w:after="0" w:line="29" w:lineRule="exact"/>
        <w:rPr>
          <w:rFonts w:ascii="Arial" w:cs="Arial" w:eastAsia="Arial" w:hAnsi="Arial"/>
          <w:sz w:val="16"/>
          <w:szCs w:val="16"/>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cost-effectiveness of our products and the reimbursement policies of government and third-party payers.</w:t>
      </w:r>
    </w:p>
    <w:p>
      <w:pPr>
        <w:spacing w:after="0" w:line="23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If the medical community or patients do not accept the safety and effectiveness of our products, it could negatively affect our ability to sell those products, which would have a material adverse impact on our business, financial condition and operations.</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201"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We have a limited network of specialty pharmacy distributors for MACI, and we primarily rely on our specialty pharmacy distributors’ contracts with third-party payers for reimbursement. Under our distribution agreements with Orsini and AllCare, we assume the credit and collection risk of third-party payers, as Orsini and AllCare dispense MACI and perform the collection activities. We also sell a portion of MACI implants directly to facilities based on prices stated in an approved contract or an applicable purchase order with the facility. Often the contracted rates are tied to the facility’s third-party reimbursement from an underlying insurance provider. We sell Epicel directly to hospitals based on contracted rates stated in an approved contract or an applicable purchase order with the hospital.</w:t>
      </w:r>
    </w:p>
    <w:p>
      <w:pPr>
        <w:spacing w:after="0" w:line="2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and increased attacks against our and our third-party service providers’ or partners’ information systems create risk of cyber security incidents. Potential attacks could include use of harmful malware or ransomware, and our information technology systems could be compromised by outside parties intent on extracting ransom or information, corrupting data or disrupting business practices. There can be no assurance that we will not be subject to cyber security incidents that evade our security measures, result in the loss of personal health information or other data subject to privacy laws or disrupt our information systems and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201"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In addition, regulators globally are also imposing greater monetary fines for privacy violations. For example, in 2016, the EU adopted a new regulation governing data practices and privacy called the General Data Protection Regulation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greater.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19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i w:val="1"/>
          <w:iCs w:val="1"/>
          <w:color w:val="auto"/>
        </w:rPr>
        <w:t>We rely on complex information technology systems for various critical purposes, including timely delivery of products and maintaining patient confidentiality. If these systems fail or are disrupted, we could lose product sales and our revenue and reputation would suffer.</w:t>
      </w:r>
    </w:p>
    <w:p>
      <w:pPr>
        <w:spacing w:after="0" w:line="178"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We have developed comprehensive, integrated information technology (“IT”) systems for the intake of physician orders for our products, to track product delivery, and to store patient-related data that we obtain for purposes of manufacturing MACI and Epicel. We rely on these systems to maintain the chain of identity for each autologous product, and to ensure timely delivery of product, prior to expiration. Each of our products has a limited usable life measured in days from the completion of the manufacturing process to patient implant or grafting. Accordingly, maintaining accurate scheduling logistics is critical. In addition, these IT systems store and protect the privacy of certain patient information, which is required for the manufacture of our individualized cell therapy products. We have also developed an integrated information technology system for benefit coordination for MACI patients who have opted-in to the My Cartilage Care program, which we use with our benefit coordination contractor and our contracted specialty pharmacies. This system contains patient-related information some of which is accessible by company personnel and healthcare professionals for surgery coordination activities. If any of our systems were to fail or be disrupted for an extended period of time, we could lose product sales and our revenue and reputation would suffer. Similarly, in the event our systems were to be breached by an unauthorized third-party,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70"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In order to obtain regulatory approvals necessary to commercialize future product candidates in the U.S., we must conduct adequate and well-controlled clinical trials to demonstrate the safety and effectiveness of those products, in compliance with current regulatory requirements. We may not be able to successfully complete the development of future product candidates, or successfully market our technologies or future product candidates. We, and any of our potential collaborators, may encounter problems and delays relating to research and development, regulatory approval and intellectual property rights of relevant technologies and future product candidates. Our research and development programs may not be successful, or our cell therapy technologies and future product candidates may not facilitate the production of cells outside the human body with the expected results. 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must successfully complete nonclinical and clinical development to be able to demonstrate safety and efficacy to seek marketing approval of our current or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results of early 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213"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252423"/>
        </w:rPr>
        <w:t>Additionally, several of our ongoing clinical trials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95" w:lineRule="exact"/>
        <w:rPr>
          <w:sz w:val="20"/>
          <w:szCs w:val="20"/>
          <w:color w:val="auto"/>
        </w:rPr>
      </w:pPr>
    </w:p>
    <w:p>
      <w:pPr>
        <w:jc w:val="both"/>
        <w:ind w:right="20" w:firstLine="240"/>
        <w:spacing w:after="0" w:line="300" w:lineRule="auto"/>
        <w:rPr>
          <w:sz w:val="20"/>
          <w:szCs w:val="20"/>
          <w:color w:val="auto"/>
        </w:rPr>
      </w:pPr>
      <w:r>
        <w:rPr>
          <w:rFonts w:ascii="Arial" w:cs="Arial" w:eastAsia="Arial" w:hAnsi="Arial"/>
          <w:sz w:val="17"/>
          <w:szCs w:val="17"/>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7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201" w:lineRule="exact"/>
        <w:rPr>
          <w:sz w:val="20"/>
          <w:szCs w:val="20"/>
          <w:color w:val="auto"/>
        </w:rPr>
      </w:pPr>
    </w:p>
    <w:p>
      <w:pPr>
        <w:ind w:left="640" w:hanging="393"/>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 and their subsequent performance in conducting accurate and reliable trials on a timely basis;</w:t>
      </w: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IRB and other regulatory approvals to commence a clinical trial;</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640" w:hanging="39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third-party payers for the use of biological products supplied for use in our clinical trials;</w:t>
      </w: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40" w:hanging="39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18" w:lineRule="exact"/>
        <w:rPr>
          <w:rFonts w:ascii="Arial" w:cs="Arial" w:eastAsia="Arial" w:hAnsi="Arial"/>
          <w:sz w:val="17"/>
          <w:szCs w:val="17"/>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replicate in large controlled trials safety and efficacy data obtained from a limited number of patients in uncontrolled trials;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34"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current product development activities include but are not limited to projects directed at expanding clinical indications, increasing the ease of use of our products for our customers,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would be commercially available.</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201"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194"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could affect regulatory approval and contractual restrictions may make such a change difficult or impossible. Additionally, it may be difficult to find a replacement organization that can conduct our trials in an acceptable manner and at an acceptable cost.</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 which may impact our ability to successfully commercialize our products.</w:t>
      </w:r>
    </w:p>
    <w:p>
      <w:pPr>
        <w:spacing w:after="0" w:line="2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217"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20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animal-derived materials could harm our product development and commercialization efforts.</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Some of the manufacturing materials and/or components that we use in, and which are critical to, implementation of our technology involve the use of animal-derived products, including fetal bovine serum. Supplier changes or regulatory actions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licensing arrangement with MediWound is unsuccessful, our development of NexoBrid and its associated revenues may be limited.</w:t>
      </w:r>
    </w:p>
    <w:p>
      <w:pPr>
        <w:spacing w:after="0" w:line="25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 xml:space="preserve">We have entered into a licensing arrangement with MediWound for the development of NexoBrid in North America. However, there can be no assurance that this agreement and our and MediWound’s efforts pursuant to it will result in FDA approval of NexoBrid, or that we will be able to market NexoBrid at a profit. </w:t>
      </w:r>
      <w:r>
        <w:rPr>
          <w:rFonts w:ascii="Arial" w:cs="Arial" w:eastAsia="Arial" w:hAnsi="Arial"/>
          <w:sz w:val="18"/>
          <w:szCs w:val="18"/>
          <w:color w:val="212529"/>
        </w:rPr>
        <w:t>Under the terms of the License Agreement, MediWound will continue to conduct all development activities under the supervision of a Central Steering</w:t>
      </w:r>
      <w:r>
        <w:rPr>
          <w:rFonts w:ascii="Arial" w:cs="Arial" w:eastAsia="Arial" w:hAnsi="Arial"/>
          <w:sz w:val="18"/>
          <w:szCs w:val="18"/>
          <w:color w:val="auto"/>
        </w:rPr>
        <w:t xml:space="preserve"> </w:t>
      </w:r>
      <w:r>
        <w:rPr>
          <w:rFonts w:ascii="Arial" w:cs="Arial" w:eastAsia="Arial" w:hAnsi="Arial"/>
          <w:sz w:val="18"/>
          <w:szCs w:val="18"/>
          <w:color w:val="212529"/>
        </w:rPr>
        <w:t xml:space="preserve">Committee comprised of members of each party until the BLA is approved and subsequently transferred to Vericel. </w:t>
      </w:r>
      <w:r>
        <w:rPr>
          <w:rFonts w:ascii="Arial" w:cs="Arial" w:eastAsia="Arial" w:hAnsi="Arial"/>
          <w:sz w:val="18"/>
          <w:szCs w:val="18"/>
          <w:color w:val="000000"/>
        </w:rPr>
        <w:t>Collaboration and licensing arrangements</w:t>
      </w:r>
      <w:r>
        <w:rPr>
          <w:rFonts w:ascii="Arial" w:cs="Arial" w:eastAsia="Arial" w:hAnsi="Arial"/>
          <w:sz w:val="18"/>
          <w:szCs w:val="18"/>
          <w:color w:val="212529"/>
        </w:rPr>
        <w:t xml:space="preserve"> </w:t>
      </w:r>
      <w:r>
        <w:rPr>
          <w:rFonts w:ascii="Arial" w:cs="Arial" w:eastAsia="Arial" w:hAnsi="Arial"/>
          <w:sz w:val="18"/>
          <w:szCs w:val="18"/>
          <w:color w:val="000000"/>
        </w:rPr>
        <w:t>pose many risks, including, but not limited to, the following:</w:t>
      </w:r>
    </w:p>
    <w:p>
      <w:pPr>
        <w:spacing w:after="0" w:line="217" w:lineRule="exact"/>
        <w:rPr>
          <w:sz w:val="20"/>
          <w:szCs w:val="20"/>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and licensing arrangements may be terminated;</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and licensors may delay clinical trials and prolong clinical development, or under-fund or stop a clinical trial;</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revenue might not be generated because product candidates may not be approved;</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and licensors could independently develop, or develop with third parties, products that could compete with our future products despite non-competition provisions;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our contracts with current or future collaborators and license parties may not be favorable to us in the future;</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may arise delaying or terminating the research, development, or commercialization of our product candidates, or result in significant and costly litigation or arbitration; and</w:t>
      </w:r>
    </w:p>
    <w:p>
      <w:pPr>
        <w:ind w:left="640" w:hanging="393"/>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or more third-party developers could obtain approval for a similar product prior to the product candidate resulting in unforeseen price competition in connection with the product candidate.</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Product development is a lengthy and expensive process, with an uncertain outcome. If we are not able to successfully develop NexoBrid, there may be a material adverse impact on our business.</w:t>
      </w:r>
    </w:p>
    <w:p>
      <w:pPr>
        <w:spacing w:after="0" w:line="20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intend to commercialize NexoBrid in the U.S. and potentially other North American countries. However, before we can commercialize NexoBrid, we must first obtain regulatory approval for the sale of NexoBrid in any jurisdiction, which includes the submission of an application utilizing completed and ongoing clinical studies to demonstrate that the product is safe and effective. We depend on MediWound for its efforts in completing clinical trials and other clinical activities pursuant to the development plan, obtaining regulatory approval and manufacturing and supplying NexoBrid.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Certain events could delay or prevent our ability to successfully gain regulatory approval, including:</w:t>
      </w:r>
    </w:p>
    <w:p>
      <w:pPr>
        <w:spacing w:after="0" w:line="247" w:lineRule="exact"/>
        <w:rPr>
          <w:sz w:val="20"/>
          <w:szCs w:val="20"/>
          <w:color w:val="auto"/>
        </w:rPr>
      </w:pPr>
    </w:p>
    <w:p>
      <w:pPr>
        <w:ind w:left="640" w:hanging="393"/>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may not participate in necessary follow-up visits to obtain required data, which would result in significant delays in the clinical testing process;</w:t>
      </w:r>
    </w:p>
    <w:p>
      <w:pPr>
        <w:ind w:left="640" w:hanging="39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audit of MediWound’s supply chain or manufacturing facilities and/or processes could reveal noncompliance or a regulatory agency requires further testing or inspections of such processes;</w:t>
      </w:r>
    </w:p>
    <w:p>
      <w:pPr>
        <w:ind w:left="640" w:hanging="39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contractors, such as a research institute, may fail to comply with regulatory requirements or meet their contractual obligations to MediWound;</w:t>
      </w:r>
    </w:p>
    <w:p>
      <w:pPr>
        <w:ind w:left="640" w:hanging="39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or manufacturing-related data submitted to the FDA during BLA submission or re-submission may be found by the agency to be inadequate or incomplete;</w:t>
      </w:r>
    </w:p>
    <w:p>
      <w:pPr>
        <w:ind w:left="640" w:hanging="39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travel and other restrictions caused by the COVID-19 pandemic may limit or prohibit the FDA from conducting required CMC inspections of certain facilities involved in the production of NexoBrid, resulting in a delay of regulatory approval;</w:t>
      </w:r>
    </w:p>
    <w:p>
      <w:pPr>
        <w:ind w:left="640" w:hanging="393"/>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undetected or concealed fraudulent activity by a clinical researcher, if discovered, could preclude the submission of clinical data prepared by that researcher, lead to the suspension or substantive scientific review of one or more of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marketing applications by regulatory agencies, and result in the recall of any approved product distributed pursuant to data determined to be fraudulent; and</w:t>
      </w:r>
    </w:p>
    <w:p>
      <w:pPr>
        <w:ind w:left="640" w:right="20" w:hanging="393"/>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audit of preclinical or clinical studies by regulatory authorities may reveal noncompliance with applicable protocols or regulations, which could lead to disqualification of the results and the need to perform additional studies.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significant delay or a failure to receive regulatory approval for NexoBrid in the U.S. may have a material adverse impact on our business.</w:t>
      </w:r>
    </w:p>
    <w:p>
      <w:pPr>
        <w:spacing w:after="0" w:line="25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NexoBrid’s approval in the U.S. for the treatment of severe burns may be further delayed, or it may not be approved for use in the U.S. and other North American markets at all.</w:t>
      </w:r>
    </w:p>
    <w:p>
      <w:pPr>
        <w:spacing w:after="0" w:line="201"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On September 16, 2020, we announced that the FDA had accepted for review MediWound’s BLA seeking marketing approval for NexoBrid in the U.S. for the treatment of severe burns, and had assigned a PDUFA target date for the product of June 29, 2021. The BLA submission is based in large part on data derived from a U.S. Phase 3 pivotal study. MediWound is conducting twelve and twenty-four month safety follow-ups for cosmesis, function, quality of life and other safety measurements. Data from MediWound’s twelve-month follow-up was submitted to FDA as part of the BLA submission. Data from the twenty-four month follow-up will be submitted to the agency as a safety update in connection with a BLA resubmission. While this and previous studies evaluating NexoBrid have met their primary endpoints, we cannot predict the outcome of the planned twenty-four month safety follow-ups or whether the FDA will approve the BLA based on the available preclinical and clinical data and the submitted manufacturing processes, and the cGMP data.</w:t>
      </w:r>
    </w:p>
    <w:p>
      <w:pPr>
        <w:spacing w:after="0" w:line="19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On June 29, 2021, we announced that MediWound received a complete response letter from the FDA regarding the BLA for NexoBrid. The FDA communicated to MediWound that it had completed its review of the BLA, as amended, and had determined that it cannot approve the BLA in its present form. </w:t>
      </w:r>
      <w:r>
        <w:rPr>
          <w:rFonts w:ascii="Arial" w:cs="Arial" w:eastAsia="Arial" w:hAnsi="Arial"/>
          <w:sz w:val="17"/>
          <w:szCs w:val="17"/>
          <w:color w:val="212529"/>
        </w:rPr>
        <w:t>The FDA identified issues related to the chemistry, manufacturing and controls, or CMC section of the BLA and had requested that MediWound</w:t>
      </w:r>
      <w:r>
        <w:rPr>
          <w:rFonts w:ascii="Arial" w:cs="Arial" w:eastAsia="Arial" w:hAnsi="Arial"/>
          <w:sz w:val="17"/>
          <w:szCs w:val="17"/>
          <w:color w:val="auto"/>
        </w:rPr>
        <w:t xml:space="preserve"> </w:t>
      </w:r>
      <w:r>
        <w:rPr>
          <w:rFonts w:ascii="Arial" w:cs="Arial" w:eastAsia="Arial" w:hAnsi="Arial"/>
          <w:sz w:val="17"/>
          <w:szCs w:val="17"/>
          <w:color w:val="212529"/>
        </w:rPr>
        <w:t>provide additional CMC information. The FDA stated that it had not reviewed several amendments submitted by MediWound in response to the CMC information requests related to the BLA.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complete response letter referenced observations that were made during GCP inspections related to the DETECT study and requested that MediWound address questions regarding the impact of the observations on the study’s efficacy findings. The FDA also requested that MediWound provide a safety update as part of a BLA resubmission.</w:t>
      </w:r>
    </w:p>
    <w:p>
      <w:pPr>
        <w:spacing w:after="0" w:line="212"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While we intend to work with MediWound and the FDA to address the issues identified in the complete response letter to seek the potential approval of NexoBrid, we cannot predict how long it will take for MediWound and/or us to respond to the communication. We also cannot predict whether the FDA will accept any such resubmission for review, and, if such resubmission is accepted for review, the length of time of any subsequent FDA review. We also cannot predict whether the FDA will ultimately approve the NexoBrid BLA. In addition, if approval to market NexoBrid is sought in Mexico or Canada, we cannot predict how long regulatory authorities in those countries will take to provide NexoBrid with marketing authorization in their jurisdictions or whether such authorizations will be granted at all. A significant delay or a failure to receive regulatory approval for NexoBrid in the U.S. may have a material adverse impact on our business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NexoBrid will be accepted in the market even if regulatory approval is received.</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success of NexoBrid, if and when approved, depends upon the acceptance of NexoBrid by patients, the medical community and third-party payers, effectively competing with other products, a continued acceptable safety profile following approval and qualifying for, maintaining, enforcing and defending related intellectual property rights and claims. Even if we and MediWound successfully obtain regulatory approvals to market NexoBrid, our revenues will be dependent, in part, upon the size of the markets for which we gain regulatory approval. If the markets that we are targeting are not as large as we estimate and/or if the acceptance and use of NexoBrid within those markets is not as significant as we estimate, we may not generate significant revenues from sales of such products, if approved.</w:t>
      </w:r>
    </w:p>
    <w:p>
      <w:pPr>
        <w:spacing w:after="0" w:line="21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Our licensor, MediWound, is dependent on a contract with the U.S. Biomedical Advanced Research and Development Authority to fund the Phase 3 clinical trial and other development activities of NexoBrid in the U.S. and these contracts may be terminated by BARDA at any time.</w:t>
      </w:r>
    </w:p>
    <w:p>
      <w:pPr>
        <w:spacing w:after="0" w:line="15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MediWound has a contract with BARDA valued at up to $132.0 million for the advancement of the development and manufacturing, as well as the procurement, of NexoBrid in the U.S. Under the contract, BARDA has agreed to fund up to $56.0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million of the development costs of NexoBrid required to obtain marketing approval in the U.S., including its ongoing pediatric Phase 3 study and its expansion to include U.S. pediatric burn care sites, and has an option to further fund $10.0 million in development activities for other potential NexoBrid indications. BARDA confirmed its previous commitment, began procuring NexoBrid in August and December of 2020 </w:t>
      </w:r>
      <w:r>
        <w:rPr>
          <w:rFonts w:ascii="Arial" w:cs="Arial" w:eastAsia="Arial" w:hAnsi="Arial"/>
          <w:sz w:val="16"/>
          <w:szCs w:val="16"/>
          <w:color w:val="212529"/>
        </w:rPr>
        <w:t>and confirmed additional deliveries</w:t>
      </w:r>
      <w:r>
        <w:rPr>
          <w:rFonts w:ascii="Arial" w:cs="Arial" w:eastAsia="Arial" w:hAnsi="Arial"/>
          <w:sz w:val="16"/>
          <w:szCs w:val="16"/>
          <w:color w:val="auto"/>
        </w:rPr>
        <w:t xml:space="preserve"> </w:t>
      </w:r>
      <w:r>
        <w:rPr>
          <w:rFonts w:ascii="Arial" w:cs="Arial" w:eastAsia="Arial" w:hAnsi="Arial"/>
          <w:sz w:val="16"/>
          <w:szCs w:val="16"/>
          <w:color w:val="212529"/>
        </w:rPr>
        <w:t xml:space="preserve">will occur over the subsequent five quarters </w:t>
      </w:r>
      <w:r>
        <w:rPr>
          <w:rFonts w:ascii="Arial" w:cs="Arial" w:eastAsia="Arial" w:hAnsi="Arial"/>
          <w:sz w:val="16"/>
          <w:szCs w:val="16"/>
          <w:color w:val="000000"/>
        </w:rPr>
        <w:t>for emergency stockpile, as part of the HHS mission to build national preparedness for public health medical</w:t>
      </w:r>
      <w:r>
        <w:rPr>
          <w:rFonts w:ascii="Arial" w:cs="Arial" w:eastAsia="Arial" w:hAnsi="Arial"/>
          <w:sz w:val="16"/>
          <w:szCs w:val="16"/>
          <w:color w:val="212529"/>
        </w:rPr>
        <w:t xml:space="preserve"> </w:t>
      </w:r>
      <w:r>
        <w:rPr>
          <w:rFonts w:ascii="Arial" w:cs="Arial" w:eastAsia="Arial" w:hAnsi="Arial"/>
          <w:sz w:val="16"/>
          <w:szCs w:val="16"/>
          <w:color w:val="000000"/>
        </w:rPr>
        <w:t xml:space="preserve">emergencies. </w:t>
      </w:r>
      <w:r>
        <w:rPr>
          <w:rFonts w:ascii="Arial" w:cs="Arial" w:eastAsia="Arial" w:hAnsi="Arial"/>
          <w:sz w:val="16"/>
          <w:szCs w:val="16"/>
          <w:color w:val="212529"/>
        </w:rPr>
        <w:t>The initial BARDA procurement is valued at $16.5 million. In addition, BARDA holds an option to procure additional quantities of NexoBrid</w:t>
      </w:r>
      <w:r>
        <w:rPr>
          <w:rFonts w:ascii="Arial" w:cs="Arial" w:eastAsia="Arial" w:hAnsi="Arial"/>
          <w:sz w:val="16"/>
          <w:szCs w:val="16"/>
          <w:color w:val="000000"/>
        </w:rPr>
        <w:t xml:space="preserve"> </w:t>
      </w:r>
      <w:r>
        <w:rPr>
          <w:rFonts w:ascii="Arial" w:cs="Arial" w:eastAsia="Arial" w:hAnsi="Arial"/>
          <w:sz w:val="16"/>
          <w:szCs w:val="16"/>
          <w:color w:val="212529"/>
        </w:rPr>
        <w:t xml:space="preserve">through funding of up to $50.0 million. </w:t>
      </w:r>
      <w:r>
        <w:rPr>
          <w:rFonts w:ascii="Arial" w:cs="Arial" w:eastAsia="Arial" w:hAnsi="Arial"/>
          <w:sz w:val="16"/>
          <w:szCs w:val="16"/>
          <w:color w:val="000000"/>
        </w:rPr>
        <w:t>BARDA recently awarded MediWound a new contract to develop NexoBrid for the treatment of Sulfur Mustard</w:t>
      </w:r>
      <w:r>
        <w:rPr>
          <w:rFonts w:ascii="Arial" w:cs="Arial" w:eastAsia="Arial" w:hAnsi="Arial"/>
          <w:sz w:val="16"/>
          <w:szCs w:val="16"/>
          <w:color w:val="212529"/>
        </w:rPr>
        <w:t xml:space="preserve"> </w:t>
      </w:r>
      <w:r>
        <w:rPr>
          <w:rFonts w:ascii="Arial" w:cs="Arial" w:eastAsia="Arial" w:hAnsi="Arial"/>
          <w:sz w:val="16"/>
          <w:szCs w:val="16"/>
          <w:color w:val="000000"/>
        </w:rPr>
        <w:t xml:space="preserve">injuries as part of BARDA’s preparedness for mass casualty events. The contract provides approximately $12 million of funding to support research and development activities up to pivotal studies in animals under the U.S. FDA Animal Efficacy Rule and contains options for additional funding of up to $31.0 million for additional development activities, animal pivotal studies, and the BLA submission for licensure of NexoBrid for the treatment of Sulfur Mustard injuries. MediWound also was recently awarded </w:t>
      </w:r>
      <w:r>
        <w:rPr>
          <w:rFonts w:ascii="Arial" w:cs="Arial" w:eastAsia="Arial" w:hAnsi="Arial"/>
          <w:sz w:val="16"/>
          <w:szCs w:val="16"/>
          <w:color w:val="212529"/>
        </w:rPr>
        <w:t>funding for the NexoBrid expanded access treatment (“NEXT”) protocol being conducted under the FDA’s</w:t>
      </w:r>
      <w:r>
        <w:rPr>
          <w:rFonts w:ascii="Arial" w:cs="Arial" w:eastAsia="Arial" w:hAnsi="Arial"/>
          <w:sz w:val="16"/>
          <w:szCs w:val="16"/>
          <w:color w:val="000000"/>
        </w:rPr>
        <w:t xml:space="preserve"> </w:t>
      </w:r>
      <w:r>
        <w:rPr>
          <w:rFonts w:ascii="Arial" w:cs="Arial" w:eastAsia="Arial" w:hAnsi="Arial"/>
          <w:sz w:val="16"/>
          <w:szCs w:val="16"/>
          <w:color w:val="212529"/>
        </w:rPr>
        <w:t xml:space="preserve">expanded access program. </w:t>
      </w:r>
      <w:r>
        <w:rPr>
          <w:rFonts w:ascii="Arial" w:cs="Arial" w:eastAsia="Arial" w:hAnsi="Arial"/>
          <w:sz w:val="16"/>
          <w:szCs w:val="16"/>
          <w:color w:val="000000"/>
        </w:rPr>
        <w:t>However, the contracts provide that BARDA may terminate the contract at any time, at its convenience, without any further</w:t>
      </w:r>
      <w:r>
        <w:rPr>
          <w:rFonts w:ascii="Arial" w:cs="Arial" w:eastAsia="Arial" w:hAnsi="Arial"/>
          <w:sz w:val="16"/>
          <w:szCs w:val="16"/>
          <w:color w:val="212529"/>
        </w:rPr>
        <w:t xml:space="preserve"> </w:t>
      </w:r>
      <w:r>
        <w:rPr>
          <w:rFonts w:ascii="Arial" w:cs="Arial" w:eastAsia="Arial" w:hAnsi="Arial"/>
          <w:sz w:val="16"/>
          <w:szCs w:val="16"/>
          <w:color w:val="000000"/>
        </w:rPr>
        <w:t>funding obligations. There can be no assurances that BARDA will not terminate the contract. Changes in government budgets and agendas may result in a decreased and de-prioritized emphasis on supporting the development of products for the treatment of severe burns such as NexoBrid. Any reduction or delay in BARDA funding may result in a decrease in planned development activities, including the development of NexoBrid for the treatment of Sulfur Mustard injuries and the NEXT study. In addition, the loss of funding may adversely affect MediWound’s ability to complete the required activities to comply with its obligations under the License Agreement. This could lead to a modification of the financial provisions of our agreement or a significant delay in the development of NexoBrid. Further, we cannot provide any assurances as to when or whether BARDA’s commitment for procurement of NexoBrid will occur or when or whether BARDA’s option to fund additional development activities for NexoBrid will be exercised.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and Production of Our Products</w:t>
      </w: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213"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We presently conduct all of our commercial manufacturing operations in the U.S., at one facility located in Cambridge, Massachusetts. As a result, all of the commercial manufacturing for the U.S. market of our marketed products, MACI and Epicel, takes place at a single U.S. facility. If regulatory, manufacturing or other problems require us to discontinue production at the Cambridge facility, we will not be able to supply our products to our patients, which would adversely impact our business. If this facility, or some or all of the equipment in it, is significantly damaged or destroyed by fire, flood, power loss, catastrophic incident, or similar event, we will not be able to quickly or inexpensively replace our manufacturing capacity, and we may not be able to replace our facility at all. In the event of a temporary or protracted loss of the facility or critical equipment, we might not be able to transfer manufacturing to a third-party. Even if we could transfer manufacturing from one facility to a third-party,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 In addition, we do not currently have a fully automated manufacturing process, which could potentially introduce contaminants to the production process or other problems due to human error.</w:t>
      </w:r>
    </w:p>
    <w:p>
      <w:pPr>
        <w:spacing w:after="0" w:line="19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While we do maintain insurance coverage against damage to our property and equipment, if we have underestimated our insurance needs, we will not have sufficient insurance to cover losses above and beyond the limits on our policies. Additionally, any supply interruption could harm our reputation and cause our product sales and profitability to suffer even after such supply interruption is corrected.</w:t>
      </w:r>
    </w:p>
    <w:p>
      <w:pPr>
        <w:spacing w:after="0" w:line="213"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57"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213" w:lineRule="exact"/>
        <w:rPr>
          <w:sz w:val="20"/>
          <w:szCs w:val="20"/>
          <w:color w:val="auto"/>
        </w:rPr>
      </w:pPr>
    </w:p>
    <w:p>
      <w:pPr>
        <w:jc w:val="both"/>
        <w:ind w:firstLine="240"/>
        <w:spacing w:after="0" w:line="214" w:lineRule="exact"/>
        <w:rPr>
          <w:sz w:val="20"/>
          <w:szCs w:val="20"/>
          <w:color w:val="auto"/>
        </w:rPr>
      </w:pPr>
      <w:r>
        <w:rPr>
          <w:rFonts w:ascii="Arial" w:cs="Arial" w:eastAsia="Arial" w:hAnsi="Arial"/>
          <w:sz w:val="16"/>
          <w:szCs w:val="16"/>
          <w:color w:val="auto"/>
        </w:rPr>
        <w:t>Many of our suppliers are sole or single source suppliers. We do not have long-term supply agreements with many of our third</w:t>
      </w:r>
      <w:r>
        <w:rPr>
          <w:rFonts w:ascii="MS PGothic" w:cs="MS PGothic" w:eastAsia="MS PGothic" w:hAnsi="MS PGothic"/>
          <w:sz w:val="16"/>
          <w:szCs w:val="16"/>
          <w:color w:val="auto"/>
        </w:rPr>
        <w:t>‑</w:t>
      </w:r>
      <w:r>
        <w:rPr>
          <w:rFonts w:ascii="Arial" w:cs="Arial" w:eastAsia="Arial" w:hAnsi="Arial"/>
          <w:sz w:val="16"/>
          <w:szCs w:val="16"/>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Should we need to find alternate manufacturers or suppliers, we will also need to verify, such as through a manufacturing comparability study, that any new manufacturing process will produce our product candidate according to the specifications previously submitted to the FDA or another regulatory authority. Any delay, interruption or cessation of production by our third-party suppliers of important materials, any delay in qualifying new materials, if necessary, or any delay associated with the transition to and verification of any new manufacturers or suppliers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235"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We may be unable to establish any agreements with third-party suppliers or to do so on acceptable terms. Even if we are able to establish agreements with third-party suppliers, reliance on third-party suppliers entails additional risks, including the possible breach of the supply agreement by the third-party, and the possible termination or nonrenewal of the agreement by the third-party at a time that is costly or inconvenient for us.</w:t>
      </w:r>
    </w:p>
    <w:p>
      <w:pPr>
        <w:spacing w:after="0" w:line="19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20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Third-party manufacturers, such as Matricel, are subject to inspection by the FDA for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188"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86"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Complying with cGMP,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Should the FDA determine that an inspection is necessary for approval and an inspection cannot be completed during the review cycle due to COVID-19 pandemic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Throughout the pandemic,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Failure to address any FDA inspection observations in a timely manner, pass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201"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composition of the cell population varies from patient-to-patient,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194"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Difficulty in characterizing biological materials or their interactions creates greater risk in the manufacturing process. We attempt to mitigate risks associated with the manufacture of biologics by continuing to improve the characterization of all of our input materials, utilizing multiple vendors for supply of qualified biological materials when possible, and manufacturing some of these materials ourselves. However, there can be no assurance that we will be able to maintain adequate sources of biological materials or that the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20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and/or maintain the quality, price and production standards or production volumes necessary to achieve our growth and profitability objectives as projected, or at all. Additionally, since the beginning of the COVID-19 pandemic, three vaccines for COVID-19 have received Emergency Use Authorization by the FDA and two of those later received marketing approval. Additional vaccines may be authorized or approved in the future. The recent demand for vaccines designed to protect against COVID-19 infection and the potential for manufacturing facilities and materials to be commandeered under the Defense Production Act of 1950, or equivalent foreign legislation, may make it more difficult to obtain materials or manufacturing supplies for the products needed for our preclinical studies or clinical trials or for our commercial products, which could lead to delays in studies, trials, or our commercial supply.</w:t>
      </w:r>
    </w:p>
    <w:p>
      <w:pPr>
        <w:spacing w:after="0" w:line="19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If any of our manufacturers or suppliers fails to perform its respective obligations, or if our supply of certain components, equipment, disposable devices and other materials is limited or interrupted, ultimately we may be forced to manufacture the materials ourselves, for which we may not have the experience, capabilities or resources. In some cases, the technical skills required to manufacture our products or product candidates may be unique or proprietary to the original manufacturer or supplier, and we may have difficulty, or there may be contractual restrictions prohibiting us from, transferring such skills to a back-up or alternate supplier, or we may be unable to transfer such skills at all.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Regulation by the FDA and other Government Entities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required regulatory approvals would severely limit our ability to sell our products.</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We must maintain our domestic regulatory approvals to continue to commercialize our products in the U.S. We must demonstrate the safety, purity and potency, or efficacy, of cell therapy products to obtain FDA regulatory approval prior to marketing in the U.S. Demonstration of safety and efficacy requires the conduct of nonclinical studies and well-controlled clinical trials in compliance with FDA, International Conference of Harmonization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2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To date, our product commercialization efforts have been limited to the U.S. In the event we market any products outside of the U.S. in the future, we will be required to maintain our foreign regulatory approvals in compliance with regulatory requirements and applicable local regulations to allow for commercialization outside the U.S. Regulatory requirements outside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U.S. often require additional studies and data to obtain registration and, as a result, approval timelines can also be longer than those in the U.S.</w:t>
      </w:r>
    </w:p>
    <w:p>
      <w:pPr>
        <w:spacing w:after="0" w:line="25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safety, potency and purity of our products must be monitored to be in compliance with FDA requirements for safety, cGMP,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Any changes in the regulatory requirements that affect our products and/or future product candidates could prevent, limit or delay our ability to market or develop new product candidates.</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FDA regulations establish the regulatory requirements for drugs, devices and biological products. Our cell therapy products are regulated as devices or biologics under current regulations. Biologics require BLA approval in the U.S. prior to being marketed. The regulations and guidance that govern the approval of biological products for marketing in the U.S. are subject to review and change by the FDA, and such potential changes could have an adverse impact on our ability to continue to market our products and bring new products to the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4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See section entitled “</w:t>
      </w:r>
      <w:r>
        <w:rPr>
          <w:rFonts w:ascii="Arial" w:cs="Arial" w:eastAsia="Arial" w:hAnsi="Arial"/>
          <w:sz w:val="17"/>
          <w:szCs w:val="17"/>
          <w:i w:val="1"/>
          <w:iCs w:val="1"/>
          <w:color w:val="auto"/>
        </w:rPr>
        <w:t>Business -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 Pharmaceutical Coverage and Reimbursement</w:t>
      </w:r>
      <w:r>
        <w:rPr>
          <w:rFonts w:ascii="Arial" w:cs="Arial" w:eastAsia="Arial" w:hAnsi="Arial"/>
          <w:sz w:val="17"/>
          <w:szCs w:val="17"/>
          <w:color w:val="auto"/>
        </w:rPr>
        <w:t>”.</w:t>
      </w:r>
    </w:p>
    <w:p>
      <w:pPr>
        <w:spacing w:after="0" w:line="207"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Many private payers in the U.S.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Additionally, payers may require us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As a result, we cannot be certain that the procedures performed with our products will be reimbursed at a cost-effective level or reimbursed at all. Furthermore, the healthcare industry in the U.S.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w:t>
      </w:r>
    </w:p>
    <w:p>
      <w:pPr>
        <w:spacing w:after="0" w:line="195"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Adequate third-party reimbursement might not be available to enable us to maintain price levels sufficient to realize an appropriate return on investment in our products and future product development. If coverage or adequate reimbursement is not available, or if our costs of production increase faster than increases in reimbursement levels, we may not be able to successfully grow the sales of our products or commercialize any current and future product candidates for which marketing approval is obtained. If reimbursement is not available or is available only at limited levels, we may not be able to successfully commercialize any product or product candidate for which we obtain marketing approval.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 If we are not able to comply with such regulation, our business may be materially harmed.</w:t>
      </w:r>
    </w:p>
    <w:p>
      <w:pPr>
        <w:spacing w:after="0" w:line="20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All of those involved in the preparation of a cellular therapy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third-party contractors and suppliers are subject to pre-approval and routine FDA inspections for compliance with the applicable regulations as a condition of FDA approval of our products.</w:t>
      </w:r>
    </w:p>
    <w:p>
      <w:pPr>
        <w:spacing w:after="0" w:line="219"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201"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third-party waste disposal sites where we have sent waste.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at a third-party site may require us to make additional expenditures, which could be material.</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 order to obtain marketing authorization of any of our current or future therapy product candidates in the U.S., the FDA requires us to submit a BLA or marketing application, which is subject to the agency’s detailed review and the denial of such applications could negatively impact our prospects, financial condition and future results.</w:t>
      </w:r>
    </w:p>
    <w:p>
      <w:pPr>
        <w:spacing w:after="0" w:line="21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Cell therapy and other products require FDA review under an appropriate marketing application prior to commercialization. Future cell and other biologic therapy candidates would be subject to FDA’s biological product requirements and would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207"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201"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7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general, the development, testing, labeling, manufacturing and marketing of our products are subject to extensive regulation and review by numerous governmental authorities both in the U.S.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disease or condition that affects not more than 8,000 individuals in the U.S. per year. Once a HUD receives a HDE from the FDA, 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 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9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If the HDE for Epicel is suspended or revoked, marketing approval for the product would require the submission and approval of a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217"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We are also required to implement and maintain stringent reporting, labeling and record keeping procedures for our products, both in the U.S., and abroad. Specifically, in the U.S., both before and after a product is commercially released, we have ongoing responsibilities under FDA regulations. Compliance with the FDA’s requirements, including the FDA’s cGMP recordkeeping regulations, labeling and promotional requirements, adverse event reporting regulations and applicable product tracking and tracing requirements,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termination of distribution, product seizures or civil penalties. In the most extreme cases, criminal sanctions or the closure of our manufacturing facility are possible.</w:t>
      </w:r>
    </w:p>
    <w:p>
      <w:pPr>
        <w:spacing w:after="0" w:line="19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204"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FFDCA and/or similar state laws. Governmental and regulatory actions against us could result in various consequences that could adversely impact our operations, including:</w:t>
      </w:r>
    </w:p>
    <w:p>
      <w:pPr>
        <w:spacing w:after="0" w:line="194" w:lineRule="exact"/>
        <w:rPr>
          <w:sz w:val="20"/>
          <w:szCs w:val="20"/>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6" w:lineRule="exact"/>
        <w:rPr>
          <w:rFonts w:ascii="Arial" w:cs="Arial" w:eastAsia="Arial" w:hAnsi="Arial"/>
          <w:sz w:val="18"/>
          <w:szCs w:val="18"/>
          <w:color w:val="auto"/>
        </w:rPr>
      </w:pPr>
    </w:p>
    <w:p>
      <w:pPr>
        <w:ind w:left="640" w:hanging="393"/>
        <w:spacing w:after="0" w:line="262"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exclusion or the exclusion of our products from being reimbursed by federal and state healthcare programs (such as military, Medicare, Medicaid, Veterans Administration health programs and/or Civilian Health and Medical Program Uniformed Service, or CHAMPUS); and</w:t>
      </w:r>
    </w:p>
    <w:p>
      <w:pPr>
        <w:ind w:left="640" w:hanging="39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civil or criminal prosecution or sanctions against us or our officers, directors and employees, such as fines, penalties or imprisonment.</w:t>
      </w:r>
    </w:p>
    <w:p>
      <w:pPr>
        <w:spacing w:after="0" w:line="245"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20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In the U.S.,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 healthcare professionals and others that the products present unreasonable risks of substantial harm to the public health. The FDA may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also impose operating restrictions on a companywide basis, enjoin and restrain certain violations of applicable law pertaining to our products and assess civil or criminal penalties against our officers, employees or us. The FDA may also recommend further investigation and prosecution to the U.S. Department of Justice (“DOJ”). Adverse regulatory action, depending on its magnitude, may restrict us from effectively marketing and selling our products.</w:t>
      </w:r>
    </w:p>
    <w:p>
      <w:pPr>
        <w:spacing w:after="0" w:line="17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imposed by the FDA. In addition, in many countries the national health or social security organizations of those nations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20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NexoBrid has been designated as an orphan drug in the U.S., but we may be unable to obtain or maintain such a designation or the benefits associated with orphan drug status, including marketing exclusivity, which may cause our revenue to be reduced.</w:t>
      </w:r>
    </w:p>
    <w:p>
      <w:pPr>
        <w:spacing w:after="0" w:line="201"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02"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Such a designation may be revoked by the FDA in certain circumstances, such as if the agency finds that the applicant’s request for designation request omitted material information required under the Orphan Drug Act and its implementing regulations. Furthermore, the FDA can waive orphan exclusivity if the applicant is unable to manufacture sufficient supply of the product subject to a period of orphan drug marketing exclusivity.</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Changes to our products or future product candidates may require regulatory approvals and a denial of such required approval will negatively impact our prospects, financial condition and future results.</w:t>
      </w:r>
    </w:p>
    <w:p>
      <w:pPr>
        <w:spacing w:after="0" w:line="201"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Changes or modifications in the manufacturing process of any of our products may require the submission of supplements to our BLAs, HDE application, and 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 conduct of new studies and the purchase of new equipment to justify the change. This can be costly and time consuming. Regulatory delays can adversely impact our ability to improve our products and to introduce new products in a timely manner, which can be detrimental to our future growth.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201"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22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or the withdrawal of the product from the market.</w:t>
      </w:r>
    </w:p>
    <w:p>
      <w:pPr>
        <w:spacing w:after="0" w:line="2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213" w:lineRule="exact"/>
        <w:rPr>
          <w:sz w:val="20"/>
          <w:szCs w:val="20"/>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Client notifications for repair, replacement, or refund of a product;</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Denial, refusal or delay of our requests for approval of new products or proposed changes to existing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Implementation of operating restrictions;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product approvals that have already been granted;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3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If any of these actions were to occur it would harm our reputation and cause our product sales and profitability to suffer, preventing us from generating revenue. Furthermore, our key suppliers or partners may have compliance issues, which could impact our ability to manufacture our products on a timely basis and in the required quantities.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w:t>
      </w:r>
    </w:p>
    <w:p>
      <w:pPr>
        <w:spacing w:after="0" w:line="217"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Disruptions at the FDA and other agencies may also slow the time necessary for product candidates to be reviewed and/or approved by necessary government agencies, which would adversely affect our business. For example, several times in recent years, including most recently from December 22, 2018 to January 25, 2019, the U.S. government has shut down. As a result, certain regulatory agencies, including the FDA, have had to furlough essential employees and stop critical activities in the past. Additionally, 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facility inspection or an inspection of clinical sites is required and due to the COVID-19 pandemic and travel restrictions, the FDA is unable to complete such required inspections during the review period. Throughout the pandemic, several companies announced receipt of complete response letters due to the FDA’s inability to complete required inspections for their applications. If a prolonged government shutdown occurs in the future, it could significantly impact the ability of the FDA to timely review and process our regulatory submissions, which could have a material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the FDA determines that we have marketed or promoted our products for one or more off-label uses, we may be subject to civil or criminal penalties.</w:t>
      </w:r>
    </w:p>
    <w:p>
      <w:pPr>
        <w:spacing w:after="0" w:line="29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Although federal law and the FDA do not restrict practicing healthcare professionals from, in the practice of medicine, prescribing and using our products to treat patients with conditions that the physician believes our products are clinically appropriate for, under the FFDCA and other laws, we are prohibited from promoting our products for uses that are inconsistent with the uses that have been approved by the FDA - also known as “off-label” uses. This means, for example, that we may not make claims about the use of any of our marketed products, including MACI or Epicel, which are outside of their approved labeling and indications. Consequently, our sales representatives may not proactively discuss or provide information to healthcare professionals on such off-label uses. Should the FDA determine that our activities constitute off-label promotion, the FDA could bring an action to prevent us from distributing MACI or Epicel for the off-label use and could impose fines and penalties on us and our executives.</w:t>
      </w:r>
    </w:p>
    <w:p>
      <w:pPr>
        <w:spacing w:after="0" w:line="20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In addition,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CBER of the FDA.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and/or criminal prosecutions.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the Office of Inspector General within the Department of Health and Human Services, the DOJ, or another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21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 products for off-label uses and indications, a company is prohibited from promoting an approved product for uses not consistent with its approved label. In addition, anti-kickback laws generally prohibit a prescription drug manufacturer from soliciting, offering, receiving or paying any remuneration in order to induce a healthcare professional or another individual or entity to purchase or prescribe 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particular drug, biologic or medical device. If other federal or state regulatory authorities determine that we have engaged in off-label promotion and/or engaged in conduct violative of ant-kickback laws, we may be subject to civil or criminal penalties and could be prohibited from participating in government healthcare programs, such as Medicaid and Medicare. In addition, government agencies or departments could conclude that we have engaged in off-label promotion or violations of anti-kickback laws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 use of our products may increase the risk of injury to patients, and, in turn, the risk of product liability claims being pursued against us. Product liability claims are expensive to defend and could divert our management’s attention and result in substantial damage awards against us.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201"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In the U.S., there have been a number of legislative and regulatory changes to the healthcare system that could affect our future results of operations and the future results of operations of our potential customers. See section entitled “</w:t>
      </w:r>
      <w:r>
        <w:rPr>
          <w:rFonts w:ascii="Arial" w:cs="Arial" w:eastAsia="Arial" w:hAnsi="Arial"/>
          <w:sz w:val="16"/>
          <w:szCs w:val="16"/>
          <w:i w:val="1"/>
          <w:iCs w:val="1"/>
          <w:color w:val="auto"/>
        </w:rPr>
        <w:t>Business — Government Regulation — Healthcare Reform</w:t>
      </w:r>
      <w:r>
        <w:rPr>
          <w:rFonts w:ascii="Arial" w:cs="Arial" w:eastAsia="Arial" w:hAnsi="Arial"/>
          <w:sz w:val="16"/>
          <w:szCs w:val="16"/>
          <w:color w:val="auto"/>
        </w:rPr>
        <w:t>”.</w:t>
      </w:r>
    </w:p>
    <w:p>
      <w:pPr>
        <w:spacing w:after="0" w:line="15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laws, and other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the ACA are likely to continue, with unpredictable and uncertain results.</w:t>
      </w:r>
    </w:p>
    <w:p>
      <w:pPr>
        <w:spacing w:after="0" w:line="214"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While we cannot predict what impact on federal reimbursement policies this law or any replacement law will have in general or specifically on any product we may commercialize in the future, modifications to the Affordable Care Act or any replacement thereof may result in downward pressure on reimbursement, which could negatively affect market acceptance of new products. Any rebates, discounts, taxes costs or regulatory or systematic changes on healthcare resulting from the Affordable Care Act or its replacement may have a significant effect on our profitability in the future. We cannot predict whether the Affordable Care Act will continue or what other laws or proposals will be made or adopted, or what impact these efforts may have on us.</w:t>
      </w:r>
    </w:p>
    <w:p>
      <w:pPr>
        <w:spacing w:after="0" w:line="188"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21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For example, on July 9, 2021, President Biden issued an executive order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While we cannot predict the full outcome of any such government action or legislation, it may harm our ability to market our products and generate revenues.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Our relationships with healthcare providers, physicians, prescribers, purchasers, third-party payors, charitable organizations and patients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Healthcare providers, physicians and third-party payors in the U.S. and elsewhere play a primary role in the recommendation and prescription of biotechnology and biopharmaceutical products. Arrangements with third-party payors and customers can expose biotechnology and biopharmaceutical manufacturers to broadly applicable fraud and abuse and other healthcare laws and regulations, including, without limitation, the federal Anti-Kickback Statute, or AKS, and the federal False Claims Act, or FCA, which may constrain the business or financial arrangements and relationships through which such companies sell, market and distribute biotechnology and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See the section entitled, “</w:t>
      </w:r>
      <w:r>
        <w:rPr>
          <w:rFonts w:ascii="Arial" w:cs="Arial" w:eastAsia="Arial" w:hAnsi="Arial"/>
          <w:sz w:val="17"/>
          <w:szCs w:val="17"/>
          <w:i w:val="1"/>
          <w:iCs w:val="1"/>
          <w:color w:val="auto"/>
        </w:rPr>
        <w:t>Business — Government Regulation — Other Healthcare Laws</w:t>
      </w:r>
      <w:r>
        <w:rPr>
          <w:rFonts w:ascii="Arial" w:cs="Arial" w:eastAsia="Arial" w:hAnsi="Arial"/>
          <w:sz w:val="17"/>
          <w:szCs w:val="17"/>
          <w:color w:val="auto"/>
        </w:rPr>
        <w:t>”.</w:t>
      </w:r>
    </w:p>
    <w:p>
      <w:pPr>
        <w:spacing w:after="0" w:line="208"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The distribution of biotechnology and biopharmaceutical products is subject to additional requirements and regulations, including extensive record-keeping, licensing, storage and security requirements intended to prevent the unauthorized sale of biotechnology and biopharmaceutical products.</w:t>
      </w:r>
    </w:p>
    <w:p>
      <w:pPr>
        <w:spacing w:after="0" w:line="17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14"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2"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5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Furthermore, any adverse events in our clinical trials could negatively impact our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 If we cannot remain competitive in light of such developments, our business may suffer.</w:t>
      </w:r>
    </w:p>
    <w:p>
      <w:pPr>
        <w:spacing w:after="0" w:line="2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Recognizing the importance of the cell therapy field, Congress included several provisions related to regenerative medicine in the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17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201" w:lineRule="exact"/>
        <w:rPr>
          <w:sz w:val="20"/>
          <w:szCs w:val="20"/>
          <w:color w:val="auto"/>
        </w:rPr>
      </w:pPr>
    </w:p>
    <w:p>
      <w:pPr>
        <w:jc w:val="both"/>
        <w:ind w:firstLine="240"/>
        <w:spacing w:after="0" w:line="216" w:lineRule="exact"/>
        <w:rPr>
          <w:sz w:val="20"/>
          <w:szCs w:val="20"/>
          <w:color w:val="auto"/>
        </w:rPr>
      </w:pPr>
      <w:r>
        <w:rPr>
          <w:rFonts w:ascii="Arial" w:cs="Arial" w:eastAsia="Arial" w:hAnsi="Arial"/>
          <w:sz w:val="17"/>
          <w:szCs w:val="17"/>
          <w:color w:val="auto"/>
        </w:rPr>
        <w:t>We are a party to intellectual property license agreements with third parties, including our license agreement with MediWound Ltd. for NexoBrid, and we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may not be able to develop and market any product that is covered by these agreements. Termination of these licenses or a reduction or elimination of our licensed rights may result in our having to negotiate new or reinstated licenses with less favorable terms. In addition, if these in</w:t>
      </w:r>
      <w:r>
        <w:rPr>
          <w:rFonts w:ascii="MS PGothic" w:cs="MS PGothic" w:eastAsia="MS PGothic" w:hAnsi="MS PGothic"/>
          <w:sz w:val="17"/>
          <w:szCs w:val="17"/>
          <w:color w:val="auto"/>
        </w:rPr>
        <w:t>‑</w:t>
      </w:r>
      <w:r>
        <w:rPr>
          <w:rFonts w:ascii="Arial" w:cs="Arial" w:eastAsia="Arial" w:hAnsi="Arial"/>
          <w:sz w:val="17"/>
          <w:szCs w:val="17"/>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related to our products, our competitive position would be impaired and our business, financial condition and results of operations could be adversely affected.</w:t>
      </w:r>
    </w:p>
    <w:p>
      <w:pPr>
        <w:spacing w:after="0" w:line="201"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Some of our technology, including our knowledge regarding the processing of our products,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94"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 which could adversely impact Epicel’s competitive position.</w:t>
      </w:r>
    </w:p>
    <w:p>
      <w:pPr>
        <w:spacing w:after="0" w:line="247" w:lineRule="exact"/>
        <w:rPr>
          <w:sz w:val="20"/>
          <w:szCs w:val="20"/>
          <w:color w:val="auto"/>
        </w:rPr>
      </w:pPr>
    </w:p>
    <w:p>
      <w:pPr>
        <w:jc w:val="both"/>
        <w:ind w:right="20" w:firstLine="240"/>
        <w:spacing w:after="0" w:line="258" w:lineRule="auto"/>
        <w:rPr>
          <w:sz w:val="20"/>
          <w:szCs w:val="20"/>
          <w:color w:val="auto"/>
        </w:rPr>
      </w:pPr>
      <w:r>
        <w:rPr>
          <w:rFonts w:ascii="Arial" w:cs="Arial" w:eastAsia="Arial" w:hAnsi="Arial"/>
          <w:sz w:val="18"/>
          <w:szCs w:val="18"/>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third-party reimbursement for Epicel, any of which would materially affect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issued patents relating to MACI have already expired and others may be insufficient to protect our business.</w:t>
      </w:r>
    </w:p>
    <w:p>
      <w:pPr>
        <w:spacing w:after="0" w:line="24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We have issued patents in the U.S.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include granted patents inside and outside the U.S., and pending applications inside and outside the U.S.; these granted patents and pending applications, if granted, are expected to expire, absent any extensions, between late-2022 and late-2038.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192"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patents will be issued from any of our pending patent applications or that the scope of the claims in our pending patent applications will not be significantly narrowed.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4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lead to patents,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third-party will not claim ownership in one of our patents or patent applications. We cannot assure you that a third-party does not have or will not obtain patents that dominate the patents we own or license now or in the future.</w:t>
      </w:r>
    </w:p>
    <w:p>
      <w:pPr>
        <w:spacing w:after="0" w:line="194" w:lineRule="exact"/>
        <w:rPr>
          <w:sz w:val="20"/>
          <w:szCs w:val="20"/>
          <w:color w:val="auto"/>
        </w:rPr>
      </w:pPr>
    </w:p>
    <w:p>
      <w:pPr>
        <w:jc w:val="both"/>
        <w:ind w:right="20" w:firstLine="240"/>
        <w:spacing w:after="0" w:line="258"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 From time to time, the Supreme Court, other federal courts, the U.S. Congress or the U.S. Patent and Trademark Office (“USPTO”) may change the standards of patentability and any such changes could have a negative impact on our business.</w:t>
      </w:r>
    </w:p>
    <w:p>
      <w:pPr>
        <w:spacing w:after="0" w:line="213"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5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There can be no assurance that future decisions of the Supreme Court or other federal courts will not have a negative impact on biotechnology patents generally or the ability of biotechnology companies to obtain or enforce their patents in the future. Such negative decisions by the Supreme Court or other federal courts could have a material adverse effect on our existing patent portfolio and our ability to protect and enforce our intellectual property in the future.</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2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217"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7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U.S. and in other countries. If we are unsuccessful in obtaining and enforcing patents, our competitors could use our technology and create products that compete with our products, without paying license fees or royalties to us.</w:t>
      </w:r>
    </w:p>
    <w:p>
      <w:pPr>
        <w:spacing w:after="0" w:line="2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or MACI, which could result in a loss of brand recognition and adversely affect our business.</w:t>
      </w:r>
    </w:p>
    <w:p>
      <w:pPr>
        <w:spacing w:after="0" w:line="20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7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20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attorneys’ fees, and force us to pay significant license fees and royalties or cease the development and sale of our products and processes.</w:t>
      </w:r>
    </w:p>
    <w:p>
      <w:pPr>
        <w:spacing w:after="0" w:line="2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have hired and expect to continue to hire individuals who have experience in cell culture and cell-based therapeutics and may have confidential trade secret or proprietary information of third parties. We caution these individuals not to use or reveal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20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92"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6"/>
          <w:szCs w:val="16"/>
          <w:color w:val="auto"/>
        </w:rPr>
        <w:t>.</w:t>
      </w:r>
    </w:p>
    <w:p>
      <w:pPr>
        <w:spacing w:after="0" w:line="270"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86" w:lineRule="exact"/>
        <w:rPr>
          <w:sz w:val="20"/>
          <w:szCs w:val="20"/>
          <w:color w:val="auto"/>
        </w:rPr>
      </w:pPr>
    </w:p>
    <w:p>
      <w:pPr>
        <w:jc w:val="both"/>
        <w:ind w:firstLine="40"/>
        <w:spacing w:after="0" w:line="270"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 If we are not able to protect our intellectual property rights, our business may be adversely affected.</w:t>
      </w:r>
    </w:p>
    <w:p>
      <w:pPr>
        <w:spacing w:after="0" w:line="20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1" w:lineRule="exact"/>
        <w:rPr>
          <w:sz w:val="20"/>
          <w:szCs w:val="20"/>
          <w:color w:val="auto"/>
        </w:rPr>
      </w:pPr>
    </w:p>
    <w:p>
      <w:pPr>
        <w:ind w:left="640" w:hanging="393"/>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ind w:left="640" w:hanging="393"/>
        <w:spacing w:after="0" w:line="24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640" w:hanging="39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40" w:hanging="39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ind w:left="640" w:hanging="393"/>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we do not have patent rights and then use the information learned from such activities to develop competitive products for sale in our major commercial markets;</w:t>
      </w:r>
    </w:p>
    <w:p>
      <w:pPr>
        <w:ind w:left="640" w:hanging="39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price has been volatile and future sales of shares of common stock could have an adverse effect on the market price of such shares.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market price of shares of our common stock has been volatile, ranging in closing price between $30.93 and $67.81 during January 4, 2021 through</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January 31, 2022. The price of our common stock may continue to fluctuate in response to a number of events and factors, such as:</w:t>
      </w:r>
    </w:p>
    <w:p>
      <w:pPr>
        <w:spacing w:after="0" w:line="234" w:lineRule="exact"/>
        <w:rPr>
          <w:sz w:val="20"/>
          <w:szCs w:val="20"/>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6" w:lineRule="exact"/>
        <w:rPr>
          <w:rFonts w:ascii="Arial" w:cs="Arial" w:eastAsia="Arial" w:hAnsi="Arial"/>
          <w:sz w:val="18"/>
          <w:szCs w:val="18"/>
          <w:color w:val="auto"/>
        </w:rPr>
      </w:pPr>
    </w:p>
    <w:p>
      <w:pPr>
        <w:ind w:left="640" w:hanging="393"/>
        <w:spacing w:after="0" w:line="24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related to decisions by regulatory authorities regarding our products or product candidates or other regulatory developments or guidance in both the U.S. and abroad;</w:t>
      </w: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changes in reimbursement practices;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or other variations in patient demand for MACI and Epicel;</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Demand for and clinical acceptance of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sales of products and of the introduction of new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threatened litigation or governmental investigations or other major developments in such matters;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Status and condition of the investment markets;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or private sales of additional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Cybersecurity incidents that materially affect our products, services, relationships or competitive conditions;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operations, prospects and financial condition;</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management or the Board of Directors;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Concerns related to management transitions.</w:t>
      </w:r>
    </w:p>
    <w:p>
      <w:pPr>
        <w:spacing w:after="0" w:line="23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our common stock through future equity offerings may cause dilution and could cause the price of our common stock to decline.</w:t>
      </w:r>
    </w:p>
    <w:p>
      <w:pPr>
        <w:spacing w:after="0" w:line="270" w:lineRule="exact"/>
        <w:rPr>
          <w:sz w:val="20"/>
          <w:szCs w:val="20"/>
          <w:color w:val="auto"/>
        </w:rPr>
      </w:pPr>
    </w:p>
    <w:p>
      <w:pPr>
        <w:jc w:val="both"/>
        <w:ind w:right="40" w:firstLine="240"/>
        <w:spacing w:after="0" w:line="258"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213"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On August 27, 2021, we entered into a Sales Agreement with SVB Leerink LLC, as sales agent (“SVB Leerink”), pursuant to which we may offer and sell up to $200.0 million of shares of our common stock, no par value per share (“ATM Shares”).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ATM Shares to be offered and sold under the Sales Agreement will be issued and sold pursuant to an automatically effective shelf registration statement on Form S-3ASR (File No. 333-259119) filed by the Company on August 27, 2021, which expires within three years from the filing date. We also filed a prospectus supplement relating to the offering and sale of the ATM Shares on August 27, 2021. Vericel is not obligated to make any sales of ATM Shares, and SVB Leerink is not required to sell any specific number or dollar amount of the ATM Shares under the Sales Agreement. We capitalize certain legal, professional accounting and other third-party fees that are directly associated with in-process stock financings as deferred offering costs until such financings are consummated. As of the date of issuance of these financial statements, Vericel has sold no shares pursuant to the Sales Agreement.</w:t>
      </w:r>
    </w:p>
    <w:p>
      <w:pPr>
        <w:spacing w:after="0" w:line="192"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do not anticipate paying dividends on our common stock, and accordingly, shareholders must rely on stock appreciation for any return on their investment.</w:t>
      </w:r>
    </w:p>
    <w:p>
      <w:pPr>
        <w:spacing w:after="0" w:line="20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The success of your investment will likely depend entirely upon any future appreciation of the market price of our common stock, which is uncertain and unpredictable. There is no guarantee that our common stock will appreciate in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use of our products and future product candidates may expose us to product liability claims, and we may not be able to obtain adequate insurance.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such claims could affect our earnings and financial condition.</w:t>
      </w:r>
    </w:p>
    <w:p>
      <w:pPr>
        <w:spacing w:after="0" w:line="23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We face an inherent business risk of exposure to product liability claims in the event that the manufacture and/or use of our products during clinical trials, or after commercialization, result in adverse events. Moreover, we derive the raw materials for our products from patients serving as their own donors, the production process is complex, and the handling requirements are specific. All of these factors increase the likelihood of quality failures and subsequent product liability claims. Although we are not currently subject to any product liability proceedings and we have no reserves for product liability disbursements, we may incur material liabilities relating to product liability claims in the future, including product liability claims arising out of the usage of our products. Additionally,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08" w:lineRule="exact"/>
        <w:rPr>
          <w:sz w:val="20"/>
          <w:szCs w:val="20"/>
          <w:color w:val="auto"/>
        </w:rPr>
      </w:pPr>
    </w:p>
    <w:p>
      <w:pPr>
        <w:ind w:left="640" w:hanging="39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these consequences could have a material adverse effect on our business, financial condition and results of operations.</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not be able to raise the required capital to develop and commercialize our future product candidates and otherwise grow and expand our business.</w:t>
      </w:r>
    </w:p>
    <w:p>
      <w:pPr>
        <w:spacing w:after="0" w:line="20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Notwithstanding the net proceeds we received from previous public offerings, we may require substantial additional capital resources for strategic opportunities.</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future cell therapy product candidates for additional indications or in additional markets.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improvements and expansions, if and as required;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Complementary business acquisitions or development opportunities.</w:t>
      </w:r>
    </w:p>
    <w:p>
      <w:pPr>
        <w:spacing w:after="0" w:line="23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214" w:lineRule="exact"/>
        <w:rPr>
          <w:sz w:val="20"/>
          <w:szCs w:val="20"/>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further commercialize our products;</w:t>
      </w:r>
    </w:p>
    <w:p>
      <w:pPr>
        <w:spacing w:after="0" w:line="19"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developmental programs;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requirements necessary for marketing authorization from regulatory bodies in the U.S. and other countries;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4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our key manufacturing, quality and other management personnel and the loss of any of these individuals could harm our business.</w:t>
      </w:r>
    </w:p>
    <w:p>
      <w:pPr>
        <w:spacing w:after="0" w:line="293"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For example, multiple companies with operations in Massachusetts have developed or are continuing to develop vaccines and/or treatments for COVID-19. In some instances, these companies are undertaking large-scale manufacturing operations in order to potentially supply their products throughout the U.S. and internationally. In many instances, these companies have advertised hundreds of open manufacturing positions to support these scale-ups. Although, to date, we have not experienced a significant number of departures among our manufacturing staff, we cannot be sure such departures will not occur in the future.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40"/>
        <w:spacing w:after="0" w:line="333" w:lineRule="auto"/>
        <w:rPr>
          <w:sz w:val="20"/>
          <w:szCs w:val="20"/>
          <w:color w:val="auto"/>
        </w:rPr>
      </w:pPr>
      <w:r>
        <w:rPr>
          <w:rFonts w:ascii="Arial" w:cs="Arial" w:eastAsia="Arial" w:hAnsi="Arial"/>
          <w:sz w:val="16"/>
          <w:szCs w:val="16"/>
          <w:b w:val="1"/>
          <w:bCs w:val="1"/>
          <w:i w:val="1"/>
          <w:iCs w:val="1"/>
          <w:color w:val="auto"/>
        </w:rPr>
        <w:t>Efforts to comply with securities laws and regulations require management resources, and we still may fail to comply. If we are not able to comply with such laws and regulations, there may be a material adverse impact on our business, financial conditions and results of operations.</w:t>
      </w:r>
    </w:p>
    <w:p>
      <w:pPr>
        <w:spacing w:after="0" w:line="15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consolidated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consolidated financial statements, which could result in a decrease in the value of our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4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Our Board of Directors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third-party to acquire, or of discouraging a third-party from attempting to acquire, control of our company. This effect could occur even if our shareholders consider the change in control to be in their best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legislation and regulations could negatively impact our earnings.</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We are subject to income taxes in the U.S. In particular, although the passage of the Tax Cuts and Jobs Act of 2017 reduced the U.S. tax rate to 21 percent the law is complex and further regulations and interpretations are still being issued. We could face audit challenges on how we apply the new law that could have a negative impact on our provision for income taxes. In addition, particularly in light of the Biden Administration, our future earnings could be negatively impacted by changes in tax legislation, including a repeal or modification of the Tax Cuts and Jobs Act of 2017, changes in tax rates and tax base such as limiting, phasing-out or eliminating deductions or tax credits, increase taxing of certain excess income from intellectual property, revising tax law interpretations and changes in other tax laws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We lease approximately 57,000 square feet in Cambridge, Massachusetts for manufacturing operations including clean rooms, laboratories and office space. This Cambridge lease expires in February 2032 and we have the right to extend until February 2037, subject to certain conditions being met. We lease approximately 14,000 square feet of additional office space in Cambridge, Massachusetts expiring in 2024 and we have the right to extend until 2029. We also lease approximately 6,000 square feet of office space in Ann Arbor, Michigan, which expires in April 2023. We believe that our facilities are adequate to meet our current needs. Additional facilities will be required to support expansion of our manufacturing operations and research and development activities. On January 28, 2022, we entered into a new lease for approximately 126,000 square feet of to-be-constructed manufacturing, laboratory and office space in Burlington, Massachusetts, which will serve as our new corporate headquarters and primary manufacturing facility. See Note 15, “Subsequent Events” in our accompanying consolidated financial statements for further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4"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We are currently not party to any material legal proceedings, although from time-to-time we may become involved in disputes in connection with the operation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currently trading on the NASDAQ Stock Market under the symbol “VCEL”.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January 31, 2022 there were approximately 169 holders of record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have never paid cash dividends on our common stock and we do not anticipate paying such cash dividends in the foreseeable future. We currently anticipate that we will retain all future earnings, if any, for use in the development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the Company explicitly incorporates it by reference into in such filing.</w:t>
      </w:r>
    </w:p>
    <w:p>
      <w:pPr>
        <w:spacing w:after="0" w:line="2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Set forth below is a line graph comparing the cumulative total shareholder return on Vericel’s common stock with the cumulative total return of (i) the NASDAQ Composite Index, and (ii) the NASDAQ Biotechnology Index, for the period from December 31, 2016 through December 31, 2021. The comparison assumes that a hypothetical $100 was invested on December 31, 2016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5795010" cy="2253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5010" cy="225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6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12/31/16</w:t>
            </w: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12/31/17</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12/31/18</w:t>
            </w: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12/31/19</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12/31/20</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12/31/21</w:t>
            </w:r>
          </w:p>
        </w:tc>
      </w:tr>
      <w:tr>
        <w:trPr>
          <w:trHeight w:val="22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Vericel Corporation (VCEL)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7"/>
        </w:trPr>
        <w:tc>
          <w:tcPr>
            <w:tcW w:w="3620" w:type="dxa"/>
            <w:vAlign w:val="bottom"/>
          </w:tcPr>
          <w:p>
            <w:pPr>
              <w:ind w:left="20"/>
              <w:spacing w:after="0"/>
              <w:rPr>
                <w:sz w:val="20"/>
                <w:szCs w:val="20"/>
                <w:color w:val="auto"/>
              </w:rPr>
            </w:pPr>
            <w:r>
              <w:rPr>
                <w:rFonts w:ascii="Arial" w:cs="Arial" w:eastAsia="Arial" w:hAnsi="Arial"/>
                <w:sz w:val="18"/>
                <w:szCs w:val="18"/>
                <w:color w:val="auto"/>
              </w:rPr>
              <w:t>NASDAQ Composite Index (^IXIC)</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Biotechnology Index (^NBI)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were no repurchases of shares of common stock made during the year ended December 31, 2021.</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56" w:name="page57"/>
    <w:bookmarkEnd w:id="5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5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Our reports, filings and other public announcements contain certain statements that describe our management’s beliefs concerning future business conditions, plans and prospects, growth opportunities and the outlook for our business and the biopharmaceutical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time-to-time.</w:t>
      </w:r>
    </w:p>
    <w:p>
      <w:pPr>
        <w:spacing w:after="0" w:line="208"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New factors emerge from time-to-time,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Vericel Corporation is a fully-integrated, commercial-stage biopharmaceutical company and is a leader in advanced therapies for sports medicine and severe burn care markets. We currently market two FDA-approved autologous cell therapy products in the U.S. MACI® is an autologous cellularized scaffold product indicated for the repair of symptomatic, single or multiple full-thickness cartilage defects of the knee with or without bone involvement in adults. Epicel® is a permanent skin replacement HUD for the treatment of adult and pediatric patients with deep-dermal or full-thickness burns comprising greater than or equal to 30 percent of TBSA. We also hold an exclusive license from MediWound for North American rights to NexoBrid®, a registration-stage biological orphan product for the debridement of severe thermal burns. In 2020, MediWound submitted to the FDA a BLA seeking the approval of NexoBrid for eschar removal (debridement) in adults with deep partial-thickness and/or full-thickness thermal burns. The FDA accepted the BLA for filing and assigned a PDUFA target date of June 29, 2021. Thereafter, on June 29, 2021, MediWound received a complete response letter from the FDA regarding the BLA through which the FDA communicated to MediWound that it had completed its review of the BLA, as amended, and had determined that it could not approve the BLA in its present form. We continue to work with MediWound, BARDA and the FDA to address the issues identified by the FDA, to prepare and submit a BLA resubmission to the FDA, and to seek the potential approval of NexoBrid.</w:t>
      </w:r>
    </w:p>
    <w:p>
      <w:pPr>
        <w:spacing w:after="0" w:line="194"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See “Risk Factors - NexoBrid’s approval in the U.S. for the treatment of severe burns may be further delayed, or it may not be approved for use in the U.S. and other North American markets at all.”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w:t>
      </w:r>
    </w:p>
    <w:p>
      <w:pPr>
        <w:spacing w:after="0" w:line="247"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ongoing pandemic caused by the spread of a novel strain of coronavirus (COVID-19) has created significant disruptions to the U.S. and global economy and has contributed to significant volatility in financial markets. The global impact of the pandemic has fluctuated since early 2020. At times,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virus, its transmission pathway and who is most at risk. Because Vericel is deemed an essential business, we were exempted from government orders requiring the closure of workplaces and the cessation of business operations.</w:t>
      </w:r>
    </w:p>
    <w:p>
      <w:pPr>
        <w:spacing w:after="0" w:line="201"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Notwithstanding being an essential business, our business and operations at times have been adversely impacted by the ongoing effects of the COVID-19 pandemic. For example, as a result of periodic restrictions placed on the performance of elective surgical procedures, Vericel experienced a significant increase in cancellations of scheduled MACI procedures, as well as a slowdown in new MACI orders during March and April of 2020. The widespread suspension of surgical procedures impacted our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our MACI business had largely dissipated. During the summer of 2021, however, the pandemic’s direct and ancillary effects again began to cause some disruption to our MACI business. Following the cessation of COVID-19-related travel restrictions in many parts of the U.S. and the availability of vaccinations in May and June 2021, some MACI patients postponed or delayed treatment – opting instead to take vacation and/or travel. Further, surges of new COVID-19 cases during the second half of 2021 caused by the spread of the “Delta” and “Omicron” variants again caused disruptions to health care networks including restrictions on the performance of elective surgical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Although hospitals are now better prepared for subsequent surges in COVID-19 patients, the risk remains that regional or local restrictions could again be placed on the performance of elective surgical procedures if the number of COVID-19 infections in the U.S. were to continue to rise, or if new or existing COVID-19 variants render current vaccine treatments ineffective.</w:t>
      </w:r>
    </w:p>
    <w:p>
      <w:pPr>
        <w:spacing w:after="0" w:line="21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Because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the outset of the pandemic, we put in place a comprehensive workplace protection plan, which instituted protective measures in response to COVID-</w:t>
      </w:r>
    </w:p>
    <w:p>
      <w:pPr>
        <w:spacing w:after="0" w:line="42" w:lineRule="exact"/>
        <w:rPr>
          <w:sz w:val="20"/>
          <w:szCs w:val="20"/>
          <w:color w:val="auto"/>
        </w:rPr>
      </w:pPr>
    </w:p>
    <w:p>
      <w:pPr>
        <w:jc w:val="both"/>
        <w:ind w:firstLine="7"/>
        <w:spacing w:after="0" w:line="250" w:lineRule="auto"/>
        <w:tabs>
          <w:tab w:leader="none" w:pos="2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workplace protection plan has closely followed guidance issued by the Centers for Disease Control and Prevention (“CDC”) and has complied with applicable federal and state law. To date, Vericel has been successful in sustaining its operations and providing MACI and Epicel to patients in need. We continue to review our policies and procedures regularly, including our workplace protection plan, as the pandemic evolves and we may take additional actions to the extent required.</w:t>
      </w:r>
    </w:p>
    <w:p>
      <w:pPr>
        <w:spacing w:after="0" w:line="219"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We continue to manufacture MACI and Epicel and we are maintaining a significant safety stock of all key raw materials. We do not expect current supply chain interruptions will impact our ongoing manufacturing operations. With respect to customer delivery, MACI final product has an established shelf life of six (6) days and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At this time, we are not aware of COVID-19-related impacts on our distributors, operations or third-party service providers’ ability to manage patient cases.</w:t>
      </w:r>
    </w:p>
    <w:p>
      <w:pPr>
        <w:spacing w:after="0" w:line="20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We believe it is possible that we could continue to experience variable impacts on our business, should the current resurgence of COVID-19 in various areas of the U.S. continue for an extended period, or should a new resurgence occur in the future. Measures taken to limit the impact of COVID-19 at the international, national and local levels, including the availability and effectiveness of COVID-19 vaccines, shelter-in-place orders, social distancing measures, travel bans and restrictions, and business and government shutdowns, may again create significant negative economic impacts on a global basis. Given that uncertainty, we cannot reliably estimate the extent to which the ongoing COVID-19 pandemic may continue to impact utilization and revenue of our products in 2022 and beyond.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 discussion of additional risks associated with the ongoing COVID-19 pandemic, please see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5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of TBSA. Both products are currently marketed in the U.S. In addition, we have entered into exclusive license and supply agreements with MediWound to commercialize NexoBrid in North America, if approved. As previously mentioned, MediWound has submitted a BLA to the FDA, seeking commercial approval of NexoBrid. On June 29, 2021, we announced that MediWound had received a complete response letter from the FDA regarding the BLA, through which the FDA communicated to MediWound that it had completed its review of the BLA, as amended, and had determined that it could not approve the BLA in its present form. We continue to work with MediWound, BARDA and the FDA to address the issues identified by the FDA, to prepare and submit a BLA resubmission to the FDA, and to seek the potential approval of NexoBrid.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MACI</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MACI is a third-generation ACI product indicated for the repair of symptomatic, single or multiple full-thickness cartilage defects of the knee with or without bone involvement in adults.</w:t>
      </w:r>
    </w:p>
    <w:p>
      <w:pPr>
        <w:spacing w:after="0" w:line="201"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Our target audience of U.S. physicians is approximately 5,000 orthopedic surgeons and is divided into two segments: a group of orthopedic surgeons who self-identify and/or have a formal specialty as sports medicine physicians, and a subpopulation of general orthopedic surgeons who perform a high volume of cartilage repair procedures. As of the date of this report, we have 76 MACI sales representatives to enable the sales force to reach our target audience.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 for medically appropriate cases.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Epicel</w:t>
      </w:r>
    </w:p>
    <w:p>
      <w:pPr>
        <w:spacing w:after="0" w:line="224"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Epicel is a permanent skin replacement for deep-dermal or full-thickness burns greater than or equal to 30 percent of TBSA. Epicel is regulated by CBER of the FDA under medical device authorities, and is the only FDA-approved cultured epidermal autograft product available for large total surface area burns. Epicel was designated as a HUD in 1998 and an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195"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30 times larger than the volume of grafts sold in 2021. We currently have a thirteen-person burn field force comprised of seven account managers and six burn clinical specialists, led by a regional and a national sales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NexoBrid</w:t>
      </w:r>
    </w:p>
    <w:p>
      <w:pPr>
        <w:spacing w:after="0" w:line="251"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Our development portfolio includes NexoBrid, a registration-stage, topically-administered biological product that enzymatically removes nonviable burn tissue, or eschar, in patients with deep partial and full-thickness thermal burns. We have entered into exclusive license and supply agreements with MediWound to commercialize NexoBrid and any improvements to the product in North America, if approved. On September 16, 2020, we announced the acceptance of MediWound’s submission of a BLA for review by the FDA to seek marketing approval for NexoBrid in the U.S. for the treatment of severe burns, and the FDA’s assignment of a Prescription Drug User Fee Act (“PDUFA”) target date for the product of June 29, 2021. Subsequently, on June 29, 2021, we announced that MediWound had received a complete response letter from the FDA regarding the BLA, through which the FDA communicated to MediWound that it had completed its review of the BLA, as amended, and had determined that it could not approve the BLA in its present form. We continue to work with MediWound, BARDA and the FDA to address the issues identified in the agency’s complete response letter, to prepare and submit a BLA resubmission to the FDA and to seek the potential approval of NexoBrid. See also “Risk Factors - NexoBrid’s approval in the U.S. for the treatment of severe burns may be further delayed, or it may not be approved for use in the U.S. and other North American markets at all.”</w:t>
      </w:r>
    </w:p>
    <w:p>
      <w:pPr>
        <w:spacing w:after="0" w:line="19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NexoBrid is approved in the EU and other international markets and has been designated as an orphan biologic in the U.S., EU and other international markets. Pursuant to the terms of our existing license agreement, if the BLA is approved, MediWound will transfer the BLA to us and we will market NexoBrid in the 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87"/>
              </w:rPr>
              <w:t>2021 vs. 2020</w:t>
            </w:r>
          </w:p>
        </w:tc>
        <w:tc>
          <w:tcPr>
            <w:tcW w:w="1120" w:type="dxa"/>
            <w:vAlign w:val="bottom"/>
            <w:tcBorders>
              <w:bottom w:val="single" w:sz="8" w:color="auto"/>
            </w:tcBorders>
          </w:tcPr>
          <w:p>
            <w:pPr>
              <w:spacing w:after="0"/>
              <w:rPr>
                <w:sz w:val="16"/>
                <w:szCs w:val="16"/>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 $</w:t>
            </w: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w w:val="94"/>
              </w:rPr>
              <w:t>Change %</w:t>
            </w:r>
          </w:p>
        </w:tc>
      </w:tr>
      <w:tr>
        <w:trPr>
          <w:trHeight w:val="221"/>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27"/>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25.6 %</w:t>
            </w:r>
          </w:p>
        </w:tc>
      </w:tr>
      <w:tr>
        <w:trPr>
          <w:trHeight w:val="220"/>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20"/>
        </w:trPr>
        <w:tc>
          <w:tcPr>
            <w:tcW w:w="34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25.1 %</w:t>
            </w:r>
          </w:p>
        </w:tc>
      </w:tr>
      <w:tr>
        <w:trPr>
          <w:trHeight w:val="227"/>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41.8 %</w:t>
            </w:r>
          </w:p>
        </w:tc>
      </w:tr>
      <w:tr>
        <w:trPr>
          <w:trHeight w:val="220"/>
        </w:trPr>
        <w:tc>
          <w:tcPr>
            <w:tcW w:w="34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39.1 %</w:t>
            </w:r>
          </w:p>
        </w:tc>
      </w:tr>
      <w:tr>
        <w:trPr>
          <w:trHeight w:val="220"/>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20"/>
        </w:trPr>
        <w:tc>
          <w:tcPr>
            <w:tcW w:w="3460" w:type="dxa"/>
            <w:vAlign w:val="bottom"/>
          </w:tcPr>
          <w:p>
            <w:pPr>
              <w:ind w:left="260"/>
              <w:spacing w:after="0"/>
              <w:rPr>
                <w:sz w:val="20"/>
                <w:szCs w:val="20"/>
                <w:color w:val="auto"/>
              </w:rPr>
            </w:pPr>
            <w:r>
              <w:rPr>
                <w:rFonts w:ascii="Arial" w:cs="Arial" w:eastAsia="Arial" w:hAnsi="Arial"/>
                <w:sz w:val="18"/>
                <w:szCs w:val="18"/>
                <w:color w:val="auto"/>
              </w:rPr>
              <w:t>Total other income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7"/>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20"/>
        </w:trPr>
        <w:tc>
          <w:tcPr>
            <w:tcW w:w="3460" w:type="dxa"/>
            <w:vAlign w:val="bottom"/>
          </w:tcPr>
          <w:p>
            <w:pPr>
              <w:ind w:left="260"/>
              <w:spacing w:after="0"/>
              <w:rPr>
                <w:sz w:val="20"/>
                <w:szCs w:val="20"/>
                <w:color w:val="auto"/>
              </w:rPr>
            </w:pPr>
            <w:r>
              <w:rPr>
                <w:rFonts w:ascii="Arial" w:cs="Arial" w:eastAsia="Arial" w:hAnsi="Arial"/>
                <w:sz w:val="18"/>
                <w:szCs w:val="18"/>
                <w:color w:val="auto"/>
              </w:rPr>
              <w:t>Net (loss) income</w:t>
            </w: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(10,335)</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December 31, 2021 and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by product for the years ended December 31, 2021, 2020 and 2019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89"/>
              </w:rPr>
              <w:t>2021 vs. 2020</w:t>
            </w:r>
          </w:p>
        </w:tc>
        <w:tc>
          <w:tcPr>
            <w:tcW w:w="1120" w:type="dxa"/>
            <w:vAlign w:val="bottom"/>
            <w:tcBorders>
              <w:bottom w:val="single" w:sz="8" w:color="auto"/>
            </w:tcBorders>
          </w:tcPr>
          <w:p>
            <w:pPr>
              <w:spacing w:after="0"/>
              <w:rPr>
                <w:sz w:val="16"/>
                <w:szCs w:val="16"/>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 $</w:t>
            </w: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w w:val="94"/>
              </w:rPr>
              <w:t>Change %</w:t>
            </w:r>
          </w:p>
        </w:tc>
      </w:tr>
      <w:tr>
        <w:trPr>
          <w:trHeight w:val="221"/>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MACI</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111,554</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2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50.8 %</w:t>
            </w:r>
          </w:p>
        </w:tc>
      </w:tr>
      <w:tr>
        <w:trPr>
          <w:trHeight w:val="227"/>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NexoBrid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2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156,184</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124,179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117,850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25.8 %</w:t>
            </w: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Total revenue increase for the year ended December 31, 2021, compared to 2020, was driven primarily by volume growth for both MACI and Epicel, in addition to $3.1 million, of revenue recognized related to the delivery of NexoBrid to BARDA for emergency response preparedness, compared to $2.2 million in the prior year.</w:t>
      </w:r>
    </w:p>
    <w:p>
      <w:pPr>
        <w:spacing w:after="0" w:line="213" w:lineRule="exact"/>
        <w:rPr>
          <w:sz w:val="20"/>
          <w:szCs w:val="20"/>
          <w:color w:val="auto"/>
        </w:rPr>
      </w:pPr>
    </w:p>
    <w:p>
      <w:pPr>
        <w:jc w:val="both"/>
        <w:ind w:right="100" w:firstLine="240"/>
        <w:spacing w:after="0" w:line="265"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The effects of the ongoing COVID-19 pandemic have disrupted the normal seasonality of our MACI business at times over the past twenty-two months. These effects have included, among others, periodic restrictions on the performance of elective surgical procedures throughout the country, the unavailability of physicians and/or changes to their treatment prioritizations, reductions in the levels of healthcare facility staffing and, in certain instances, the willingness or ability of patients to seek treatment and the inability of our Clinical Account Specialists to call on surgeon customers. Over the last five years, ACI (MACI and Carticel prior to its replacement) sales volumes from the first through the fourth quarter on average represented 19% (16%-21% range), 22% (16%-25% range), 23% (21%-26% range) and 36% (33%-38% range) respectively, of total annual volumes. MACI orders are normally stronger in the fourth quarter due to several factors including the satisfaction by patients of insurance deductible limits and the time of year patients prefer to start rehabilitation. Because of the effects of the COVID-19 pandemic, the MACI business seasonality in 2021 and 2020 did not follow our historical patterns, and seasonality in 2022 could continue to be impacted by COVID-19 related factors, as well - such as patient behavior and vacations and the spread of the COVID-19 “Delta” and “Omicron” variants. Due to the low incidence and variable occurrence of severe burns, Epicel revenue has inherent variability from quarter-to-quarter and does not exhibit significant seasonality.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0" w:lineRule="exact"/>
        <w:rPr>
          <w:sz w:val="20"/>
          <w:szCs w:val="20"/>
          <w:color w:val="auto"/>
        </w:rPr>
      </w:pPr>
    </w:p>
    <w:p>
      <w:pPr>
        <w:jc w:val="both"/>
        <w:ind w:right="100" w:firstLine="240"/>
        <w:spacing w:after="0" w:line="300" w:lineRule="auto"/>
        <w:rPr>
          <w:sz w:val="20"/>
          <w:szCs w:val="20"/>
          <w:color w:val="auto"/>
        </w:rPr>
      </w:pPr>
      <w:r>
        <w:rPr>
          <w:rFonts w:ascii="Arial" w:cs="Arial" w:eastAsia="Arial" w:hAnsi="Arial"/>
          <w:sz w:val="17"/>
          <w:szCs w:val="17"/>
          <w:color w:val="auto"/>
        </w:rPr>
        <w:t>Gross profit increased for the year ended December 31, 2021, primarily due to continued growth of both products, the impacts of the COVID-19 pandemic in the prior year, and increased units of procured NexoBrid to BARDA that led to higher revenue related to NexoBrid, compared to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7"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The following table summarizes research and development expenses, which include license fees, materials, professional fees and an allocation of employee-related salary and fringe benefit costs for our research and development projects:</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2021 vs. 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w:t>
            </w: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21"/>
        </w:trPr>
        <w:tc>
          <w:tcPr>
            <w:tcW w:w="28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7"/>
        </w:trPr>
        <w:tc>
          <w:tcPr>
            <w:tcW w:w="3000" w:type="dxa"/>
            <w:vAlign w:val="bottom"/>
            <w:gridSpan w:val="2"/>
          </w:tcPr>
          <w:p>
            <w:pPr>
              <w:ind w:left="260"/>
              <w:spacing w:after="0"/>
              <w:rPr>
                <w:sz w:val="20"/>
                <w:szCs w:val="20"/>
                <w:color w:val="auto"/>
              </w:rPr>
            </w:pPr>
            <w:r>
              <w:rPr>
                <w:rFonts w:ascii="Arial" w:cs="Arial" w:eastAsia="Arial" w:hAnsi="Arial"/>
                <w:sz w:val="18"/>
                <w:szCs w:val="18"/>
                <w:color w:val="auto"/>
              </w:rPr>
              <w:t>Epicel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235"/>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7"/>
        </w:trPr>
        <w:tc>
          <w:tcPr>
            <w:tcW w:w="3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NexoBrid</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53"/>
        </w:trPr>
        <w:tc>
          <w:tcPr>
            <w:tcW w:w="3000" w:type="dxa"/>
            <w:vAlign w:val="bottom"/>
            <w:gridSpan w:val="2"/>
          </w:tcPr>
          <w:p>
            <w:pPr>
              <w:ind w:left="260"/>
              <w:spacing w:after="0" w:line="154" w:lineRule="exact"/>
              <w:rPr>
                <w:sz w:val="20"/>
                <w:szCs w:val="20"/>
                <w:color w:val="auto"/>
              </w:rPr>
            </w:pPr>
            <w:r>
              <w:rPr>
                <w:rFonts w:ascii="Arial" w:cs="Arial" w:eastAsia="Arial" w:hAnsi="Arial"/>
                <w:sz w:val="17"/>
                <w:szCs w:val="17"/>
                <w:color w:val="auto"/>
              </w:rPr>
              <w:t>Total research and development</w:t>
            </w:r>
          </w:p>
        </w:tc>
        <w:tc>
          <w:tcPr>
            <w:tcW w:w="54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16,287</w:t>
            </w:r>
          </w:p>
        </w:tc>
        <w:tc>
          <w:tcPr>
            <w:tcW w:w="140" w:type="dxa"/>
            <w:vAlign w:val="bottom"/>
          </w:tcPr>
          <w:p>
            <w:pPr>
              <w:spacing w:after="0"/>
              <w:rPr>
                <w:sz w:val="13"/>
                <w:szCs w:val="13"/>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13,020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30,391</w:t>
            </w:r>
          </w:p>
        </w:tc>
        <w:tc>
          <w:tcPr>
            <w:tcW w:w="120" w:type="dxa"/>
            <w:vAlign w:val="bottom"/>
          </w:tcPr>
          <w:p>
            <w:pPr>
              <w:spacing w:after="0"/>
              <w:rPr>
                <w:sz w:val="13"/>
                <w:szCs w:val="13"/>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vMerge w:val="restart"/>
          </w:tcPr>
          <w:p>
            <w:pPr>
              <w:jc w:val="right"/>
              <w:ind w:right="235"/>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0"/>
        </w:trPr>
        <w:tc>
          <w:tcPr>
            <w:tcW w:w="30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expenses</w:t>
            </w:r>
          </w:p>
        </w:tc>
        <w:tc>
          <w:tcPr>
            <w:tcW w:w="5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Research and development expenses for the year ended December 31, 2021 were $16.3 million, compared to $13.0 million for 2020. The increase is primarily due to an increase of $2.2 million in stock-based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0" w:lineRule="exact"/>
        <w:rPr>
          <w:sz w:val="20"/>
          <w:szCs w:val="20"/>
          <w:color w:val="auto"/>
        </w:rPr>
      </w:pPr>
    </w:p>
    <w:p>
      <w:pPr>
        <w:jc w:val="both"/>
        <w:ind w:right="100" w:firstLine="240"/>
        <w:spacing w:after="0" w:line="274" w:lineRule="auto"/>
        <w:rPr>
          <w:sz w:val="20"/>
          <w:szCs w:val="20"/>
          <w:color w:val="auto"/>
        </w:rPr>
      </w:pPr>
      <w:r>
        <w:rPr>
          <w:rFonts w:ascii="Arial" w:cs="Arial" w:eastAsia="Arial" w:hAnsi="Arial"/>
          <w:sz w:val="17"/>
          <w:szCs w:val="17"/>
          <w:color w:val="auto"/>
        </w:rPr>
        <w:t>Selling, general and administrative expenses for the year ended December 31, 2021 were $97.6 million, compared to $68.9 million for 2020. The increase in selling, general and administrative expenses during the year ended December 31, 2021, compared to 2020, is primarily due to a $16.5 million increase in stock-based compensation expenses, a $2.6 million increase as a result of additional headcount, a $2.3 million increase in marketing activities, and a $1.9 million increase in patient reimbursement support services as a result of higher MACI sales volume.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20"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The change in total other income (expense) for the year ended December 31, 2021, was primarily due to the decreasing rates of return on our investments in various marketable debt securities.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61" w:name="page62"/>
    <w:bookmarkEnd w:id="6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year-ended December 31, 2021, we recorded a state income tax benefit of $0.1 million, as a result of a return to provision adjustment.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Non-cash stock-based compensation expense is summarized in the following table: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87"/>
              </w:rPr>
              <w:t>2021 vs. 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 $</w:t>
            </w: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221"/>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88.9 %</w:t>
            </w: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118.7 %</w:t>
            </w: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164.9 %</w:t>
            </w:r>
          </w:p>
        </w:tc>
        <w:tc>
          <w:tcPr>
            <w:tcW w:w="0" w:type="dxa"/>
            <w:vAlign w:val="bottom"/>
          </w:tcPr>
          <w:p>
            <w:pPr>
              <w:spacing w:after="0"/>
              <w:rPr>
                <w:sz w:val="1"/>
                <w:szCs w:val="1"/>
                <w:color w:val="auto"/>
              </w:rPr>
            </w:pPr>
          </w:p>
        </w:tc>
      </w:tr>
      <w:tr>
        <w:trPr>
          <w:trHeight w:val="153"/>
        </w:trPr>
        <w:tc>
          <w:tcPr>
            <w:tcW w:w="3440" w:type="dxa"/>
            <w:vAlign w:val="bottom"/>
            <w:gridSpan w:val="2"/>
          </w:tcPr>
          <w:p>
            <w:pPr>
              <w:ind w:left="20"/>
              <w:spacing w:after="0" w:line="154" w:lineRule="exact"/>
              <w:rPr>
                <w:sz w:val="20"/>
                <w:szCs w:val="20"/>
                <w:color w:val="auto"/>
              </w:rPr>
            </w:pPr>
            <w:r>
              <w:rPr>
                <w:rFonts w:ascii="Arial" w:cs="Arial" w:eastAsia="Arial" w:hAnsi="Arial"/>
                <w:sz w:val="17"/>
                <w:szCs w:val="17"/>
                <w:color w:val="auto"/>
              </w:rPr>
              <w:t>Total non-cash stock-based compensation</w:t>
            </w:r>
          </w:p>
        </w:tc>
        <w:tc>
          <w:tcPr>
            <w:tcW w:w="340" w:type="dxa"/>
            <w:vAlign w:val="bottom"/>
            <w:vMerge w:val="restart"/>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34,322</w:t>
            </w:r>
          </w:p>
        </w:tc>
        <w:tc>
          <w:tcPr>
            <w:tcW w:w="42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13,843</w:t>
            </w:r>
          </w:p>
        </w:tc>
        <w:tc>
          <w:tcPr>
            <w:tcW w:w="100" w:type="dxa"/>
            <w:vAlign w:val="bottom"/>
          </w:tcPr>
          <w:p>
            <w:pPr>
              <w:spacing w:after="0"/>
              <w:rPr>
                <w:sz w:val="13"/>
                <w:szCs w:val="13"/>
                <w:color w:val="auto"/>
              </w:rPr>
            </w:pPr>
          </w:p>
        </w:tc>
        <w:tc>
          <w:tcPr>
            <w:tcW w:w="340" w:type="dxa"/>
            <w:vAlign w:val="bottom"/>
            <w:vMerge w:val="restart"/>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20,479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147.9 %</w:t>
            </w:r>
          </w:p>
        </w:tc>
        <w:tc>
          <w:tcPr>
            <w:tcW w:w="0" w:type="dxa"/>
            <w:vAlign w:val="bottom"/>
          </w:tcPr>
          <w:p>
            <w:pPr>
              <w:spacing w:after="0"/>
              <w:rPr>
                <w:sz w:val="1"/>
                <w:szCs w:val="1"/>
                <w:color w:val="auto"/>
              </w:rPr>
            </w:pPr>
          </w:p>
        </w:tc>
      </w:tr>
      <w:tr>
        <w:trPr>
          <w:trHeight w:val="200"/>
        </w:trPr>
        <w:tc>
          <w:tcPr>
            <w:tcW w:w="3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expense</w:t>
            </w:r>
          </w:p>
        </w:tc>
        <w:tc>
          <w:tcPr>
            <w:tcW w:w="3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increase in stock-based compensation expense for the year ended December 31, 2021, is due primarily to fluctuations in stock prices which impacts the fair value of the options and restricted stock units awarded and the expense recognized in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December 31, 2020 and 2019</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For a comparison of our results of operations for the fiscal years ended December 31, 2020 and December 31, 2019, see “Part II, Item 7. Management’s Discussion and Analysis of Financial Condition and Results of Operations” of our Annual Report on Form 10-K for the fiscal year ended December 31, 2020, filed with the SEC on February 24,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jc w:val="both"/>
        <w:ind w:firstLine="240"/>
        <w:spacing w:after="0" w:line="238" w:lineRule="auto"/>
        <w:rPr>
          <w:sz w:val="20"/>
          <w:szCs w:val="20"/>
          <w:color w:val="auto"/>
        </w:rPr>
      </w:pPr>
      <w:r>
        <w:rPr>
          <w:rFonts w:ascii="Arial" w:cs="Arial" w:eastAsia="Arial" w:hAnsi="Arial"/>
          <w:sz w:val="18"/>
          <w:szCs w:val="18"/>
          <w:color w:val="auto"/>
        </w:rPr>
        <w:t>Since our acquisition of MACI and Epicel in 2014, our primary focus has been to invest in our existing commercial business with the goal of growing revenue. We have raised significant funds in order to complete our product development programs and to market and commercialize our products, including NexoBrid. To date, we have financed our operations primarily through cash received through Epicel and MACI sales, debt and public and private sales of our equity securities. We generated $29.0 million in operating cash flows during 2021 and we may finance our commercial business operations through the sales of equity securities or debt financings.</w:t>
      </w:r>
    </w:p>
    <w:p>
      <w:pPr>
        <w:spacing w:after="0" w:line="21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believe that our current cash on hand, cash equivalents and investments will be sufficient to support our current operations through at least 12 months from the issuance of the consolidated financial statements included in this Annual Report on Form 10-K. However, the continuing effects of the ongoing COVID-19 pandemic continue to evolve and may result in irrecoverable losses from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78"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7"/>
              </w:rPr>
              <w:t>Year Ended December 31,</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5"/>
        </w:trPr>
        <w:tc>
          <w:tcPr>
            <w:tcW w:w="5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21"/>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29,040</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27"/>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Net cash (used in) provided by investment activities</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(3,501)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(17,160)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10,615</w:t>
            </w:r>
          </w:p>
        </w:tc>
      </w:tr>
      <w:tr>
        <w:trPr>
          <w:trHeight w:val="227"/>
        </w:trPr>
        <w:tc>
          <w:tcPr>
            <w:tcW w:w="5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r>
      <w:tr>
        <w:trPr>
          <w:trHeight w:val="22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122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34,710</w:t>
            </w:r>
          </w:p>
        </w:tc>
        <w:tc>
          <w:tcPr>
            <w:tcW w:w="140" w:type="dxa"/>
            <w:vAlign w:val="bottom"/>
          </w:tcPr>
          <w:p>
            <w:pPr>
              <w:spacing w:after="0"/>
              <w:rPr>
                <w:sz w:val="19"/>
                <w:szCs w:val="19"/>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For a discussion of our liquidity and capital resources related to our cash flow activities for the fiscal year ended December 31, 2019, see “Part II, Item 7. Management’s Discussion and Analysis of Financial Condition and Results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Operations” of our annual report on Form 10-K for the fiscal year ended December 31, 2020, filed with the SEC on February 24, 2021.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4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Our cash, cash equivalents and restricted cash totaled $68.5 million, short-term investments totaled $35.1 million and long-term investments totaled $25.7 million as of December 31, 2021. The $29.0 million of net cash provided by operations in 2021, was primarily the result of non-cash charges of $34.3 million related to stock compensation expense, $4.4 million in operating lease amortization and $3.0 million in depreciation and amortization expense, offset by a net loss of $7.5 million and a net decrease of $6.2 million related to movements in our working capital accounts. The overall decreases in cash from our working capital accounts were primarily driven by an increase in accounts receivable due to an increase in sales volume, an increase in inventory due to increased production needs and payments on operating leases, offset by an increase of accounts payable and accrued expenses due to timing of payments.</w:t>
      </w:r>
    </w:p>
    <w:p>
      <w:pPr>
        <w:spacing w:after="0" w:line="192"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Our cash, cash equivalents and restricted cash totaled $33.8 million, short-term investments totaled $42.2 million and long-term investments totaled $24.1 million as of December 31, 2020. The $17.6 million of net cash provided by operations in 2020, was primarily the result of net income of $2.9 million and non-cash charges of $13.8 million in stock compensation expense, $4.4 million in operating lease amortization and $2.4 million in depreciation and amortization expense, offset by a net decrease of $6.4 million related to movements in our working capital accounts. The overall decreases in cash from our working capital accounts were primarily driven by an increase in accounts receivable due to an increase in sales volume, an increase in inventory due to increased production needs, payments on operating leases, offset by an increase of accrued expenses due to timing of payments.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Net cash used in investing activities during the year ended December 31, 2021 was the result of $64.4 million of investment sales and maturities, offset by $60.0 million in investment purchases and $7.9 million of property and equipment purchases primarily for manufacturing upgrades through December 31, 2021.</w:t>
      </w:r>
    </w:p>
    <w:p>
      <w:pPr>
        <w:spacing w:after="0" w:line="2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Net cash used in investing activities during the year ended December 31, 2020 was the result of $63.1 million in investments purchases offset by $48.5 million of sales and maturities and property and equipment purchases of $2.6 million, primarily for manufacturing upgrades and leasehold improvements through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Net cash provided by financing activities is the result of net proceeds from the exercise of stock options and the employee stock purchase plan of $11.2 million, partially offset by the payment of employee withholding taxes related to the vesting of restricted stock units of $1.7 million during the year ended December 31, 2021.</w:t>
      </w:r>
    </w:p>
    <w:p>
      <w:pPr>
        <w:spacing w:after="0" w:line="2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cash provided by financing activities during the year ended December 31, 2020 is primarily the result of net proceeds from the exercise of stock options of $6.6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Capital</w:t>
      </w:r>
    </w:p>
    <w:p>
      <w:pPr>
        <w:spacing w:after="0" w:line="24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SVB Leerink is not required to sell any specific number or dollar amount of the ATM Shares under the Sales Agreement. As of December 31, 2021, we have sold no shares pursuant to the Sales Agreement.</w:t>
      </w:r>
    </w:p>
    <w:p>
      <w:pPr>
        <w:spacing w:after="0" w:line="192"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If revenue declines for a sustained period, we may need to access additional capital; however, we may not be able to obtain financing on acceptable terms or at all. Market volatility could also adversely impact our ability to access financing when needed. The terms of any financing may adversely affect the holdings or the rights of our shareholders. Actual cash requirements may differ from projections and will depend on many factors, including any future impacts of the COVID-19 pandemic, the level of future research and development, the scope and results of ongoing and potential clinical trials, the costs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80"/>
        <w:spacing w:after="0" w:line="270" w:lineRule="auto"/>
        <w:rPr>
          <w:sz w:val="20"/>
          <w:szCs w:val="20"/>
          <w:color w:val="auto"/>
        </w:rPr>
      </w:pPr>
      <w:r>
        <w:rPr>
          <w:rFonts w:ascii="Arial" w:cs="Arial" w:eastAsia="Arial" w:hAnsi="Arial"/>
          <w:sz w:val="18"/>
          <w:szCs w:val="18"/>
          <w:color w:val="auto"/>
        </w:rPr>
        <w:t>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4" w:lineRule="exact"/>
        <w:rPr>
          <w:sz w:val="20"/>
          <w:szCs w:val="20"/>
          <w:color w:val="auto"/>
        </w:rPr>
      </w:pPr>
    </w:p>
    <w:p>
      <w:pPr>
        <w:jc w:val="both"/>
        <w:ind w:left="80" w:firstLine="240"/>
        <w:spacing w:after="0" w:line="267" w:lineRule="auto"/>
        <w:rPr>
          <w:sz w:val="20"/>
          <w:szCs w:val="20"/>
          <w:color w:val="auto"/>
        </w:rPr>
      </w:pPr>
      <w:r>
        <w:rPr>
          <w:rFonts w:ascii="Arial" w:cs="Arial" w:eastAsia="Arial" w:hAnsi="Arial"/>
          <w:sz w:val="17"/>
          <w:szCs w:val="17"/>
          <w:color w:val="auto"/>
        </w:rPr>
        <w:t>We lease facilities in Ann Arbor, Michigan and Cambridge, Massachusetts. The Cambridge facilities includes clean rooms, laboratories for MACI and Epicel manufacturing and office space. We also pay for use of an offsite warehouse space and lease various vehicles and computer equipment. In October 2020, we amended our current lease in Cambridge to, among other provisions, extend the term until February 2032. Under the amendment, the landlord will contribute $4.3 million toward the cost of tenant improvements. The previous contributions toward the cost of tenant improvements was recorded as part of the operating lease assets under the leasing guidance, on our consolidated balance sheet. Total remaining obligations related to the operating and finance leases are $66.5 million as of December 31, 2021. In January 2022, we entered into a new lease for approximately 126,000 square feet of to-be-constructed manufacturing, laboratory and office space in Burlington, Massachusetts. See Note 15, “Subsequent Events” in our accompanying consolidated financial statements for further information.</w:t>
      </w:r>
    </w:p>
    <w:p>
      <w:pPr>
        <w:spacing w:after="0" w:line="208" w:lineRule="exact"/>
        <w:rPr>
          <w:sz w:val="20"/>
          <w:szCs w:val="20"/>
          <w:color w:val="auto"/>
        </w:rPr>
      </w:pPr>
    </w:p>
    <w:p>
      <w:pPr>
        <w:jc w:val="both"/>
        <w:ind w:left="80" w:firstLine="240"/>
        <w:spacing w:after="0" w:line="253" w:lineRule="auto"/>
        <w:rPr>
          <w:sz w:val="20"/>
          <w:szCs w:val="20"/>
          <w:color w:val="auto"/>
        </w:rPr>
      </w:pPr>
      <w:r>
        <w:rPr>
          <w:rFonts w:ascii="Arial" w:cs="Arial" w:eastAsia="Arial" w:hAnsi="Arial"/>
          <w:sz w:val="18"/>
          <w:szCs w:val="18"/>
          <w:color w:val="auto"/>
        </w:rPr>
        <w:t>Our purchase commitments consist of minimum purchase amounts of materials used in our cell manufacturing process to manufacture our marketed cell therapy products and total $10.1 million as of December 31, 2021, as well as usage of an offsite warehouse space. In February 2021, the terms of the warehouse operating agreement were extended through March 31, 2027, and the total remaining contractual obligations related to the warehouse agreement are $8.3 million as of December 31, 2021. See Note 14, “Commitments and Contingencies” in our accompanying consolidated financial statements for further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 off-balance sheet arrangements that have or are reasonably likely to have a material effect on our financial condition.</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jc w:val="both"/>
        <w:ind w:left="80" w:firstLine="240"/>
        <w:spacing w:after="0" w:line="255" w:lineRule="auto"/>
        <w:rPr>
          <w:sz w:val="20"/>
          <w:szCs w:val="20"/>
          <w:color w:val="auto"/>
        </w:rPr>
      </w:pPr>
      <w:r>
        <w:rPr>
          <w:rFonts w:ascii="Arial" w:cs="Arial" w:eastAsia="Arial" w:hAnsi="Arial"/>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188" w:lineRule="exact"/>
        <w:rPr>
          <w:sz w:val="20"/>
          <w:szCs w:val="20"/>
          <w:color w:val="auto"/>
        </w:rPr>
      </w:pPr>
    </w:p>
    <w:p>
      <w:pPr>
        <w:jc w:val="both"/>
        <w:ind w:left="80" w:firstLine="240"/>
        <w:spacing w:after="0" w:line="270" w:lineRule="auto"/>
        <w:rPr>
          <w:sz w:val="20"/>
          <w:szCs w:val="20"/>
          <w:color w:val="auto"/>
        </w:rPr>
      </w:pPr>
      <w:r>
        <w:rPr>
          <w:rFonts w:ascii="Arial" w:cs="Arial" w:eastAsia="Arial" w:hAnsi="Arial"/>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247" w:lineRule="exact"/>
        <w:rPr>
          <w:sz w:val="20"/>
          <w:szCs w:val="20"/>
          <w:color w:val="auto"/>
        </w:rPr>
      </w:pPr>
    </w:p>
    <w:p>
      <w:pPr>
        <w:jc w:val="both"/>
        <w:ind w:left="80" w:firstLine="240"/>
        <w:spacing w:after="0" w:line="292" w:lineRule="auto"/>
        <w:rPr>
          <w:sz w:val="20"/>
          <w:szCs w:val="20"/>
          <w:color w:val="auto"/>
        </w:rPr>
      </w:pPr>
      <w:r>
        <w:rPr>
          <w:rFonts w:ascii="Arial" w:cs="Arial" w:eastAsia="Arial" w:hAnsi="Arial"/>
          <w:sz w:val="16"/>
          <w:szCs w:val="16"/>
          <w:color w:val="auto"/>
        </w:rPr>
        <w:t xml:space="preserve">Revenue from sales to a customer (distributor, hospital or other party) is recognized in accordance with ASC 606,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We recognize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MACI Implants</w:t>
      </w:r>
    </w:p>
    <w:p>
      <w:pPr>
        <w:spacing w:after="0" w:line="247" w:lineRule="exact"/>
        <w:rPr>
          <w:sz w:val="20"/>
          <w:szCs w:val="20"/>
          <w:color w:val="auto"/>
        </w:rPr>
      </w:pPr>
    </w:p>
    <w:p>
      <w:pPr>
        <w:jc w:val="both"/>
        <w:ind w:left="80" w:right="20" w:firstLine="240"/>
        <w:spacing w:after="0" w:line="270" w:lineRule="auto"/>
        <w:rPr>
          <w:sz w:val="20"/>
          <w:szCs w:val="20"/>
          <w:color w:val="auto"/>
        </w:rPr>
      </w:pPr>
      <w:r>
        <w:rPr>
          <w:rFonts w:ascii="Arial" w:cs="Arial" w:eastAsia="Arial" w:hAnsi="Arial"/>
          <w:sz w:val="18"/>
          <w:szCs w:val="18"/>
          <w:color w:val="auto"/>
        </w:rPr>
        <w:t>We have engaged a third-party services provider to provide the patient support program to manage patient cases and to ensure complete and accurate billing information is provided to the insurers and hospitals, to facilitate reimbursement.</w:t>
      </w:r>
    </w:p>
    <w:p>
      <w:pPr>
        <w:spacing w:after="0" w:line="201" w:lineRule="exact"/>
        <w:rPr>
          <w:sz w:val="20"/>
          <w:szCs w:val="20"/>
          <w:color w:val="auto"/>
        </w:rPr>
      </w:pPr>
    </w:p>
    <w:p>
      <w:pPr>
        <w:jc w:val="both"/>
        <w:ind w:left="80" w:firstLine="240"/>
        <w:spacing w:after="0" w:line="296" w:lineRule="auto"/>
        <w:rPr>
          <w:sz w:val="20"/>
          <w:szCs w:val="20"/>
          <w:color w:val="auto"/>
        </w:rPr>
      </w:pPr>
      <w:r>
        <w:rPr>
          <w:rFonts w:ascii="Arial" w:cs="Arial" w:eastAsia="Arial" w:hAnsi="Arial"/>
          <w:sz w:val="16"/>
          <w:szCs w:val="16"/>
          <w:color w:val="auto"/>
        </w:rPr>
        <w:t>Prior authorization and confirmation of coverage level by the patient’s private insurance plan, hospital or government payer is a prerequisite to the shipment of product to a patient. We recognize product revenues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distributors are recorded at a contracted price, there are typically no forms of variable consideration.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68580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240" w:top="179" w:right="339" w:bottom="1440" w:gutter="0" w:footer="0" w:header="0"/>
        </w:sectPr>
      </w:pPr>
    </w:p>
    <w:bookmarkStart w:id="64" w:name="page65"/>
    <w:bookmarkEnd w:id="6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When we sell MACI the patient is responsible for payment; however, we are typically reimbursed by a third-party insurer or government payer, subject to a patient co-pay amount. Reimbursements from third-party insurers and government payers vary by patient and payer and are based on either contracted rates, publicly available rates or a fee schedule. Net product revenue is recognized net of estimated contractual allowances, which considers historical collection experience from both the payer and patient, denial rates and the terms of our contractual arrangements. We estimate expected collections for these transactions using the portfolio approach. We record a reduction to revenue at the time of sale for the estimate of the amount of consideration that will not be collected. In addition, potential credit risk exposure has been evaluated for our accounts receivable in accordance with ASC 326</w:t>
      </w:r>
      <w:r>
        <w:rPr>
          <w:rFonts w:ascii="Arial" w:cs="Arial" w:eastAsia="Arial" w:hAnsi="Arial"/>
          <w:sz w:val="16"/>
          <w:szCs w:val="16"/>
          <w:i w:val="1"/>
          <w:iCs w:val="1"/>
          <w:color w:val="auto"/>
        </w:rPr>
        <w:t>,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w:t>
      </w:r>
      <w:r>
        <w:rPr>
          <w:rFonts w:ascii="Arial" w:cs="Arial" w:eastAsia="Arial" w:hAnsi="Arial"/>
          <w:sz w:val="16"/>
          <w:szCs w:val="16"/>
          <w:color w:val="auto"/>
        </w:rPr>
        <w:t>. We assess risk and determine a loss percentage by pooling account receivables based on similar risk characteristics. The loss percentage is</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through the use of forecasts that are based on current and historical economic and financial information.</w:t>
      </w:r>
    </w:p>
    <w:p>
      <w:pPr>
        <w:spacing w:after="0" w:line="194"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Changes in estimates of the transaction price are recorded through revenue in the period in which such change occurs. Changes to the estimate of the amount of consideration that will not be collected could have a material impact to the revenue recognized. A 50 basis points change to the estimated uncollectible percentage could result in approximately $0.3 million decrease or increase in the revenue recognized for the year ended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 xml:space="preserve">We determine if an arrangement is a lease at inception,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All operating lease commitments with a lease term greater than 12 months are recognized as right-of-use (“ROU”) assets and liabilities, on a discounted basis on the balance sheet. Leases with an initial term of 12 months or less are not recorded on the balance sheet. We primarily enter into lease agreements for manufacturing and office space, warehouses space, vehicle and computer equipment. The leases have varying terms, some of which may include options to extend. Certain of our lease agreements include lease payments that are adjusted periodically for an index or rate. The leases are initially measured using the present value of the projected payments adjusted for the index or rate in effect at the commencement date. Our lease agreements do not contain any material residual value guarantees or material restrictive covenants.</w:t>
      </w:r>
    </w:p>
    <w:p>
      <w:pPr>
        <w:spacing w:after="0" w:line="219"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ROU assets represent our right to control the use of an explicitly or implicitly identified fixed asset for a period of time and lease liabilities represent our obligation to make lease payments arising from the lease. Control of an underlying asset is conveyed to us if we obtain the rights to direct the use of and to obtain substantially all of the economic benefits from using the underlying asset.</w:t>
      </w:r>
    </w:p>
    <w:p>
      <w:pPr>
        <w:spacing w:after="0" w:line="213" w:lineRule="exact"/>
        <w:rPr>
          <w:sz w:val="20"/>
          <w:szCs w:val="20"/>
          <w:color w:val="auto"/>
        </w:rPr>
      </w:pPr>
    </w:p>
    <w:p>
      <w:pPr>
        <w:jc w:val="both"/>
        <w:ind w:right="20" w:firstLine="240"/>
        <w:spacing w:after="0" w:line="258" w:lineRule="auto"/>
        <w:rPr>
          <w:sz w:val="20"/>
          <w:szCs w:val="20"/>
          <w:color w:val="auto"/>
        </w:rPr>
      </w:pPr>
      <w:r>
        <w:rPr>
          <w:rFonts w:ascii="Arial" w:cs="Arial" w:eastAsia="Arial" w:hAnsi="Arial"/>
          <w:sz w:val="18"/>
          <w:szCs w:val="18"/>
          <w:color w:val="auto"/>
        </w:rPr>
        <w:t>Lease payments included in the measurement of the lease liability are comprised of fixed payments. Our leases contain non-lease components and activities that do not transfer a good or service to us which were not considered to be components of the contract and therefore were not included in the net ROU assets or lease liabilities.</w:t>
      </w:r>
    </w:p>
    <w:p>
      <w:pPr>
        <w:spacing w:after="0" w:line="213"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lease term for all of our leases include the non-cancellable period of the lease plus any additional periods covered by either an option to extend (or not to terminate) the lease that is reasonably certain to exercise, or an option to extend (or not to terminate) the lease controlled by the lessor.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accounting for stock-based compensation requires us to determine the fair value of common stock issued in the form of stock option awards and restricted stock units. The fair value of restricted stock units held by the employees is determined based on the fair value of our common stock on the date of the grant.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management’s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w:t>
      </w:r>
    </w:p>
    <w:p>
      <w:pPr>
        <w:spacing w:after="0" w:line="23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 valuation allowance is recorded if it is more likely than not that a deferred tax asset will not be realized based on the weight of available evidence, both positive and negative. Due to our three-year cumulative loss position and history of operating losses, a full valuation allowance against our net deferred tax assets was considered necessary. We will continue to monitor our cumulative loss position and forecasts and reevaluate the need for a valuation allowance as it could be reversed in future periods.</w:t>
      </w:r>
    </w:p>
    <w:p>
      <w:pPr>
        <w:spacing w:after="0" w:line="18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This summary of significant accounting policies should be read in conjunction with our consolidated financial statements and related notes and this discussion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ind w:right="520" w:firstLine="240"/>
        <w:spacing w:after="0" w:line="333" w:lineRule="auto"/>
        <w:rPr>
          <w:sz w:val="20"/>
          <w:szCs w:val="20"/>
          <w:color w:val="auto"/>
        </w:rPr>
      </w:pPr>
      <w:r>
        <w:rPr>
          <w:rFonts w:ascii="Arial" w:cs="Arial" w:eastAsia="Arial" w:hAnsi="Arial"/>
          <w:sz w:val="16"/>
          <w:szCs w:val="16"/>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4"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As of December 31, 2021, we held marketable debt securities, which are classified as available-for-sale and carried at fair value in the accompanying consolidated balance sheet included in this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$0.4 million and $0.5 million decrease in the fair value of our investment portfolio as of December 31, 2021 and 2020, respectively.</w:t>
      </w:r>
    </w:p>
    <w:p>
      <w:pPr>
        <w:spacing w:after="0" w:line="193" w:lineRule="exact"/>
        <w:rPr>
          <w:sz w:val="20"/>
          <w:szCs w:val="20"/>
          <w:color w:val="auto"/>
        </w:rPr>
      </w:pPr>
    </w:p>
    <w:p>
      <w:pPr>
        <w:jc w:val="both"/>
        <w:ind w:firstLine="240"/>
        <w:spacing w:after="0" w:line="221" w:lineRule="auto"/>
        <w:rPr>
          <w:sz w:val="20"/>
          <w:szCs w:val="20"/>
          <w:color w:val="auto"/>
        </w:rPr>
      </w:pPr>
      <w:r>
        <w:rPr>
          <w:rFonts w:ascii="Arial" w:cs="Arial" w:eastAsia="Arial" w:hAnsi="Arial"/>
          <w:sz w:val="18"/>
          <w:szCs w:val="18"/>
          <w:color w:val="auto"/>
        </w:rPr>
        <w:t>We have evaluated the potential credit risk exposure for our accounts receivable and available-for sale investment securities in accordance with ASC 326</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See Note 3 and Note 6 in the accompanying consolidated financial statements located under Item 8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further discussion.</w:t>
      </w:r>
    </w:p>
    <w:p>
      <w:pPr>
        <w:spacing w:after="0" w:line="202"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We operate in the U.S. only. We are primarily exposed to foreign exchange risk with respect to recognized assets and liabilities due to vendors in countries outside the U.S., which are typically paid in Euro.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Consolidated Financial Statements and Supplementary Data</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73"/>
        </w:trPr>
        <w:tc>
          <w:tcPr>
            <w:tcW w:w="10200" w:type="dxa"/>
            <w:vAlign w:val="bottom"/>
            <w:gridSpan w:val="8"/>
          </w:tcPr>
          <w:p>
            <w:pPr>
              <w:spacing w:after="0" w:line="154" w:lineRule="exact"/>
              <w:rPr>
                <w:rFonts w:ascii="Arial" w:cs="Arial" w:eastAsia="Arial" w:hAnsi="Arial"/>
                <w:sz w:val="17"/>
                <w:szCs w:val="17"/>
                <w:color w:val="0000FF"/>
              </w:rPr>
            </w:pPr>
            <w:hyperlink w:anchor="page67">
              <w:r>
                <w:rPr>
                  <w:rFonts w:ascii="Arial" w:cs="Arial" w:eastAsia="Arial" w:hAnsi="Arial"/>
                  <w:sz w:val="17"/>
                  <w:szCs w:val="17"/>
                  <w:color w:val="0000FF"/>
                </w:rPr>
                <w:t xml:space="preserve">Report of Independent Registered Public Accounting Firm (PCAOB ID </w:t>
              </w:r>
            </w:hyperlink>
            <w:r>
              <w:rPr>
                <w:rFonts w:ascii="Arial" w:cs="Arial" w:eastAsia="Arial" w:hAnsi="Arial"/>
                <w:sz w:val="17"/>
                <w:szCs w:val="17"/>
                <w:color w:val="0E32E1"/>
              </w:rPr>
              <w:t>238</w:t>
            </w:r>
            <w:hyperlink w:anchor="page67">
              <w:r>
                <w:rPr>
                  <w:rFonts w:ascii="Arial" w:cs="Arial" w:eastAsia="Arial" w:hAnsi="Arial"/>
                  <w:sz w:val="17"/>
                  <w:szCs w:val="17"/>
                  <w:u w:val="single" w:color="auto"/>
                  <w:color w:val="0000FF"/>
                </w:rPr>
                <w:t>)</w:t>
              </w:r>
            </w:hyperlink>
          </w:p>
        </w:tc>
        <w:tc>
          <w:tcPr>
            <w:tcW w:w="980" w:type="dxa"/>
            <w:vAlign w:val="bottom"/>
            <w:gridSpan w:val="2"/>
          </w:tcPr>
          <w:p>
            <w:pPr>
              <w:jc w:val="right"/>
              <w:spacing w:after="0" w:line="154" w:lineRule="exact"/>
              <w:rPr>
                <w:rFonts w:ascii="Arial" w:cs="Arial" w:eastAsia="Arial" w:hAnsi="Arial"/>
                <w:sz w:val="17"/>
                <w:szCs w:val="17"/>
                <w:color w:val="0000FF"/>
              </w:rPr>
            </w:pPr>
            <w:hyperlink w:anchor="page67">
              <w:r>
                <w:rPr>
                  <w:rFonts w:ascii="Arial" w:cs="Arial" w:eastAsia="Arial" w:hAnsi="Arial"/>
                  <w:sz w:val="17"/>
                  <w:szCs w:val="17"/>
                  <w:color w:val="0000FF"/>
                </w:rPr>
                <w:t>68</w:t>
              </w:r>
            </w:hyperlink>
          </w:p>
        </w:tc>
        <w:tc>
          <w:tcPr>
            <w:tcW w:w="20" w:type="dxa"/>
            <w:vAlign w:val="bottom"/>
          </w:tcPr>
          <w:p>
            <w:pPr>
              <w:spacing w:after="0"/>
              <w:rPr>
                <w:sz w:val="15"/>
                <w:szCs w:val="15"/>
                <w:color w:val="auto"/>
              </w:rPr>
            </w:pPr>
          </w:p>
        </w:tc>
      </w:tr>
      <w:tr>
        <w:trPr>
          <w:trHeight w:val="27"/>
        </w:trPr>
        <w:tc>
          <w:tcPr>
            <w:tcW w:w="20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000" w:type="dxa"/>
            <w:vAlign w:val="bottom"/>
            <w:gridSpan w:val="2"/>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10200" w:type="dxa"/>
            <w:vAlign w:val="bottom"/>
            <w:gridSpan w:val="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Consolidated Balance Sheets</w:t>
              </w:r>
            </w:hyperlink>
          </w:p>
        </w:tc>
        <w:tc>
          <w:tcPr>
            <w:tcW w:w="980" w:type="dxa"/>
            <w:vAlign w:val="bottom"/>
            <w:gridSpan w:val="2"/>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c>
          <w:tcPr>
            <w:tcW w:w="20" w:type="dxa"/>
            <w:vAlign w:val="bottom"/>
          </w:tcPr>
          <w:p>
            <w:pPr>
              <w:spacing w:after="0"/>
              <w:rPr>
                <w:sz w:val="18"/>
                <w:szCs w:val="18"/>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0200" w:type="dxa"/>
            <w:vAlign w:val="bottom"/>
            <w:gridSpan w:val="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Operations</w:t>
              </w:r>
            </w:hyperlink>
          </w:p>
        </w:tc>
        <w:tc>
          <w:tcPr>
            <w:tcW w:w="98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c>
          <w:tcPr>
            <w:tcW w:w="20" w:type="dxa"/>
            <w:vAlign w:val="bottom"/>
          </w:tcPr>
          <w:p>
            <w:pPr>
              <w:spacing w:after="0"/>
              <w:rPr>
                <w:sz w:val="17"/>
                <w:szCs w:val="17"/>
                <w:color w:val="auto"/>
              </w:rPr>
            </w:pPr>
          </w:p>
        </w:tc>
      </w:tr>
      <w:tr>
        <w:trPr>
          <w:trHeight w:val="20"/>
        </w:trPr>
        <w:tc>
          <w:tcPr>
            <w:tcW w:w="2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200" w:type="dxa"/>
            <w:vAlign w:val="bottom"/>
            <w:gridSpan w:val="6"/>
          </w:tcPr>
          <w:p>
            <w:pPr>
              <w:spacing w:after="0"/>
              <w:rPr>
                <w:rFonts w:ascii="Arial" w:cs="Arial" w:eastAsia="Arial" w:hAnsi="Arial"/>
                <w:sz w:val="18"/>
                <w:szCs w:val="18"/>
                <w:color w:val="0000FF"/>
                <w:w w:val="88"/>
              </w:rPr>
            </w:pPr>
            <w:hyperlink w:anchor="page71">
              <w:r>
                <w:rPr>
                  <w:rFonts w:ascii="Arial" w:cs="Arial" w:eastAsia="Arial" w:hAnsi="Arial"/>
                  <w:sz w:val="18"/>
                  <w:szCs w:val="18"/>
                  <w:color w:val="0000FF"/>
                  <w:w w:val="88"/>
                </w:rPr>
                <w:t>Consolidated Statements of Comprehensive (Loss) Income</w:t>
              </w:r>
            </w:hyperlink>
          </w:p>
        </w:tc>
        <w:tc>
          <w:tcPr>
            <w:tcW w:w="6000" w:type="dxa"/>
            <w:vAlign w:val="bottom"/>
            <w:gridSpan w:val="2"/>
          </w:tcPr>
          <w:p>
            <w:pPr>
              <w:spacing w:after="0"/>
              <w:rPr>
                <w:sz w:val="17"/>
                <w:szCs w:val="17"/>
                <w:color w:val="auto"/>
              </w:rPr>
            </w:pPr>
          </w:p>
        </w:tc>
        <w:tc>
          <w:tcPr>
            <w:tcW w:w="980" w:type="dxa"/>
            <w:vAlign w:val="bottom"/>
            <w:gridSpan w:val="2"/>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20" w:type="dxa"/>
            <w:vAlign w:val="bottom"/>
          </w:tcPr>
          <w:p>
            <w:pPr>
              <w:spacing w:after="0"/>
              <w:rPr>
                <w:sz w:val="17"/>
                <w:szCs w:val="17"/>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3520" w:type="dxa"/>
            <w:vAlign w:val="bottom"/>
            <w:gridSpan w:val="5"/>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Consolidated Statements of Shareholders’ Equity</w:t>
              </w:r>
            </w:hyperlink>
          </w:p>
        </w:tc>
        <w:tc>
          <w:tcPr>
            <w:tcW w:w="680" w:type="dxa"/>
            <w:vAlign w:val="bottom"/>
          </w:tcPr>
          <w:p>
            <w:pPr>
              <w:spacing w:after="0"/>
              <w:rPr>
                <w:sz w:val="17"/>
                <w:szCs w:val="17"/>
                <w:color w:val="auto"/>
              </w:rPr>
            </w:pPr>
          </w:p>
        </w:tc>
        <w:tc>
          <w:tcPr>
            <w:tcW w:w="6000" w:type="dxa"/>
            <w:vAlign w:val="bottom"/>
            <w:gridSpan w:val="2"/>
          </w:tcPr>
          <w:p>
            <w:pPr>
              <w:spacing w:after="0"/>
              <w:rPr>
                <w:sz w:val="17"/>
                <w:szCs w:val="17"/>
                <w:color w:val="auto"/>
              </w:rPr>
            </w:pPr>
          </w:p>
        </w:tc>
        <w:tc>
          <w:tcPr>
            <w:tcW w:w="980" w:type="dxa"/>
            <w:vAlign w:val="bottom"/>
            <w:gridSpan w:val="2"/>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20" w:type="dxa"/>
            <w:vAlign w:val="bottom"/>
          </w:tcPr>
          <w:p>
            <w:pPr>
              <w:spacing w:after="0"/>
              <w:rPr>
                <w:sz w:val="17"/>
                <w:szCs w:val="17"/>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840" w:type="dxa"/>
            <w:vAlign w:val="bottom"/>
            <w:gridSpan w:val="3"/>
          </w:tcPr>
          <w:p>
            <w:pPr>
              <w:spacing w:after="0"/>
              <w:rPr>
                <w:rFonts w:ascii="Arial" w:cs="Arial" w:eastAsia="Arial" w:hAnsi="Arial"/>
                <w:sz w:val="18"/>
                <w:szCs w:val="18"/>
                <w:color w:val="0000FF"/>
                <w:w w:val="88"/>
              </w:rPr>
            </w:pPr>
            <w:hyperlink w:anchor="page73">
              <w:r>
                <w:rPr>
                  <w:rFonts w:ascii="Arial" w:cs="Arial" w:eastAsia="Arial" w:hAnsi="Arial"/>
                  <w:sz w:val="18"/>
                  <w:szCs w:val="18"/>
                  <w:color w:val="0000FF"/>
                  <w:w w:val="88"/>
                </w:rPr>
                <w:t>Consolidated Statements of Cash Flows</w:t>
              </w:r>
            </w:hyperlink>
          </w:p>
        </w:tc>
        <w:tc>
          <w:tcPr>
            <w:tcW w:w="680" w:type="dxa"/>
            <w:vAlign w:val="bottom"/>
            <w:gridSpan w:val="2"/>
          </w:tcPr>
          <w:p>
            <w:pPr>
              <w:spacing w:after="0"/>
              <w:rPr>
                <w:sz w:val="17"/>
                <w:szCs w:val="17"/>
                <w:color w:val="auto"/>
              </w:rPr>
            </w:pPr>
          </w:p>
        </w:tc>
        <w:tc>
          <w:tcPr>
            <w:tcW w:w="6680" w:type="dxa"/>
            <w:vAlign w:val="bottom"/>
            <w:gridSpan w:val="3"/>
          </w:tcPr>
          <w:p>
            <w:pPr>
              <w:spacing w:after="0"/>
              <w:rPr>
                <w:sz w:val="17"/>
                <w:szCs w:val="17"/>
                <w:color w:val="auto"/>
              </w:rPr>
            </w:pPr>
          </w:p>
        </w:tc>
        <w:tc>
          <w:tcPr>
            <w:tcW w:w="980" w:type="dxa"/>
            <w:vAlign w:val="bottom"/>
            <w:gridSpan w:val="2"/>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74</w:t>
              </w:r>
            </w:hyperlink>
          </w:p>
        </w:tc>
        <w:tc>
          <w:tcPr>
            <w:tcW w:w="20" w:type="dxa"/>
            <w:vAlign w:val="bottom"/>
          </w:tcPr>
          <w:p>
            <w:pPr>
              <w:spacing w:after="0"/>
              <w:rPr>
                <w:sz w:val="17"/>
                <w:szCs w:val="17"/>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3120" w:type="dxa"/>
            <w:vAlign w:val="bottom"/>
            <w:gridSpan w:val="4"/>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Notes to Consolidated Financial Statements</w:t>
              </w:r>
            </w:hyperlink>
          </w:p>
        </w:tc>
        <w:tc>
          <w:tcPr>
            <w:tcW w:w="7080" w:type="dxa"/>
            <w:vAlign w:val="bottom"/>
            <w:gridSpan w:val="4"/>
          </w:tcPr>
          <w:p>
            <w:pPr>
              <w:spacing w:after="0"/>
              <w:rPr>
                <w:sz w:val="17"/>
                <w:szCs w:val="17"/>
                <w:color w:val="auto"/>
              </w:rPr>
            </w:pPr>
          </w:p>
        </w:tc>
        <w:tc>
          <w:tcPr>
            <w:tcW w:w="98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c>
          <w:tcPr>
            <w:tcW w:w="20" w:type="dxa"/>
            <w:vAlign w:val="bottom"/>
          </w:tcPr>
          <w:p>
            <w:pPr>
              <w:spacing w:after="0"/>
              <w:rPr>
                <w:sz w:val="17"/>
                <w:szCs w:val="17"/>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7" w:name="page68"/>
    <w:bookmarkEnd w:id="6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Vericel Corporation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3"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We have audited the accompanying consolidated balance sheets of Vericel Corporation and its subsidiaries (the “Company”) as of December 31, 2021 and 2020, and the related consolidated statements of operations, of comprehensive (loss) income, of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7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providing a separate opinion on the critical audit matter or on the accounts or disclosures to which it relates</w:t>
      </w:r>
      <w:r>
        <w:rPr>
          <w:rFonts w:ascii="Arial" w:cs="Arial" w:eastAsia="Arial" w:hAnsi="Arial"/>
          <w:sz w:val="21"/>
          <w:szCs w:val="2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allowances related to MACI sales subject to third party reimbursement</w:t>
      </w: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described in Note 3 to the consolidated financial statements, when the Company sells MACI to patients, the Company records a reduction of revenue at the time of sale for its estimate of the amount of consideration that will not be collected. As of December 31, 2021, the allowance for this uncollectible consideration was $7.0 million. 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w:t>
      </w:r>
    </w:p>
    <w:p>
      <w:pPr>
        <w:spacing w:after="0" w:line="19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principal considerations for our determination that performing procedures relating to contractual allowances related to MACI sales subject to third party reimbursement is a critical audit matter are the significant judgment by management due to the measurement uncertainty involved in developing the estimated contractual allowances, as these estimates are based on assumptions developed using historical collection experience from the payer and current contractual arrangement terms, which in turn led to a high degree of auditor judgment, effort and subjectivity in applying procedures to these assumptions and evaluating audit evidence related to these assumptions.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sales subject to third party reimbursement and over the assumptions used to estimate the contractual allowance. These procedures also included, among others, (i) testing management’s process and methodology for determining the contractual allowances; (ii) performing an analysis of the past collection history by payer; and (iii) assessing the reasonableness of management’s contractual allowances. Evaluating the reasonableness of management’s contractual allowances involved assessing management’s ability to reasonably estimate the contractual allowance by performing a comparison of the estimated transaction price to actual consideration received, contracted rates, publicly available rates or government fee schedules.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79" w:right="419" w:bottom="1440" w:gutter="0" w:footer="0" w:header="0"/>
        </w:sectPr>
      </w:pPr>
    </w:p>
    <w:bookmarkStart w:id="69" w:name="page70"/>
    <w:bookmarkEnd w:id="6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42,187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for doubtful accounts of $40 and $143, respectively)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34,504</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158,462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123,560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24,099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205,608</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11,293</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48,789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71,348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9"/>
              </w:rPr>
              <w:t>Common stock, no par value; shares authorized — 75,000; shares issued and outstanding — 46,880 and 45,804,</w:t>
            </w: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553,902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510,061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(375,815)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134,260</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70" w:name="page71"/>
    <w:bookmarkEnd w:id="7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1"/>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117,850</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117,850</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37,571</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80,279</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61,139</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91,530</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tcPr>
          <w:p>
            <w:pPr>
              <w:ind w:left="260"/>
              <w:spacing w:after="0" w:line="201"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44,180</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71" w:name="page72"/>
    <w:bookmarkEnd w:id="7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5"/>
        </w:trPr>
        <w:tc>
          <w:tcPr>
            <w:tcW w:w="5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12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r>
      <w:tr>
        <w:trPr>
          <w:trHeight w:val="227"/>
        </w:trPr>
        <w:tc>
          <w:tcPr>
            <w:tcW w:w="5740" w:type="dxa"/>
            <w:vAlign w:val="bottom"/>
          </w:tcPr>
          <w:p>
            <w:pPr>
              <w:ind w:left="140"/>
              <w:spacing w:after="0"/>
              <w:rPr>
                <w:sz w:val="20"/>
                <w:szCs w:val="20"/>
                <w:color w:val="auto"/>
              </w:rPr>
            </w:pPr>
            <w:r>
              <w:rPr>
                <w:rFonts w:ascii="Arial" w:cs="Arial" w:eastAsia="Arial" w:hAnsi="Arial"/>
                <w:sz w:val="18"/>
                <w:szCs w:val="18"/>
                <w:color w:val="auto"/>
              </w:rPr>
              <w:t>Other comprehensive (loss) income:</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investments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0"/>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12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7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460" w:type="dxa"/>
            <w:vAlign w:val="bottom"/>
          </w:tcPr>
          <w:p>
            <w:pPr>
              <w:spacing w:after="0"/>
              <w:rPr>
                <w:sz w:val="16"/>
                <w:szCs w:val="16"/>
                <w:color w:val="auto"/>
              </w:rPr>
            </w:pPr>
          </w:p>
        </w:tc>
        <w:tc>
          <w:tcPr>
            <w:tcW w:w="17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49"/>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100" w:type="dxa"/>
            <w:vAlign w:val="bottom"/>
          </w:tcPr>
          <w:p>
            <w:pPr>
              <w:jc w:val="center"/>
              <w:ind w:right="8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471,180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102,231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Net loss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(9,665)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13,179</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4,354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4,354</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under the 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Exercise of warrants resulting in issuance of common stock</w:t>
            </w: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on investments</w:t>
            </w: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489,749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(378,679)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111,091</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13,843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13,843</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Shares issued under the Employee Stock Purchase Plan</w:t>
            </w:r>
          </w:p>
        </w:tc>
        <w:tc>
          <w:tcPr>
            <w:tcW w:w="66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stock for restricted stock unit vesting</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Restricted stock withheld for employee tax remittance</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 on investments</w:t>
            </w: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510,061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(375,815)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134,260</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(7,471)</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34,322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34,322</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Shares issued under the Employee Stock Purchase Plan</w:t>
            </w: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stock for restricted stock unit vesting</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460" w:type="dxa"/>
            <w:vAlign w:val="bottom"/>
          </w:tcPr>
          <w:p>
            <w:pPr>
              <w:ind w:left="180"/>
              <w:spacing w:after="0"/>
              <w:rPr>
                <w:sz w:val="20"/>
                <w:szCs w:val="20"/>
                <w:color w:val="auto"/>
              </w:rPr>
            </w:pPr>
            <w:r>
              <w:rPr>
                <w:rFonts w:ascii="Arial" w:cs="Arial" w:eastAsia="Arial" w:hAnsi="Arial"/>
                <w:sz w:val="14"/>
                <w:szCs w:val="14"/>
                <w:color w:val="auto"/>
              </w:rPr>
              <w:t>Restricted stock withheld for employee tax remittance</w:t>
            </w: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 on investments</w:t>
            </w: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46,880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553,902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(383,286)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170,462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40" w:top="179" w:right="399" w:bottom="1440" w:gutter="0" w:footer="0" w:header="0"/>
        </w:sectPr>
      </w:pPr>
    </w:p>
    <w:bookmarkStart w:id="73" w:name="page74"/>
    <w:bookmarkEnd w:id="7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5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5"/>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(9,665)</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flows from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2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27"/>
        </w:trPr>
        <w:tc>
          <w:tcPr>
            <w:tcW w:w="7140" w:type="dxa"/>
            <w:vAlign w:val="bottom"/>
          </w:tcPr>
          <w:p>
            <w:pPr>
              <w:ind w:left="180"/>
              <w:spacing w:after="0"/>
              <w:rPr>
                <w:sz w:val="20"/>
                <w:szCs w:val="20"/>
                <w:color w:val="auto"/>
              </w:rPr>
            </w:pPr>
            <w:r>
              <w:rPr>
                <w:rFonts w:ascii="Arial" w:cs="Arial" w:eastAsia="Arial" w:hAnsi="Arial"/>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cost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r>
      <w:tr>
        <w:trPr>
          <w:trHeight w:val="227"/>
        </w:trPr>
        <w:tc>
          <w:tcPr>
            <w:tcW w:w="71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(3,258)</w:t>
            </w:r>
          </w:p>
        </w:tc>
      </w:tr>
      <w:tr>
        <w:trPr>
          <w:trHeight w:val="22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r>
      <w:tr>
        <w:trPr>
          <w:trHeight w:val="227"/>
        </w:trPr>
        <w:tc>
          <w:tcPr>
            <w:tcW w:w="714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7"/>
        </w:trPr>
        <w:tc>
          <w:tcPr>
            <w:tcW w:w="71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27"/>
        </w:trPr>
        <w:tc>
          <w:tcPr>
            <w:tcW w:w="7140" w:type="dxa"/>
            <w:vAlign w:val="bottom"/>
          </w:tcPr>
          <w:p>
            <w:pPr>
              <w:ind w:left="140"/>
              <w:spacing w:after="0"/>
              <w:rPr>
                <w:sz w:val="20"/>
                <w:szCs w:val="20"/>
                <w:color w:val="auto"/>
              </w:rPr>
            </w:pPr>
            <w:r>
              <w:rPr>
                <w:rFonts w:ascii="Arial" w:cs="Arial" w:eastAsia="Arial" w:hAnsi="Arial"/>
                <w:sz w:val="18"/>
                <w:szCs w:val="18"/>
                <w:color w:val="auto"/>
              </w:rPr>
              <w:t>Other non-current assets and liabilities, net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0"/>
        </w:trPr>
        <w:tc>
          <w:tcPr>
            <w:tcW w:w="71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27"/>
        </w:trPr>
        <w:tc>
          <w:tcPr>
            <w:tcW w:w="71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(72,346)</w:t>
            </w:r>
          </w:p>
        </w:tc>
      </w:tr>
      <w:tr>
        <w:trPr>
          <w:trHeight w:val="227"/>
        </w:trPr>
        <w:tc>
          <w:tcPr>
            <w:tcW w:w="7140" w:type="dxa"/>
            <w:vAlign w:val="bottom"/>
          </w:tcPr>
          <w:p>
            <w:pPr>
              <w:ind w:left="14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85,577</w:t>
            </w:r>
          </w:p>
        </w:tc>
      </w:tr>
      <w:tr>
        <w:trPr>
          <w:trHeight w:val="22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Expenditures for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20"/>
        </w:trPr>
        <w:tc>
          <w:tcPr>
            <w:tcW w:w="7140" w:type="dxa"/>
            <w:vAlign w:val="bottom"/>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10,615</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Arial" w:cs="Arial" w:eastAsia="Arial" w:hAnsi="Arial"/>
                <w:sz w:val="18"/>
                <w:szCs w:val="18"/>
                <w:color w:val="auto"/>
              </w:rPr>
              <w:t>Net proceeds from common stock issuance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5,286</w:t>
            </w:r>
          </w:p>
        </w:tc>
      </w:tr>
      <w:tr>
        <w:trPr>
          <w:trHeight w:val="227"/>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Payments on employee’s behalf for taxes related to vesting of restricted stock unit awards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0"/>
        </w:trPr>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r>
      <w:tr>
        <w:trPr>
          <w:trHeight w:val="227"/>
        </w:trPr>
        <w:tc>
          <w:tcPr>
            <w:tcW w:w="71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8,692</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w:t>
            </w:r>
          </w:p>
        </w:tc>
      </w:tr>
      <w:tr>
        <w:trPr>
          <w:trHeight w:val="220"/>
        </w:trPr>
        <w:tc>
          <w:tcPr>
            <w:tcW w:w="71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26,978</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79" w:right="499" w:bottom="1440" w:gutter="0" w:footer="0" w:header="0"/>
        </w:sectPr>
      </w:pPr>
    </w:p>
    <w:bookmarkStart w:id="74" w:name="page75"/>
    <w:bookmarkEnd w:id="7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940" w:type="dxa"/>
            <w:vAlign w:val="bottom"/>
          </w:tcPr>
          <w:p>
            <w:pPr>
              <w:ind w:left="20"/>
              <w:spacing w:after="0"/>
              <w:rPr>
                <w:sz w:val="20"/>
                <w:szCs w:val="20"/>
                <w:color w:val="auto"/>
              </w:rPr>
            </w:pPr>
            <w:r>
              <w:rPr>
                <w:rFonts w:ascii="Arial" w:cs="Arial" w:eastAsia="Arial" w:hAnsi="Arial"/>
                <w:sz w:val="18"/>
                <w:szCs w:val="18"/>
                <w:color w:val="auto"/>
              </w:rPr>
              <w:t>Non-cash information:</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 exercised for common stock</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tcPr>
          <w:p>
            <w:pPr>
              <w:ind w:left="140"/>
              <w:spacing w:after="0"/>
              <w:rPr>
                <w:sz w:val="20"/>
                <w:szCs w:val="20"/>
                <w:color w:val="auto"/>
              </w:rPr>
            </w:pPr>
            <w:r>
              <w:rPr>
                <w:rFonts w:ascii="Arial" w:cs="Arial" w:eastAsia="Arial" w:hAnsi="Arial"/>
                <w:sz w:val="18"/>
                <w:szCs w:val="18"/>
                <w:color w:val="auto"/>
              </w:rPr>
              <w:t>Right-of-use asset and lease liability recognized</w:t>
            </w:r>
          </w:p>
        </w:tc>
        <w:tc>
          <w:tcPr>
            <w:tcW w:w="7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29,573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and equipment included in accounts payable</w:t>
            </w:r>
          </w:p>
        </w:tc>
        <w:tc>
          <w:tcPr>
            <w:tcW w:w="7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tcPr>
          <w:p>
            <w:pPr>
              <w:ind w:left="140"/>
              <w:spacing w:after="0"/>
              <w:rPr>
                <w:sz w:val="20"/>
                <w:szCs w:val="20"/>
                <w:color w:val="auto"/>
              </w:rPr>
            </w:pPr>
            <w:r>
              <w:rPr>
                <w:rFonts w:ascii="Arial" w:cs="Arial" w:eastAsia="Arial" w:hAnsi="Arial"/>
                <w:sz w:val="18"/>
                <w:szCs w:val="18"/>
                <w:color w:val="auto"/>
                <w:w w:val="91"/>
              </w:rPr>
              <w:t>Restricted stock held for employee tax remittance included in accounts payable</w:t>
            </w:r>
          </w:p>
        </w:tc>
        <w:tc>
          <w:tcPr>
            <w:tcW w:w="7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information:</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paid</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81"/>
        </w:trPr>
        <w:tc>
          <w:tcPr>
            <w:tcW w:w="5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3"/>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0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amounts within the consolidated balance sheets:</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59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spacing w:after="0"/>
              <w:rPr>
                <w:sz w:val="19"/>
                <w:szCs w:val="19"/>
                <w:color w:val="auto"/>
              </w:rPr>
            </w:pPr>
          </w:p>
        </w:tc>
        <w:tc>
          <w:tcPr>
            <w:tcW w:w="480" w:type="dxa"/>
            <w:vAlign w:val="bottom"/>
            <w:gridSpan w:val="3"/>
          </w:tcPr>
          <w:p>
            <w:pPr>
              <w:jc w:val="right"/>
              <w:ind w:right="1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68,330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33,620</w:t>
            </w:r>
          </w:p>
        </w:tc>
        <w:tc>
          <w:tcPr>
            <w:tcW w:w="38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26,889</w:t>
            </w:r>
          </w:p>
        </w:tc>
      </w:tr>
      <w:tr>
        <w:trPr>
          <w:trHeight w:val="227"/>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 at end of period</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33,831</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26,978</w:t>
            </w:r>
          </w:p>
        </w:tc>
      </w:tr>
      <w:tr>
        <w:trPr>
          <w:trHeight w:val="20"/>
        </w:trPr>
        <w:tc>
          <w:tcPr>
            <w:tcW w:w="5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4"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7"/>
          <w:szCs w:val="17"/>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U.S., MACI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(autologous cultured chondrocytes on porcine collagen membrane) and Epicel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(cultured epidermal autografts).</w:t>
      </w:r>
    </w:p>
    <w:p>
      <w:pPr>
        <w:spacing w:after="0" w:line="129" w:lineRule="exact"/>
        <w:rPr>
          <w:sz w:val="20"/>
          <w:szCs w:val="20"/>
          <w:color w:val="auto"/>
        </w:rPr>
      </w:pPr>
    </w:p>
    <w:p>
      <w:pPr>
        <w:jc w:val="both"/>
        <w:ind w:firstLine="240"/>
        <w:spacing w:after="0"/>
        <w:rPr>
          <w:sz w:val="20"/>
          <w:szCs w:val="20"/>
          <w:color w:val="auto"/>
        </w:rPr>
      </w:pPr>
      <w:r>
        <w:rPr>
          <w:rFonts w:ascii="Arial" w:cs="Arial" w:eastAsia="Arial" w:hAnsi="Arial"/>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Arial" w:cs="Arial" w:eastAsia="Arial" w:hAnsi="Arial"/>
          <w:sz w:val="23"/>
          <w:szCs w:val="23"/>
          <w:color w:val="auto"/>
          <w:vertAlign w:val="superscript"/>
        </w:rPr>
        <w:t>®</w:t>
      </w:r>
      <w:r>
        <w:rPr>
          <w:rFonts w:ascii="Arial" w:cs="Arial" w:eastAsia="Arial" w:hAnsi="Arial"/>
          <w:sz w:val="18"/>
          <w:szCs w:val="18"/>
          <w:color w:val="auto"/>
        </w:rPr>
        <w:t>, a registration-stage biological orphan product for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w:t>
      </w:r>
    </w:p>
    <w:p>
      <w:pPr>
        <w:spacing w:after="0" w:line="24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ongoing pandemic caused by the spread of a novel strain of coronavirus (“COVID-19”) has created significant disruptions to the U.S. and global economy and has contributed to significant volatility in financial markets. 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212"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Notwithstanding being an essential business, the Company’s business and operations at times have been adversely impacted by the ongoing effects of the COVID-19 pandemic. For example, as a result of periodic restrictions placed on the performance of elective surgical procedures, Vericel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During the summer of 2021, however, the pandemic’s direct and ancillary effects again began to cause some disruption to our MACI business. Following the cessation of COVID-19-related travel restrictions in many parts of the U.S. and the availability of vaccinations in May and June 2021, some MACI patients postponed or delayed treatment – opting instead to take vacation and/or travel. Further, surges of new COVID-19 cases during the second half of 2021 caused by the spread of the “Delta” and “Omicron” variants again caused disruptions to health care networks including restrictions on the performance of elective surgical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Although hospitals are now better prepared for subsequent surges in COVID-19 patients, the risk remains that regional or local restrictions could again be placed on the performance of elective surgical procedures if the number of COVID-19 infections in the U.S. were to continue to rise, or if new or existing COVID-19 variants render current vaccine treatments ineffective.</w:t>
      </w:r>
    </w:p>
    <w:p>
      <w:pPr>
        <w:spacing w:after="0" w:line="21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Because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At the outset of the pandemic, the Company put in place a comprehensive workplace protection plan, which instituted protective measures in response to COVID-19. Vericel’s workplace protection plan has closely followed guidance issued by the Centers for Disease Control and Prevention (“CDC”) and has complied with applicable federal and state law. To date, Vericel has been successful in sustaining its operations and providing MACI and Epicel to patients in need. The Company continues to review its policies and procedures regularly, including its workplace protection plan, as the pandemic evolves and the Company may take additional actions to the extent required.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222222"/>
        </w:rPr>
        <w:t xml:space="preserve">The accompanying consolidated financial statements have been prepared on a basis which assumes that the Company will continue as a going concern and contemplates the realization of assets and the satisfaction of liabilities and commitments in the normal course of business. As of December 31, 2021, the Company had an accumulated deficit of $383.3 million and had a net loss of $7.5 million for the year ended December 31, 2021. The Company had cash and cash equivalents of $68.3 million and investments of $60.8 million as of December 31, 2021. The Company expects that cash from the sales of its products and existing cash, cash equivalents and investments will be sufficient </w:t>
      </w:r>
      <w:r>
        <w:rPr>
          <w:rFonts w:ascii="Arial" w:cs="Arial" w:eastAsia="Arial" w:hAnsi="Arial"/>
          <w:sz w:val="16"/>
          <w:szCs w:val="16"/>
          <w:color w:val="000000"/>
        </w:rPr>
        <w:t>to support the Company’s current operations through at least 12 months from the</w:t>
      </w:r>
      <w:r>
        <w:rPr>
          <w:rFonts w:ascii="Arial" w:cs="Arial" w:eastAsia="Arial" w:hAnsi="Arial"/>
          <w:sz w:val="16"/>
          <w:szCs w:val="16"/>
          <w:color w:val="222222"/>
        </w:rPr>
        <w:t xml:space="preserve"> </w:t>
      </w:r>
      <w:r>
        <w:rPr>
          <w:rFonts w:ascii="Arial" w:cs="Arial" w:eastAsia="Arial" w:hAnsi="Arial"/>
          <w:sz w:val="16"/>
          <w:szCs w:val="16"/>
          <w:color w:val="000000"/>
        </w:rPr>
        <w:t>issuance of these consolidated financial statements. The effects of the COVID-19 pandemic continue to evolve, however. To the extent the U.S. experiences a continued worsening in COVID-19 infections or the emergence of additional virus variants that result in more serious disease or limit the effectiveness of existing vaccines, subsequent healthcare measures – to include the postponement or cessation of elective and other surgical procedures – may cause the Company to experience a reduction in business and resulting revenue. This, consequently, may result in irrecoverable losses of customers and significantly impact long-term liquidity, requiring the Company to engage in layoffs, furloughs and/or reductions in salaries. The Company also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247"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accompanying consolidated financial statements have been prepared in accordance with U.S. GAAP. The consolidated financial statements include the accounts of the Company and its wholly-owned subsidiaries. All intercompany transactions and accounts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0"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The Company is monitoring the potential impact of the ongoing COVID-19 pandemic on its business and the consolidated financial statements. The more significant estimates reflected in the Company’s consolidated financial statements include, but are not limited to, certain judgments regarding revenue recognition, inventory valuation, stock option valuation, deferred tax assets and liabilities and accrued expenses. The Company is not aware of any specific event or circumstance that would require an update to its estimates or judgments reflected in these consolidated financial statements or a revision of the carrying value of its assets or liabilities as of the issuance of these consolidated financial statements. These estimates may change as new events occur and additional information is obtained. Actual results could materially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47" w:lineRule="exact"/>
        <w:rPr>
          <w:sz w:val="20"/>
          <w:szCs w:val="20"/>
          <w:color w:val="auto"/>
        </w:rPr>
      </w:pPr>
    </w:p>
    <w:p>
      <w:pPr>
        <w:jc w:val="both"/>
        <w:ind w:right="20" w:firstLine="240"/>
        <w:spacing w:after="0" w:line="333" w:lineRule="auto"/>
        <w:rPr>
          <w:sz w:val="20"/>
          <w:szCs w:val="20"/>
          <w:color w:val="auto"/>
        </w:rPr>
      </w:pPr>
      <w:r>
        <w:rPr>
          <w:rFonts w:ascii="Arial" w:cs="Arial" w:eastAsia="Arial" w:hAnsi="Arial"/>
          <w:sz w:val="16"/>
          <w:szCs w:val="16"/>
          <w:color w:val="auto"/>
        </w:rPr>
        <w:t>Cash equivalents consist of short-term, highly liquid investments with original maturities of three months or less from the date of purchase and consist primarily of demand deposits, money market funds, overnight repurchase agreements and short duration agency bonds and commercial paper.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Amounts included in restricted cash represent those required to be set aside to meet contractual terms of a lease agreement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4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Investments classified as short-term have maturities of less than one year. Investments classified as long-term are those that: (i) have a maturity of greater than one year, and (ii) the Company does not intend to liquidate within the next twelve months, although these funds are available for use and, therefore, are classified as available-for-sale. The Company’s investment strategy is to buy short-duration marketable securities with a high credit rating. As of December 31, 2021 and 2020, all marketable securities held by the Company had remaining contractual maturities of three years or less.</w:t>
      </w:r>
    </w:p>
    <w:p>
      <w:pPr>
        <w:spacing w:after="0" w:line="186"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Unrealized gains are included as a component of accumulated other comprehensive income in the consolidated balance sheets and consolidated statements of shareholders’ equity and a component of total comprehensive (loss) income in the consolidated statements of comprehensive (loss) income, until realized. Unrealized losses are evaluated for impairment under ASC 326</w:t>
      </w:r>
      <w:r>
        <w:rPr>
          <w:rFonts w:ascii="Arial" w:cs="Arial" w:eastAsia="Arial" w:hAnsi="Arial"/>
          <w:sz w:val="17"/>
          <w:szCs w:val="17"/>
          <w:i w:val="1"/>
          <w:iCs w:val="1"/>
          <w:color w:val="auto"/>
        </w:rPr>
        <w:t>, Financial Instruments - Credit Losses</w:t>
      </w:r>
      <w:r>
        <w:rPr>
          <w:rFonts w:ascii="Arial" w:cs="Arial" w:eastAsia="Arial" w:hAnsi="Arial"/>
          <w:sz w:val="17"/>
          <w:szCs w:val="17"/>
          <w:color w:val="auto"/>
        </w:rPr>
        <w:t xml:space="preserve"> (“ASC 326”), to determine if the impairment is credit-related or non-credit-related. Credit-related impairment is recognized as an allowance on the balance sheet with a corresponding adjustment to earnings, and non-credit-related impairment is recognized in other comprehensive (loss) income, net of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4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The Company determines if an arrangement is a lease at inception,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All operating lease commitments with a lease term greater than 12 months are recognized as right-of-use assets and liabilities, on a discounted basis on the balance sheet. Leases with an initial term of 12 months or less are not recorded on the balance sheet. Certain of the Company’s lease agreements include lease payments that are adjusted periodically for an index or rate. The leases are initially measured using the present value of the projected payments adjusted for the index or rate in effect at the commencement date. In addition to rent, the leases may require the Company to pay additional amounts for taxes, insurance, maintenance and other expenses, which do not transfer a good or service to the Company and are generally referred to as non-lease components.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The Company’s lease agreements do not contain any material residual value guarantees or material restrictive covenants.</w:t>
      </w:r>
    </w:p>
    <w:p>
      <w:pPr>
        <w:spacing w:after="0" w:line="212"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 Company has options to renew lease terms for facilities and other assets. Some leases contain clauses for renewal at the Company’s option with renewal terms that generally extend the lease term from 1 to 5 years. The exercise of lease renewal options is generally at the Company’s sole discretion. The Company evaluates renewal and termination options at the lease commencement date to determine if it is reasonably certain to exercise the option on the basis of economic factors. For certain leases, the Company’s exercise of the renewal option was determined to be probable and the renewal period was accordingly included in the lease term and related calculations. Certain lease agreements contain options to purchase the leased property and options to terminate the lease. A portfolio approach is applied to certain lease contracts with similar characteristics.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0"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writes down obsolete or other unmarketable inventory to its estimated net realizable value. If the actual net realizable value is less than that estimated by the Company,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0"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 Potential credit risk exposure has been evaluated for the Company’s accounts receivable in accordance with ASC 326</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assesses risk and determines a loss percentage by pooling account receivables based on similar risk characteristics. The loss percentage is calculated through the use of forecasts that are based on current and historical economic and financial information.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Property and equipment are initially measured and recognized at acquisition cost, including any directly attributable cost of preparing the asset for its intended use. After initial measurement, property and equipment are carried at cost less accumulated depreciation and impairment. Repair and maintenance costs of property and equipment are expensed as incurred.</w:t>
      </w:r>
    </w:p>
    <w:p>
      <w:pPr>
        <w:spacing w:after="0" w:line="2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depreciable value of property and equipment is depreciated on a straight-line basis over the useful life of the asset. The useful life of an asset is usually equivalent to its economic life. The useful lives of property and equipment are as follows:</w:t>
      </w:r>
    </w:p>
    <w:p>
      <w:pPr>
        <w:spacing w:after="0" w:line="175" w:lineRule="exact"/>
        <w:rPr>
          <w:sz w:val="20"/>
          <w:szCs w:val="20"/>
          <w:color w:val="auto"/>
        </w:rPr>
      </w:pPr>
    </w:p>
    <w:p>
      <w:pPr>
        <w:ind w:left="960" w:hanging="313"/>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Machinery and Equipment: 5 years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Furniture, fixtures, and office equipment: 3 to 5 years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Computer equipment and software: 3 years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10 years</w:t>
      </w:r>
    </w:p>
    <w:p>
      <w:pPr>
        <w:spacing w:after="0" w:line="20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247"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 xml:space="preserve">The Company recognizes product revenue from sales to a customer (whether a distributor, or hospital ) following the five step model in Accounting Standards Codification 606, </w:t>
      </w:r>
      <w:r>
        <w:rPr>
          <w:rFonts w:ascii="Arial" w:cs="Arial" w:eastAsia="Arial" w:hAnsi="Arial"/>
          <w:sz w:val="17"/>
          <w:szCs w:val="17"/>
          <w:i w:val="1"/>
          <w:iCs w:val="1"/>
          <w:color w:val="auto"/>
        </w:rPr>
        <w:t>Revenue Recognition (“</w:t>
      </w:r>
      <w:r>
        <w:rPr>
          <w:rFonts w:ascii="Arial" w:cs="Arial" w:eastAsia="Arial" w:hAnsi="Arial"/>
          <w:sz w:val="17"/>
          <w:szCs w:val="17"/>
          <w:color w:val="auto"/>
        </w:rPr>
        <w:t>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kits, Epicel or NexoBrid; however, in certain limited cases the Company will accept a product return if a surgery is canceled. Revenue is not recognized in certain canceled cases.</w:t>
      </w:r>
    </w:p>
    <w:p>
      <w:pPr>
        <w:spacing w:after="0" w:line="20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For MACI, MACI kits and Epicel there are no variable pricing arrangements related to warranties or rebates offered to customers. The majority of orders are due within 60 to 90 days of delivery. Shipping and handling fees are included as a component of revenue. The Company recognizes any commission fees as an expense when incurred. These fees are included in selling, general, and administrative expenses. See Note 3, “Revenue” for further discussion on revenues.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0"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Research and development expenses are expensed as incurred. These expenditures relate to the development of new products, improvement of existing products, technical support of products and compliance with governmental regulations for the protection of consumers and patients.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0"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The Company’s accounting for stock-based compensation requires it to determine the fair value of common stock issued in the form of stock option awards and restricted stock units. The fair value of restricted stock units held by the employees is determined based on the fair value of the Company’s common stock on the date of the grant. Compensation expense is recorded for restricted stock units that are expected to vest over the expected vesting period. The fair value of stock options held by the employees is determined using a Black-Scholes option valuation method.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management’s judgment. As a result, if factors change and different assumptions are used, the stock-based compensation expense could be materially different in the future. In addition, the Company estimates the expected forfeiture rate and only recognizes expense for those stock options expected to vest over the service period. The estimated forfeiture rate considers the historical experience of the Company’s stock-based awards. If the actual forfeiture rate is different from the estimate, expense is adjusted accordingly. For certain non-employee consultants, stock option awards continue to vest post-termination.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firstLine="240"/>
        <w:spacing w:after="0" w:line="333" w:lineRule="auto"/>
        <w:rPr>
          <w:sz w:val="20"/>
          <w:szCs w:val="20"/>
          <w:color w:val="auto"/>
        </w:rPr>
      </w:pPr>
      <w:r>
        <w:rPr>
          <w:rFonts w:ascii="Arial" w:cs="Arial" w:eastAsia="Arial" w:hAnsi="Arial"/>
          <w:sz w:val="16"/>
          <w:szCs w:val="16"/>
          <w:color w:val="auto"/>
        </w:rPr>
        <w:t>The Company also has an Employee Stock Purchase Plan (“ESPP”) which is a compensatory plan. Compensation expense is recorded based on the fair value of the purchased options at the grant date, which corresponds to the first day of each purchase period, and is amortized over the purchase period.</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(Loss) Income</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Comprehensive (loss) income is the change in shareholders’ equity during a period arising from any gain or loss unrealized related to the Company’s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0" w:lineRule="exact"/>
        <w:rPr>
          <w:sz w:val="20"/>
          <w:szCs w:val="20"/>
          <w:color w:val="auto"/>
        </w:rPr>
      </w:pPr>
    </w:p>
    <w:p>
      <w:pPr>
        <w:jc w:val="both"/>
        <w:ind w:right="20" w:firstLine="240"/>
        <w:spacing w:after="0" w:line="292" w:lineRule="auto"/>
        <w:rPr>
          <w:sz w:val="20"/>
          <w:szCs w:val="20"/>
          <w:color w:val="auto"/>
        </w:rPr>
      </w:pPr>
      <w:r>
        <w:rPr>
          <w:rFonts w:ascii="Arial" w:cs="Arial" w:eastAsia="Arial" w:hAnsi="Arial"/>
          <w:sz w:val="16"/>
          <w:szCs w:val="16"/>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188" w:lineRule="exact"/>
        <w:rPr>
          <w:sz w:val="20"/>
          <w:szCs w:val="20"/>
          <w:color w:val="auto"/>
        </w:rPr>
      </w:pPr>
    </w:p>
    <w:p>
      <w:pPr>
        <w:jc w:val="both"/>
        <w:ind w:right="20" w:firstLine="240"/>
        <w:spacing w:after="0" w:line="333" w:lineRule="auto"/>
        <w:rPr>
          <w:sz w:val="20"/>
          <w:szCs w:val="20"/>
          <w:color w:val="auto"/>
        </w:rPr>
      </w:pPr>
      <w:r>
        <w:rPr>
          <w:rFonts w:ascii="Arial" w:cs="Arial" w:eastAsia="Arial" w:hAnsi="Arial"/>
          <w:sz w:val="16"/>
          <w:szCs w:val="16"/>
          <w:color w:val="auto"/>
        </w:rPr>
        <w:t>The Company records uncertain tax positions in the consolidated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Per Common Share</w:t>
      </w:r>
    </w:p>
    <w:p>
      <w:pPr>
        <w:spacing w:after="0" w:line="220"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Company’s financial instruments include accounts receivables, accounts payable and accrued expenses for which the current carrying amounts approximate market value, based upon their short-term nature and marketable debt securities which are classified as available-for-sale and carried at fair value on a settlement date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Accounting Standards adopted during the year ended December 31, 2021.</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1900" w:type="dxa"/>
            <w:vAlign w:val="bottom"/>
            <w:tcBorders>
              <w:top w:val="single" w:sz="8" w:color="auto"/>
              <w:left w:val="single" w:sz="8" w:color="auto"/>
              <w:right w:val="single" w:sz="8" w:color="auto"/>
            </w:tcBorders>
            <w:vMerge w:val="restart"/>
            <w:shd w:val="clear" w:color="auto" w:fill="CCEEFF"/>
          </w:tcPr>
          <w:p>
            <w:pPr>
              <w:ind w:left="660"/>
              <w:spacing w:after="0"/>
              <w:rPr>
                <w:sz w:val="20"/>
                <w:szCs w:val="20"/>
                <w:color w:val="auto"/>
              </w:rPr>
            </w:pPr>
            <w:r>
              <w:rPr>
                <w:rFonts w:ascii="Arial" w:cs="Arial" w:eastAsia="Arial" w:hAnsi="Arial"/>
                <w:sz w:val="14"/>
                <w:szCs w:val="14"/>
                <w:b w:val="1"/>
                <w:bCs w:val="1"/>
                <w:color w:val="auto"/>
              </w:rPr>
              <w:t>Standard</w:t>
            </w:r>
          </w:p>
        </w:tc>
        <w:tc>
          <w:tcPr>
            <w:tcW w:w="5460" w:type="dxa"/>
            <w:vAlign w:val="bottom"/>
            <w:tcBorders>
              <w:top w:val="single" w:sz="8" w:color="auto"/>
              <w:right w:val="single" w:sz="8" w:color="auto"/>
            </w:tcBorders>
            <w:vMerge w:val="restart"/>
            <w:shd w:val="clear" w:color="auto" w:fill="CCEEFF"/>
          </w:tcPr>
          <w:p>
            <w:pPr>
              <w:ind w:left="236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tcBorders>
              <w:top w:val="single" w:sz="8" w:color="auto"/>
              <w:right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b w:val="1"/>
                <w:bCs w:val="1"/>
                <w:color w:val="auto"/>
                <w:w w:val="92"/>
              </w:rPr>
              <w:t>Effective Date for</w:t>
            </w:r>
          </w:p>
        </w:tc>
        <w:tc>
          <w:tcPr>
            <w:tcW w:w="2480" w:type="dxa"/>
            <w:vAlign w:val="bottom"/>
            <w:tcBorders>
              <w:top w:val="single" w:sz="8" w:color="auto"/>
              <w:right w:val="single" w:sz="8" w:color="auto"/>
            </w:tcBorders>
            <w:shd w:val="clear" w:color="auto" w:fill="CCEEFF"/>
          </w:tcPr>
          <w:p>
            <w:pPr>
              <w:ind w:left="160"/>
              <w:spacing w:after="0" w:line="147" w:lineRule="exact"/>
              <w:rPr>
                <w:sz w:val="20"/>
                <w:szCs w:val="20"/>
                <w:color w:val="auto"/>
              </w:rPr>
            </w:pPr>
            <w:r>
              <w:rPr>
                <w:rFonts w:ascii="Arial" w:cs="Arial" w:eastAsia="Arial" w:hAnsi="Arial"/>
                <w:sz w:val="14"/>
                <w:szCs w:val="14"/>
                <w:b w:val="1"/>
                <w:bCs w:val="1"/>
                <w:color w:val="auto"/>
                <w:w w:val="96"/>
              </w:rPr>
              <w:t>Effect on the consolidated financial</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5460" w:type="dxa"/>
            <w:vAlign w:val="bottom"/>
            <w:tcBorders>
              <w:right w:val="single" w:sz="8" w:color="auto"/>
            </w:tcBorders>
            <w:vMerge w:val="continue"/>
            <w:shd w:val="clear" w:color="auto" w:fill="CCEEFF"/>
          </w:tcPr>
          <w:p>
            <w:pPr>
              <w:spacing w:after="0"/>
              <w:rPr>
                <w:sz w:val="9"/>
                <w:szCs w:val="9"/>
                <w:color w:val="auto"/>
              </w:rPr>
            </w:pP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2480" w:type="dxa"/>
            <w:vAlign w:val="bottom"/>
            <w:tcBorders>
              <w:right w:val="single" w:sz="8" w:color="auto"/>
            </w:tcBorders>
            <w:vMerge w:val="restart"/>
            <w:shd w:val="clear" w:color="auto" w:fill="CCEEFF"/>
          </w:tcPr>
          <w:p>
            <w:pPr>
              <w:ind w:left="90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77"/>
        </w:trPr>
        <w:tc>
          <w:tcPr>
            <w:tcW w:w="190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5460" w:type="dxa"/>
            <w:vAlign w:val="bottom"/>
            <w:tcBorders>
              <w:bottom w:val="single" w:sz="8" w:color="auto"/>
              <w:right w:val="single" w:sz="8" w:color="auto"/>
            </w:tcBorders>
            <w:shd w:val="clear" w:color="auto" w:fill="CCEEFF"/>
          </w:tcPr>
          <w:p>
            <w:pPr>
              <w:spacing w:after="0"/>
              <w:rPr>
                <w:sz w:val="6"/>
                <w:szCs w:val="6"/>
                <w:color w:val="auto"/>
              </w:rPr>
            </w:pPr>
          </w:p>
        </w:tc>
        <w:tc>
          <w:tcPr>
            <w:tcW w:w="142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248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90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w w:val="99"/>
              </w:rPr>
              <w:t xml:space="preserve">ASU 2019-12, </w:t>
            </w:r>
            <w:r>
              <w:rPr>
                <w:rFonts w:ascii="Arial" w:cs="Arial" w:eastAsia="Arial" w:hAnsi="Arial"/>
                <w:sz w:val="16"/>
                <w:szCs w:val="16"/>
                <w:i w:val="1"/>
                <w:iCs w:val="1"/>
                <w:color w:val="auto"/>
                <w:w w:val="99"/>
              </w:rPr>
              <w:t>Simplifying</w:t>
            </w:r>
          </w:p>
        </w:tc>
        <w:tc>
          <w:tcPr>
            <w:tcW w:w="5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5"/>
              </w:rPr>
              <w:t>The ASU enhances and simplifies various aspects of the income tax accounting</w:t>
            </w: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88"/>
              </w:rPr>
              <w:t>January 1, 2021</w:t>
            </w:r>
          </w:p>
        </w:tc>
        <w:tc>
          <w:tcPr>
            <w:tcW w:w="248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3"/>
              </w:rPr>
              <w:t>The adoption of this standard did not</w:t>
            </w: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i w:val="1"/>
                <w:iCs w:val="1"/>
                <w:color w:val="auto"/>
                <w:w w:val="97"/>
              </w:rPr>
              <w:t>the Accounting for Income</w:t>
            </w:r>
          </w:p>
        </w:tc>
        <w:tc>
          <w:tcPr>
            <w:tcW w:w="546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w w:val="92"/>
              </w:rPr>
              <w:t>guidance in ASC 740, including requirements related to hybrid tax regimes, the tax</w:t>
            </w:r>
          </w:p>
        </w:tc>
        <w:tc>
          <w:tcPr>
            <w:tcW w:w="14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rPr>
              <w:t>have a material impact on the</w:t>
            </w: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6"/>
                <w:szCs w:val="16"/>
                <w:i w:val="1"/>
                <w:iCs w:val="1"/>
                <w:color w:val="auto"/>
              </w:rPr>
              <w:t>Taxes (ASC 740)</w:t>
            </w:r>
          </w:p>
        </w:tc>
        <w:tc>
          <w:tcPr>
            <w:tcW w:w="546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rPr>
              <w:t>basis step-up in goodwill obtained in a transaction that is not a business</w:t>
            </w:r>
          </w:p>
        </w:tc>
        <w:tc>
          <w:tcPr>
            <w:tcW w:w="14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rPr>
              <w:t>Company’s consolidated financial</w:t>
            </w: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spacing w:after="0"/>
              <w:rPr>
                <w:sz w:val="13"/>
                <w:szCs w:val="13"/>
                <w:color w:val="auto"/>
              </w:rPr>
            </w:pPr>
          </w:p>
        </w:tc>
        <w:tc>
          <w:tcPr>
            <w:tcW w:w="546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w w:val="94"/>
              </w:rPr>
              <w:t>combination, separate financial statements of entities not subject to tax, the intra-</w:t>
            </w:r>
          </w:p>
        </w:tc>
        <w:tc>
          <w:tcPr>
            <w:tcW w:w="14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rPr>
              <w:t>statements.</w:t>
            </w: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spacing w:after="0"/>
              <w:rPr>
                <w:sz w:val="13"/>
                <w:szCs w:val="13"/>
                <w:color w:val="auto"/>
              </w:rPr>
            </w:pPr>
          </w:p>
        </w:tc>
        <w:tc>
          <w:tcPr>
            <w:tcW w:w="546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w w:val="92"/>
              </w:rPr>
              <w:t>period tax allocation exception to the incremental approach, ownership changes in</w:t>
            </w:r>
          </w:p>
        </w:tc>
        <w:tc>
          <w:tcPr>
            <w:tcW w:w="14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spacing w:after="0"/>
              <w:rPr>
                <w:sz w:val="13"/>
                <w:szCs w:val="13"/>
                <w:color w:val="auto"/>
              </w:rPr>
            </w:pPr>
          </w:p>
        </w:tc>
        <w:tc>
          <w:tcPr>
            <w:tcW w:w="546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w w:val="94"/>
              </w:rPr>
              <w:t>investments, changes from a subsidiary to an equity method investment, interim-</w:t>
            </w:r>
          </w:p>
        </w:tc>
        <w:tc>
          <w:tcPr>
            <w:tcW w:w="14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spacing w:after="0"/>
              <w:rPr>
                <w:sz w:val="13"/>
                <w:szCs w:val="13"/>
                <w:color w:val="auto"/>
              </w:rPr>
            </w:pPr>
          </w:p>
        </w:tc>
        <w:tc>
          <w:tcPr>
            <w:tcW w:w="5460" w:type="dxa"/>
            <w:vAlign w:val="bottom"/>
            <w:tcBorders>
              <w:right w:val="single" w:sz="8" w:color="auto"/>
            </w:tcBorders>
          </w:tcPr>
          <w:p>
            <w:pPr>
              <w:ind w:left="20"/>
              <w:spacing w:after="0" w:line="160" w:lineRule="exact"/>
              <w:rPr>
                <w:sz w:val="20"/>
                <w:szCs w:val="20"/>
                <w:color w:val="auto"/>
              </w:rPr>
            </w:pPr>
            <w:r>
              <w:rPr>
                <w:rFonts w:ascii="Arial" w:cs="Arial" w:eastAsia="Arial" w:hAnsi="Arial"/>
                <w:sz w:val="16"/>
                <w:szCs w:val="16"/>
                <w:color w:val="auto"/>
              </w:rPr>
              <w:t>period accounting for enacted changes in tax law, and the year-to-date loss</w:t>
            </w:r>
          </w:p>
        </w:tc>
        <w:tc>
          <w:tcPr>
            <w:tcW w:w="14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limitation in interim-period tax accounting.</w:t>
            </w:r>
          </w:p>
        </w:tc>
        <w:tc>
          <w:tcPr>
            <w:tcW w:w="142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79" w:right="319" w:bottom="1440" w:gutter="0" w:footer="0" w:header="0"/>
        </w:sectPr>
      </w:pPr>
    </w:p>
    <w:bookmarkStart w:id="80" w:name="page81"/>
    <w:bookmarkEnd w:id="8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disclosed in Note 2, the Company recognizes product revenue from sales of MACI biopsy kits, MACI implants, Epicel grafts and other sources following the five-step model in ASC 606.</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MACI Biopsy Kits</w:t>
      </w:r>
    </w:p>
    <w:p>
      <w:pPr>
        <w:spacing w:after="0" w:line="247"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The customer’s order of an implant is separate from the process of ordering the biopsy kit. Therefore, the sale of the biopsy kit and any subsequent sale of an implant are distinct contracts and are accounted for separately.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MACI Implants</w:t>
      </w:r>
    </w:p>
    <w:p>
      <w:pPr>
        <w:spacing w:after="0" w:line="24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third-party to provide services in connection with a patient support program to manage patient cases and to ensure complete and correct billing information is provided to the insurers and hospitals. In addition, the Company also sells MACI directly to DMS Pharmaceutical (“DMS”) for patients treated at military treatment facilities. The sales directly to DMS are made at a contracted rate.</w:t>
      </w:r>
    </w:p>
    <w:p>
      <w:pPr>
        <w:spacing w:after="0" w:line="20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7"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ASC 326. The Company assesses risk and determines a loss percentage by pooling account receivables based on similar risk characteristics. The loss percentage is calculated through the use of forecasts that are based on current and historical economic and financial information. This loss percentage was applied to the accounts receivables as of December 31, 2021. The total allowance for uncollectible consideration was $7.0 million and $5.3 million as of December 31, 2021, and 2020, respectively. Changes to the estimate of the amount of consideration that will not be collected could have a material impact to the revenue recognized. A 50 basis points change to the estimated uncollectible percentage could result in approximately $0.3 million decrease or increase in the revenue recognized for the year ended December 31, 2021.</w:t>
      </w:r>
    </w:p>
    <w:p>
      <w:pPr>
        <w:spacing w:after="0" w:line="199"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NexoBrid</w:t>
      </w:r>
    </w:p>
    <w:p>
      <w:pPr>
        <w:spacing w:after="0" w:line="24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The Company entered into exclusive license and supply agreements with MediWound in May 2019, under which MediWound will manufacture and supply NexoBrid on a unit price basis, which may be increased pursuant to the terms of the agreement. The U.S. Biomedical Advanced Research and Development Authority (“BARDA”) has committed to procure NexoBrid from MediWound and, as of December 31, 2021, the Company did not hold a direct contract or distribution agreement with BARDA, or take title to the product. The Company recognizes revenue based on a percentage of gross profits for sales of NexoBrid to BARDA upon delivery, at which time BARDA is in control of the product.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and Customer</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and descriptions below shows the products from which the Company generated its revenue: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1"/>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Arial" w:cs="Arial" w:eastAsia="Arial" w:hAnsi="Arial"/>
                <w:sz w:val="18"/>
                <w:szCs w:val="18"/>
                <w:color w:val="auto"/>
              </w:rPr>
              <w:t xml:space="preserve">Implants based on contracted rate sold through a specialty pharmacy </w:t>
            </w:r>
            <w:r>
              <w:rPr>
                <w:rFonts w:ascii="Arial" w:cs="Arial" w:eastAsia="Arial" w:hAnsi="Arial"/>
                <w:sz w:val="23"/>
                <w:szCs w:val="23"/>
                <w:color w:val="auto"/>
                <w:vertAlign w:val="superscript"/>
              </w:rPr>
              <w:t>(a)</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71,969</w:t>
            </w:r>
          </w:p>
        </w:tc>
        <w:tc>
          <w:tcPr>
            <w:tcW w:w="44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57,593</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56,185</w:t>
            </w: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Arial" w:cs="Arial" w:eastAsia="Arial" w:hAnsi="Arial"/>
                <w:sz w:val="18"/>
                <w:szCs w:val="18"/>
                <w:color w:val="auto"/>
                <w:w w:val="99"/>
              </w:rPr>
              <w:t xml:space="preserve">Implants subject to third party reimbursement sold through a specialty pharmacy </w:t>
            </w:r>
            <w:r>
              <w:rPr>
                <w:rFonts w:ascii="Arial" w:cs="Arial" w:eastAsia="Arial" w:hAnsi="Arial"/>
                <w:sz w:val="23"/>
                <w:szCs w:val="23"/>
                <w:color w:val="auto"/>
                <w:w w:val="99"/>
                <w:vertAlign w:val="superscript"/>
              </w:rPr>
              <w:t>(b)</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17,076</w:t>
            </w:r>
          </w:p>
        </w:tc>
      </w:tr>
      <w:tr>
        <w:trPr>
          <w:trHeight w:val="227"/>
        </w:trPr>
        <w:tc>
          <w:tcPr>
            <w:tcW w:w="6820" w:type="dxa"/>
            <w:vAlign w:val="bottom"/>
            <w:gridSpan w:val="2"/>
          </w:tcPr>
          <w:p>
            <w:pPr>
              <w:ind w:left="220"/>
              <w:spacing w:after="0" w:line="226" w:lineRule="exact"/>
              <w:rPr>
                <w:sz w:val="20"/>
                <w:szCs w:val="20"/>
                <w:color w:val="auto"/>
              </w:rPr>
            </w:pPr>
            <w:r>
              <w:rPr>
                <w:rFonts w:ascii="Arial" w:cs="Arial" w:eastAsia="Arial" w:hAnsi="Arial"/>
                <w:sz w:val="18"/>
                <w:szCs w:val="18"/>
                <w:color w:val="auto"/>
              </w:rPr>
              <w:t xml:space="preserve">Implants sold direct based on contracted rates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13,933</w:t>
            </w: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Implants sold direct subject to third-party reimbursement </w:t>
            </w:r>
            <w:r>
              <w:rPr>
                <w:rFonts w:ascii="Arial" w:cs="Arial" w:eastAsia="Arial" w:hAnsi="Arial"/>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27"/>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Biopsy kits - direct bill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2,243</w:t>
            </w: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Change in estimates related to prior periods </w:t>
            </w:r>
            <w:r>
              <w:rPr>
                <w:rFonts w:ascii="Arial" w:cs="Arial" w:eastAsia="Arial" w:hAnsi="Arial"/>
                <w:sz w:val="23"/>
                <w:szCs w:val="23"/>
                <w:color w:val="auto"/>
                <w:vertAlign w:val="superscript"/>
              </w:rPr>
              <w: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0"/>
        </w:trPr>
        <w:tc>
          <w:tcPr>
            <w:tcW w:w="6820" w:type="dxa"/>
            <w:vAlign w:val="bottom"/>
            <w:gridSpan w:val="2"/>
          </w:tcPr>
          <w:p>
            <w:pPr>
              <w:ind w:left="420"/>
              <w:spacing w:after="0"/>
              <w:rPr>
                <w:sz w:val="20"/>
                <w:szCs w:val="20"/>
                <w:color w:val="auto"/>
              </w:rPr>
            </w:pPr>
            <w:r>
              <w:rPr>
                <w:rFonts w:ascii="Arial" w:cs="Arial" w:eastAsia="Arial" w:hAnsi="Arial"/>
                <w:sz w:val="18"/>
                <w:szCs w:val="18"/>
                <w:i w:val="1"/>
                <w:iCs w:val="1"/>
                <w:color w:val="auto"/>
              </w:rPr>
              <w:t>Total MACI implants and kits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91,620</w:t>
            </w:r>
          </w:p>
        </w:tc>
      </w:tr>
      <w:tr>
        <w:trPr>
          <w:trHeight w:val="227"/>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Epicel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6820" w:type="dxa"/>
            <w:vAlign w:val="bottom"/>
            <w:gridSpan w:val="2"/>
          </w:tcPr>
          <w:p>
            <w:pPr>
              <w:ind w:left="240"/>
              <w:spacing w:after="0"/>
              <w:rPr>
                <w:sz w:val="20"/>
                <w:szCs w:val="20"/>
                <w:color w:val="auto"/>
              </w:rPr>
            </w:pPr>
            <w:r>
              <w:rPr>
                <w:rFonts w:ascii="Arial" w:cs="Arial" w:eastAsia="Arial" w:hAnsi="Arial"/>
                <w:sz w:val="18"/>
                <w:szCs w:val="18"/>
                <w:color w:val="auto"/>
              </w:rPr>
              <w:t>Direct bill (hospital)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26,230</w:t>
            </w:r>
          </w:p>
        </w:tc>
      </w:tr>
      <w:tr>
        <w:trPr>
          <w:trHeight w:val="267"/>
        </w:trPr>
        <w:tc>
          <w:tcPr>
            <w:tcW w:w="6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7"/>
        </w:trPr>
        <w:tc>
          <w:tcPr>
            <w:tcW w:w="6820" w:type="dxa"/>
            <w:vAlign w:val="bottom"/>
            <w:tcBorders>
              <w:bottom w:val="single" w:sz="8" w:color="CCEEFF"/>
            </w:tcBorders>
            <w:gridSpan w:val="2"/>
          </w:tcPr>
          <w:p>
            <w:pPr>
              <w:ind w:left="20"/>
              <w:spacing w:after="0" w:line="226" w:lineRule="exact"/>
              <w:rPr>
                <w:sz w:val="20"/>
                <w:szCs w:val="20"/>
                <w:color w:val="auto"/>
              </w:rPr>
            </w:pPr>
            <w:r>
              <w:rPr>
                <w:rFonts w:ascii="Arial" w:cs="Arial" w:eastAsia="Arial" w:hAnsi="Arial"/>
                <w:sz w:val="18"/>
                <w:szCs w:val="18"/>
                <w:i w:val="1"/>
                <w:iCs w:val="1"/>
                <w:color w:val="auto"/>
              </w:rPr>
              <w:t xml:space="preserve">NexoBrid revenue </w:t>
            </w:r>
            <w:r>
              <w:rPr>
                <w:rFonts w:ascii="Arial" w:cs="Arial" w:eastAsia="Arial" w:hAnsi="Arial"/>
                <w:sz w:val="23"/>
                <w:szCs w:val="23"/>
                <w:i w:val="1"/>
                <w:iCs w:val="1"/>
                <w:color w:val="auto"/>
                <w:vertAlign w:val="superscript"/>
              </w:rPr>
              <w:t>(f)</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117,850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457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spacing w:after="0" w:line="188" w:lineRule="exact"/>
        <w:rPr>
          <w:sz w:val="20"/>
          <w:szCs w:val="20"/>
          <w:color w:val="auto"/>
        </w:rPr>
      </w:pPr>
    </w:p>
    <w:p>
      <w:pPr>
        <w:ind w:left="180" w:right="180" w:hanging="156"/>
        <w:spacing w:after="0" w:line="268" w:lineRule="auto"/>
        <w:tabs>
          <w:tab w:leader="none" w:pos="213"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60" w:lineRule="exact"/>
        <w:rPr>
          <w:rFonts w:ascii="Arial" w:cs="Arial" w:eastAsia="Arial" w:hAnsi="Arial"/>
          <w:sz w:val="14"/>
          <w:szCs w:val="14"/>
          <w:color w:val="auto"/>
        </w:rPr>
      </w:pPr>
    </w:p>
    <w:p>
      <w:pPr>
        <w:ind w:left="180" w:right="280" w:hanging="156"/>
        <w:spacing w:after="0" w:line="268" w:lineRule="auto"/>
        <w:tabs>
          <w:tab w:leader="none" w:pos="221"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implants sold through Orsini or AllCare whereby such specialty pharmacy does not have a direct contract with the underlying payer. The amount of reimbursement is established based on a payer or state fee schedule and/or payer history.</w:t>
      </w:r>
    </w:p>
    <w:p>
      <w:pPr>
        <w:spacing w:after="0" w:line="160" w:lineRule="exact"/>
        <w:rPr>
          <w:rFonts w:ascii="Arial" w:cs="Arial" w:eastAsia="Arial" w:hAnsi="Arial"/>
          <w:sz w:val="14"/>
          <w:szCs w:val="14"/>
          <w:color w:val="auto"/>
        </w:rPr>
      </w:pPr>
    </w:p>
    <w:p>
      <w:pPr>
        <w:ind w:left="180" w:right="260" w:hanging="156"/>
        <w:spacing w:after="0" w:line="268" w:lineRule="auto"/>
        <w:tabs>
          <w:tab w:leader="none" w:pos="213"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160" w:lineRule="exact"/>
        <w:rPr>
          <w:rFonts w:ascii="Arial" w:cs="Arial" w:eastAsia="Arial" w:hAnsi="Arial"/>
          <w:sz w:val="14"/>
          <w:szCs w:val="14"/>
          <w:color w:val="auto"/>
        </w:rPr>
      </w:pPr>
    </w:p>
    <w:p>
      <w:pPr>
        <w:ind w:left="180" w:right="360" w:hanging="156"/>
        <w:spacing w:after="0" w:line="268" w:lineRule="auto"/>
        <w:tabs>
          <w:tab w:leader="none" w:pos="221"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60" w:lineRule="exact"/>
        <w:rPr>
          <w:rFonts w:ascii="Arial" w:cs="Arial" w:eastAsia="Arial" w:hAnsi="Arial"/>
          <w:sz w:val="14"/>
          <w:szCs w:val="14"/>
          <w:color w:val="auto"/>
        </w:rPr>
      </w:pPr>
    </w:p>
    <w:p>
      <w:pPr>
        <w:ind w:left="180" w:right="40" w:hanging="156"/>
        <w:spacing w:after="0" w:line="253" w:lineRule="auto"/>
        <w:tabs>
          <w:tab w:leader="none" w:pos="213"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changes in collection expectations or actual cash collections received in the current period.</w:t>
      </w:r>
    </w:p>
    <w:p>
      <w:pPr>
        <w:spacing w:after="0" w:line="171" w:lineRule="exact"/>
        <w:rPr>
          <w:rFonts w:ascii="Arial" w:cs="Arial" w:eastAsia="Arial" w:hAnsi="Arial"/>
          <w:sz w:val="14"/>
          <w:szCs w:val="14"/>
          <w:color w:val="auto"/>
        </w:rPr>
      </w:pPr>
    </w:p>
    <w:p>
      <w:pPr>
        <w:ind w:left="200" w:hanging="176"/>
        <w:spacing w:after="0"/>
        <w:tabs>
          <w:tab w:leader="none" w:pos="2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revenue based on a percentage of gross profits for sales of NexoBrid to BARDA, pursuant to the license agreement between the Company and MediWound.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-1530350</wp:posOffset>
            </wp:positionV>
            <wp:extent cx="7134225" cy="2374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237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-1199515</wp:posOffset>
            </wp:positionV>
            <wp:extent cx="7134225" cy="2374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237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-869315</wp:posOffset>
            </wp:positionV>
            <wp:extent cx="7134225" cy="2374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237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-539115</wp:posOffset>
            </wp:positionV>
            <wp:extent cx="7134225" cy="339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3390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7134225" cy="135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24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Company’s total revenue concentration from an Epicel customer for the year ended December 31, 2021 was 10%. There was no revenue concentration for the years ended December 31, 2020 or 2019, greater than 10%. For the Company’s total accounts receivable balances, there were no customers for the year ended December 31, 2021, 2020 and 2019, respectively, with a concentration greater than 10%.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Selected Balance Sheet Components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December 31, 2021 and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40"/>
              <w:spacing w:after="0"/>
              <w:rPr>
                <w:sz w:val="20"/>
                <w:szCs w:val="20"/>
                <w:color w:val="auto"/>
              </w:rPr>
            </w:pPr>
            <w:r>
              <w:rPr>
                <w:rFonts w:ascii="Arial" w:cs="Arial" w:eastAsia="Arial" w:hAnsi="Arial"/>
                <w:sz w:val="18"/>
                <w:szCs w:val="18"/>
                <w:i w:val="1"/>
                <w:iCs w:val="1"/>
                <w:color w:val="auto"/>
              </w:rPr>
              <w:t>Property and Equipment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9"/>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net as of December 31, 2021 and 2020:</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Financing right-of-use lease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property and equipment, gross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expense for the years ended December 31, 2021, 2020 and 2019 was $3.0 million, $2.4 million and $1.7 million,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Expenses as of December 31, 2021 and 2020:</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6"/>
        </w:trPr>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2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Employee related accruals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22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reimbursement-related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accrued expenses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 Company leases facilities in Ann Arbor, Michigan and Cambridge, Massachusetts. The Ann Arbor facility includes office space, and the Cambridge facilities includes clean rooms, laboratories for MACI and Epicel manufacturing and office space. The Company also leases offsite warehouse space, vehicles and computer equipment. See Note 15, “Subsequent Events” for discussion on a material lease entered into in January 2022.</w:t>
      </w:r>
    </w:p>
    <w:p>
      <w:pPr>
        <w:spacing w:after="0" w:line="164" w:lineRule="exact"/>
        <w:rPr>
          <w:sz w:val="20"/>
          <w:szCs w:val="20"/>
          <w:color w:val="auto"/>
        </w:rPr>
      </w:pPr>
    </w:p>
    <w:p>
      <w:pPr>
        <w:ind w:right="40" w:firstLine="240"/>
        <w:spacing w:after="0" w:line="262" w:lineRule="auto"/>
        <w:rPr>
          <w:sz w:val="20"/>
          <w:szCs w:val="20"/>
          <w:color w:val="auto"/>
        </w:rPr>
      </w:pPr>
      <w:r>
        <w:rPr>
          <w:rFonts w:ascii="Arial" w:cs="Arial" w:eastAsia="Arial" w:hAnsi="Arial"/>
          <w:sz w:val="16"/>
          <w:szCs w:val="16"/>
          <w:color w:val="auto"/>
        </w:rPr>
        <w:t>Effective October 21, 2020 the Company entered into an agreement with one of its Cambridge, Massachusetts facility leases. The agreement extended the terms of the lease to expire on February 29, 2032, with monthly contractual lease payments ranging from $0.4 million to $0.6 million. The agreement also provides a tenant improvement allowance of approximately $4.3 million, available through December 31, 2023. At the onset of the lease, the estimated contribution by the landlord toward the cost of tenant improvements is recorded as a reduction of the right-of-use asset and operating lease liability.</w:t>
      </w:r>
    </w:p>
    <w:p>
      <w:pPr>
        <w:spacing w:after="0" w:line="19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For the year ended December 31, 2021 and 2020, lease expense of less than $0.1 million was recorded related to short-term leases. For the years ended December 31, 2021, 2020 and 2019, the Company recognized $7.3 million, $6.3 million and $5.4 million, respectively, of operating lease expense. For the years ended December 31, 2021, 2020 and 2019, the Company recognized less than $0.1 million of financing lease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and finance lease assets and liabilities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6"/>
                <w:szCs w:val="16"/>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1"/>
        </w:trPr>
        <w:tc>
          <w:tcPr>
            <w:tcW w:w="1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6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0" w:type="dxa"/>
            <w:vAlign w:val="bottom"/>
          </w:tcPr>
          <w:p>
            <w:pPr>
              <w:spacing w:after="0"/>
              <w:rPr>
                <w:sz w:val="1"/>
                <w:szCs w:val="1"/>
                <w:color w:val="auto"/>
              </w:rPr>
            </w:pPr>
          </w:p>
        </w:tc>
      </w:tr>
      <w:tr>
        <w:trPr>
          <w:trHeight w:val="227"/>
        </w:trPr>
        <w:tc>
          <w:tcPr>
            <w:tcW w:w="1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Finance</w:t>
            </w:r>
          </w:p>
        </w:tc>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5"/>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leased assets</w:t>
            </w:r>
          </w:p>
        </w:tc>
        <w:tc>
          <w:tcPr>
            <w:tcW w:w="6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50,216</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0" w:type="dxa"/>
            <w:vAlign w:val="bottom"/>
            <w:gridSpan w:val="2"/>
            <w:vMerge w:val="continue"/>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Current</w:t>
            </w: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8"/>
                <w:szCs w:val="18"/>
                <w:i w:val="1"/>
                <w:iCs w:val="1"/>
                <w:color w:val="auto"/>
              </w:rPr>
              <w:t>Non-current</w:t>
            </w:r>
          </w:p>
        </w:tc>
        <w:tc>
          <w:tcPr>
            <w:tcW w:w="6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47,147</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48,789</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0"/>
        </w:trPr>
        <w:tc>
          <w:tcPr>
            <w:tcW w:w="1600" w:type="dxa"/>
            <w:vAlign w:val="bottom"/>
            <w:gridSpan w:val="2"/>
          </w:tcPr>
          <w:p>
            <w:pPr>
              <w:ind w:left="20"/>
              <w:spacing w:after="0"/>
              <w:rPr>
                <w:sz w:val="20"/>
                <w:szCs w:val="20"/>
                <w:color w:val="auto"/>
              </w:rPr>
            </w:pPr>
            <w:r>
              <w:rPr>
                <w:rFonts w:ascii="Arial" w:cs="Arial" w:eastAsia="Arial" w:hAnsi="Arial"/>
                <w:sz w:val="18"/>
                <w:szCs w:val="18"/>
                <w:color w:val="auto"/>
                <w:w w:val="91"/>
              </w:rPr>
              <w:t>Total leased liabilities</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Cash paid for amounts included in the measurement of the Company’s operating lease liabilities was $6.0 million, $5.8 million, and $5.0 million for the year ended December 31, 2021, 2020, and 2019,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 as of December 31, 2021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1580" w:type="dxa"/>
            <w:vAlign w:val="bottom"/>
          </w:tcPr>
          <w:p>
            <w:pPr>
              <w:jc w:val="right"/>
              <w:ind w:right="56"/>
              <w:spacing w:after="0"/>
              <w:rPr>
                <w:sz w:val="20"/>
                <w:szCs w:val="20"/>
                <w:color w:val="auto"/>
              </w:rPr>
            </w:pPr>
            <w:r>
              <w:rPr>
                <w:rFonts w:ascii="Arial" w:cs="Arial" w:eastAsia="Arial" w:hAnsi="Arial"/>
                <w:sz w:val="14"/>
                <w:szCs w:val="14"/>
                <w:b w:val="1"/>
                <w:bCs w:val="1"/>
                <w:color w:val="auto"/>
              </w:rPr>
              <w:t>Finance Leases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753"/>
              <w:spacing w:after="0"/>
              <w:rPr>
                <w:sz w:val="20"/>
                <w:szCs w:val="20"/>
                <w:color w:val="auto"/>
              </w:rPr>
            </w:pPr>
            <w:r>
              <w:rPr>
                <w:rFonts w:ascii="Arial" w:cs="Arial" w:eastAsia="Arial" w:hAnsi="Arial"/>
                <w:sz w:val="14"/>
                <w:szCs w:val="14"/>
                <w:b w:val="1"/>
                <w:bCs w:val="1"/>
                <w:color w:val="auto"/>
              </w:rPr>
              <w:t>Total</w:t>
            </w:r>
          </w:p>
        </w:tc>
      </w:tr>
      <w:tr>
        <w:trPr>
          <w:trHeight w:val="226"/>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r>
      <w:tr>
        <w:trPr>
          <w:trHeight w:val="227"/>
        </w:trPr>
        <w:tc>
          <w:tcPr>
            <w:tcW w:w="49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6,678</w:t>
            </w: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r>
      <w:tr>
        <w:trPr>
          <w:trHeight w:val="227"/>
        </w:trPr>
        <w:tc>
          <w:tcPr>
            <w:tcW w:w="49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6,348</w:t>
            </w: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r>
      <w:tr>
        <w:trPr>
          <w:trHeight w:val="22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36,977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36,977</w:t>
            </w:r>
          </w:p>
        </w:tc>
      </w:tr>
      <w:tr>
        <w:trPr>
          <w:trHeight w:val="220"/>
        </w:trPr>
        <w:tc>
          <w:tcPr>
            <w:tcW w:w="50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66,470</w:t>
            </w:r>
          </w:p>
        </w:tc>
      </w:tr>
      <w:tr>
        <w:trPr>
          <w:trHeight w:val="22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(16,288)</w:t>
            </w:r>
          </w:p>
        </w:tc>
      </w:tr>
      <w:tr>
        <w:trPr>
          <w:trHeight w:val="245"/>
        </w:trPr>
        <w:tc>
          <w:tcPr>
            <w:tcW w:w="50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An explicit rate is not provided in some of the Company’s leases, therefore the Company uses a mix of incremental borrowing rate based on the information available at commencement date through market sources including relevant peer borrowing rates, as well as implicit and explicit rates in determining the present value of lease payments.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Lease terms and discount rates as of December 31, 2021 and 2020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left="415"/>
              <w:spacing w:after="0"/>
              <w:rPr>
                <w:sz w:val="20"/>
                <w:szCs w:val="20"/>
                <w:color w:val="auto"/>
              </w:rPr>
            </w:pPr>
            <w:r>
              <w:rPr>
                <w:rFonts w:ascii="Arial" w:cs="Arial" w:eastAsia="Arial" w:hAnsi="Arial"/>
                <w:sz w:val="14"/>
                <w:szCs w:val="14"/>
                <w:b w:val="1"/>
                <w:bCs w:val="1"/>
                <w:color w:val="auto"/>
                <w:w w:val="89"/>
              </w:rPr>
              <w:t>2021</w:t>
            </w:r>
          </w:p>
        </w:tc>
        <w:tc>
          <w:tcPr>
            <w:tcW w:w="22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9"/>
              </w:rPr>
              <w:t>2020</w:t>
            </w:r>
          </w:p>
        </w:tc>
      </w:tr>
      <w:tr>
        <w:trPr>
          <w:trHeight w:val="221"/>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7"/>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1100" w:type="dxa"/>
            <w:vAlign w:val="bottom"/>
          </w:tcPr>
          <w:p>
            <w:pPr>
              <w:jc w:val="center"/>
              <w:ind w:left="395"/>
              <w:spacing w:after="0"/>
              <w:rPr>
                <w:sz w:val="20"/>
                <w:szCs w:val="20"/>
                <w:color w:val="auto"/>
              </w:rPr>
            </w:pPr>
            <w:r>
              <w:rPr>
                <w:rFonts w:ascii="Arial" w:cs="Arial" w:eastAsia="Arial" w:hAnsi="Arial"/>
                <w:sz w:val="18"/>
                <w:szCs w:val="18"/>
                <w:color w:val="auto"/>
                <w:w w:val="87"/>
              </w:rPr>
              <w:t>9.8</w:t>
            </w:r>
          </w:p>
        </w:tc>
        <w:tc>
          <w:tcPr>
            <w:tcW w:w="2200" w:type="dxa"/>
            <w:vAlign w:val="bottom"/>
            <w:gridSpan w:val="3"/>
          </w:tcPr>
          <w:p>
            <w:pPr>
              <w:jc w:val="center"/>
              <w:ind w:left="517"/>
              <w:spacing w:after="0"/>
              <w:rPr>
                <w:sz w:val="20"/>
                <w:szCs w:val="20"/>
                <w:color w:val="auto"/>
              </w:rPr>
            </w:pPr>
            <w:r>
              <w:rPr>
                <w:rFonts w:ascii="Arial" w:cs="Arial" w:eastAsia="Arial" w:hAnsi="Arial"/>
                <w:sz w:val="18"/>
                <w:szCs w:val="18"/>
                <w:color w:val="auto"/>
                <w:w w:val="91"/>
              </w:rPr>
              <w:t>10.6</w:t>
            </w:r>
          </w:p>
        </w:tc>
      </w:tr>
      <w:tr>
        <w:trPr>
          <w:trHeight w:val="227"/>
        </w:trPr>
        <w:tc>
          <w:tcPr>
            <w:tcW w:w="7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10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7"/>
              </w:rPr>
              <w:t>1.5</w:t>
            </w:r>
          </w:p>
        </w:tc>
        <w:tc>
          <w:tcPr>
            <w:tcW w:w="2200" w:type="dxa"/>
            <w:vAlign w:val="bottom"/>
            <w:gridSpan w:val="3"/>
            <w:shd w:val="clear" w:color="auto" w:fill="CCEEFF"/>
          </w:tcPr>
          <w:p>
            <w:pPr>
              <w:jc w:val="center"/>
              <w:ind w:left="517"/>
              <w:spacing w:after="0"/>
              <w:rPr>
                <w:sz w:val="20"/>
                <w:szCs w:val="20"/>
                <w:color w:val="auto"/>
              </w:rPr>
            </w:pPr>
            <w:r>
              <w:rPr>
                <w:rFonts w:ascii="Arial" w:cs="Arial" w:eastAsia="Arial" w:hAnsi="Arial"/>
                <w:sz w:val="18"/>
                <w:szCs w:val="18"/>
                <w:color w:val="auto"/>
                <w:w w:val="95"/>
              </w:rPr>
              <w:t>2.5</w:t>
            </w:r>
          </w:p>
        </w:tc>
      </w:tr>
      <w:tr>
        <w:trPr>
          <w:trHeight w:val="227"/>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7"/>
        </w:trPr>
        <w:tc>
          <w:tcPr>
            <w:tcW w:w="7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10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2"/>
              </w:rPr>
              <w:t>5.4%</w:t>
            </w:r>
          </w:p>
        </w:tc>
        <w:tc>
          <w:tcPr>
            <w:tcW w:w="2200" w:type="dxa"/>
            <w:vAlign w:val="bottom"/>
            <w:gridSpan w:val="3"/>
            <w:shd w:val="clear" w:color="auto" w:fill="CCEEFF"/>
          </w:tcPr>
          <w:p>
            <w:pPr>
              <w:jc w:val="center"/>
              <w:ind w:left="517"/>
              <w:spacing w:after="0"/>
              <w:rPr>
                <w:sz w:val="20"/>
                <w:szCs w:val="20"/>
                <w:color w:val="auto"/>
              </w:rPr>
            </w:pPr>
            <w:r>
              <w:rPr>
                <w:rFonts w:ascii="Arial" w:cs="Arial" w:eastAsia="Arial" w:hAnsi="Arial"/>
                <w:sz w:val="18"/>
                <w:szCs w:val="18"/>
                <w:color w:val="auto"/>
                <w:w w:val="87"/>
              </w:rPr>
              <w:t>5.4%</w:t>
            </w:r>
          </w:p>
        </w:tc>
      </w:tr>
      <w:tr>
        <w:trPr>
          <w:trHeight w:val="226"/>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1100" w:type="dxa"/>
            <w:vAlign w:val="bottom"/>
          </w:tcPr>
          <w:p>
            <w:pPr>
              <w:jc w:val="center"/>
              <w:ind w:left="395"/>
              <w:spacing w:after="0"/>
              <w:rPr>
                <w:sz w:val="20"/>
                <w:szCs w:val="20"/>
                <w:color w:val="auto"/>
              </w:rPr>
            </w:pPr>
            <w:r>
              <w:rPr>
                <w:rFonts w:ascii="Arial" w:cs="Arial" w:eastAsia="Arial" w:hAnsi="Arial"/>
                <w:sz w:val="18"/>
                <w:szCs w:val="18"/>
                <w:color w:val="auto"/>
                <w:w w:val="92"/>
              </w:rPr>
              <w:t>5.0%</w:t>
            </w:r>
          </w:p>
        </w:tc>
        <w:tc>
          <w:tcPr>
            <w:tcW w:w="2200" w:type="dxa"/>
            <w:vAlign w:val="bottom"/>
            <w:gridSpan w:val="3"/>
          </w:tcPr>
          <w:p>
            <w:pPr>
              <w:jc w:val="center"/>
              <w:ind w:left="517"/>
              <w:spacing w:after="0"/>
              <w:rPr>
                <w:sz w:val="20"/>
                <w:szCs w:val="20"/>
                <w:color w:val="auto"/>
              </w:rPr>
            </w:pPr>
            <w:r>
              <w:rPr>
                <w:rFonts w:ascii="Arial" w:cs="Arial" w:eastAsia="Arial" w:hAnsi="Arial"/>
                <w:sz w:val="18"/>
                <w:szCs w:val="18"/>
                <w:color w:val="auto"/>
                <w:w w:val="87"/>
              </w:rPr>
              <w:t>5.0%</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1"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 xml:space="preserve">Marketable debt securities held by the Company are classified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and carried at fair value in the accompanying consolidated balance sheets on a settlement date basis. The following tables summarize the gross unrealized gains and losses of the Company’s marketable securities as of December 31, 2021 and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Gross Unrealized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296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2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2960" w:type="dxa"/>
            <w:vAlign w:val="bottom"/>
          </w:tcPr>
          <w:p>
            <w:pPr>
              <w:ind w:left="260"/>
              <w:spacing w:after="0"/>
              <w:rPr>
                <w:sz w:val="20"/>
                <w:szCs w:val="20"/>
                <w:color w:val="auto"/>
              </w:rPr>
            </w:pPr>
            <w:r>
              <w:rPr>
                <w:rFonts w:ascii="Arial" w:cs="Arial" w:eastAsia="Arial" w:hAnsi="Arial"/>
                <w:sz w:val="18"/>
                <w:szCs w:val="18"/>
                <w:color w:val="auto"/>
              </w:rPr>
              <w:t>Corporate notes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29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3"/>
            <w:vMerge w:val="restart"/>
          </w:tcPr>
          <w:p>
            <w:pPr>
              <w:jc w:val="center"/>
              <w:ind w:left="20"/>
              <w:spacing w:after="0"/>
              <w:rPr>
                <w:sz w:val="20"/>
                <w:szCs w:val="20"/>
                <w:color w:val="auto"/>
              </w:rPr>
            </w:pPr>
            <w:r>
              <w:rPr>
                <w:rFonts w:ascii="Arial" w:cs="Arial" w:eastAsia="Arial" w:hAnsi="Arial"/>
                <w:sz w:val="14"/>
                <w:szCs w:val="14"/>
                <w:b w:val="1"/>
                <w:bCs w:val="1"/>
                <w:color w:val="auto"/>
                <w:w w:val="90"/>
              </w:rPr>
              <w:t>December 31, 2020</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Gross Unrealized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226"/>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Corporate notes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35,917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40"/>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U.S. government agency bonds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asset-backed securities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66,272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Classified as:</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vMerge w:val="restart"/>
          </w:tcPr>
          <w:p>
            <w:pPr>
              <w:jc w:val="right"/>
              <w:ind w:right="534"/>
              <w:spacing w:after="0"/>
              <w:rPr>
                <w:sz w:val="20"/>
                <w:szCs w:val="20"/>
                <w:color w:val="auto"/>
              </w:rPr>
            </w:pPr>
            <w:r>
              <w:rPr>
                <w:rFonts w:ascii="Arial" w:cs="Arial" w:eastAsia="Arial" w:hAnsi="Arial"/>
                <w:sz w:val="18"/>
                <w:szCs w:val="18"/>
                <w:color w:val="auto"/>
              </w:rPr>
              <w:t>85</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9"/>
        </w:trPr>
        <w:tc>
          <w:tcPr>
            <w:tcW w:w="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85" w:name="page86"/>
    <w:bookmarkEnd w:id="85"/>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As of December 31, 2021, the analysis under ASC 326 and the current macroeconomic impact of the ongoing COVID-19 pandemic did not result in material allowances for credit losses. There have been no impairments of the Company’s assets measured and carried at fair value during the years ended December 31, 2021 or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Options and restricted stock units granted to employees and non-employees under these plans expire no later than ten years from the date of grant. Options and restricted stock units generally become exercisable or vest over a four year period (other than options and restricted stock units awarded annually to non-employee directors, which generally vest over one year, and options and restricted stock units awarded to non-employee directors upon initial appointment to the Vericel Board of Directors, which generally vest over a three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1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The Company’s Amended and Restated 2019 Omnibus Incentive Plan (“2019 Plan”) was approved on April 29, 2020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of the 2019 Plan. However, the expiration or forfeiture of options previously granted under the Prior Plans will increase the number of shares available for issuance under the 2019 Plan.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2021, there were 2,822,710 shares available for future grant under the 2019 Plan.</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Non-cash stock-based compensation expense (service-based stock options, restricted stock units and employee stock purchase plan) is summarized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6"/>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Arial" w:cs="Arial" w:eastAsia="Arial" w:hAnsi="Arial"/>
                <w:sz w:val="14"/>
                <w:szCs w:val="14"/>
                <w:b w:val="1"/>
                <w:bCs w:val="1"/>
                <w:color w:val="auto"/>
              </w:rPr>
              <w:t>2019</w:t>
            </w:r>
          </w:p>
        </w:tc>
      </w:tr>
      <w:tr>
        <w:trPr>
          <w:trHeight w:val="221"/>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27"/>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2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r>
      <w:tr>
        <w:trPr>
          <w:trHeight w:val="220"/>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Total non-cash stock-based compensation expense</w:t>
            </w: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0"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assumptions noted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6"/>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Service-Based Stock Options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center"/>
              <w:ind w:right="857"/>
              <w:spacing w:after="0"/>
              <w:rPr>
                <w:sz w:val="20"/>
                <w:szCs w:val="20"/>
                <w:color w:val="auto"/>
              </w:rPr>
            </w:pPr>
            <w:r>
              <w:rPr>
                <w:rFonts w:ascii="Arial" w:cs="Arial" w:eastAsia="Arial" w:hAnsi="Arial"/>
                <w:sz w:val="14"/>
                <w:szCs w:val="14"/>
                <w:b w:val="1"/>
                <w:bCs w:val="1"/>
                <w:color w:val="auto"/>
                <w:w w:val="89"/>
              </w:rPr>
              <w:t>2019</w:t>
            </w:r>
          </w:p>
        </w:tc>
      </w:tr>
      <w:tr>
        <w:trPr>
          <w:trHeight w:val="221"/>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2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71.5 - 76.7%</w:t>
            </w:r>
          </w:p>
        </w:tc>
        <w:tc>
          <w:tcPr>
            <w:tcW w:w="1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71.1 - 78.7%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c>
          <w:tcPr>
            <w:tcW w:w="1220" w:type="dxa"/>
            <w:vAlign w:val="bottom"/>
          </w:tcPr>
          <w:p>
            <w:pPr>
              <w:ind w:left="40"/>
              <w:spacing w:after="0"/>
              <w:rPr>
                <w:sz w:val="20"/>
                <w:szCs w:val="20"/>
                <w:color w:val="auto"/>
              </w:rPr>
            </w:pPr>
            <w:r>
              <w:rPr>
                <w:rFonts w:ascii="Arial" w:cs="Arial" w:eastAsia="Arial" w:hAnsi="Arial"/>
                <w:sz w:val="18"/>
                <w:szCs w:val="18"/>
                <w:color w:val="auto"/>
              </w:rPr>
              <w:t>- 85.5%</w:t>
            </w:r>
          </w:p>
        </w:tc>
      </w:tr>
      <w:tr>
        <w:trPr>
          <w:trHeight w:val="22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0.53 - 1.5%</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0.33 - 1.7%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- 2.7%</w:t>
            </w:r>
          </w:p>
        </w:tc>
      </w:tr>
      <w:tr>
        <w:trPr>
          <w:trHeight w:val="22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Expected life (years)</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5.3 - 6.3</w:t>
            </w:r>
          </w:p>
        </w:tc>
        <w:tc>
          <w:tcPr>
            <w:tcW w:w="1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5.3 - 6.3</w:t>
            </w:r>
          </w:p>
        </w:tc>
        <w:tc>
          <w:tcPr>
            <w:tcW w:w="16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0"/>
              </w:rPr>
              <w:t>5.3 - 6.3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weighted-average grant-date fair value of service-based options granted during the years ended December 31, 2021, 2020, and 2019 was $32.96, $8.86 and $12.62, respectively.</w:t>
      </w: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left="149"/>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Weighted-Average</w:t>
            </w:r>
          </w:p>
        </w:tc>
        <w:tc>
          <w:tcPr>
            <w:tcW w:w="120" w:type="dxa"/>
            <w:vAlign w:val="bottom"/>
          </w:tcPr>
          <w:p>
            <w:pPr>
              <w:spacing w:after="0"/>
              <w:rPr>
                <w:sz w:val="11"/>
                <w:szCs w:val="11"/>
                <w:color w:val="auto"/>
              </w:rPr>
            </w:pPr>
          </w:p>
        </w:tc>
        <w:tc>
          <w:tcPr>
            <w:tcW w:w="1380" w:type="dxa"/>
            <w:vAlign w:val="bottom"/>
          </w:tcPr>
          <w:p>
            <w:pPr>
              <w:jc w:val="center"/>
              <w:ind w:left="209"/>
              <w:spacing w:after="0" w:line="133"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3"/>
        </w:trPr>
        <w:tc>
          <w:tcPr>
            <w:tcW w:w="4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Service-Based Stock Options</w:t>
            </w:r>
          </w:p>
        </w:tc>
        <w:tc>
          <w:tcPr>
            <w:tcW w:w="17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209"/>
              <w:spacing w:after="0" w:line="133" w:lineRule="exact"/>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6"/>
        </w:trPr>
        <w:tc>
          <w:tcPr>
            <w:tcW w:w="482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75"/>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38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1"/>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5,236,044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102,654</w:t>
            </w: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1,683,568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(12,126)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5,669,690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113,985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3,169,562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As of December 31, 2021, 5,359,392 shares are vested and expected to vest. As of December 31, 2021, there was approximately $36.0 million of total unrecognized compensation cost related to non-vested service-based stock options granted under the 2019 Plan and the Prior Plans. That cost is expected to be recognized over a weighted-average period of 3.0 years.</w:t>
      </w:r>
    </w:p>
    <w:p>
      <w:pPr>
        <w:spacing w:after="0" w:line="186"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total intrinsic value of stock options exercised for the years ended December 31, 2021, 2020, and 2019 was $39.5 million, $10.5 million and $16.1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for restricted stock units for the indicated periods:</w:t>
      </w:r>
    </w:p>
    <w:p>
      <w:pPr>
        <w:spacing w:after="0" w:line="11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Restricted Stock Units</w:t>
            </w:r>
          </w:p>
        </w:tc>
        <w:tc>
          <w:tcPr>
            <w:tcW w:w="1700" w:type="dxa"/>
            <w:vAlign w:val="bottom"/>
            <w:gridSpan w:val="2"/>
          </w:tcPr>
          <w:p>
            <w:pPr>
              <w:ind w:left="560"/>
              <w:spacing w:after="0"/>
              <w:rPr>
                <w:sz w:val="20"/>
                <w:szCs w:val="20"/>
                <w:color w:val="auto"/>
              </w:rPr>
            </w:pPr>
            <w:r>
              <w:rPr>
                <w:rFonts w:ascii="Arial" w:cs="Arial" w:eastAsia="Arial" w:hAnsi="Arial"/>
                <w:sz w:val="14"/>
                <w:szCs w:val="14"/>
                <w:b w:val="1"/>
                <w:bCs w:val="1"/>
                <w:color w:val="auto"/>
              </w:rPr>
              <w:t>Number of</w:t>
            </w: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86"/>
        </w:trPr>
        <w:tc>
          <w:tcPr>
            <w:tcW w:w="3920" w:type="dxa"/>
            <w:vAlign w:val="bottom"/>
            <w:gridSpan w:val="2"/>
            <w:vMerge w:val="continue"/>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Restricted Stock Units</w:t>
            </w:r>
          </w:p>
        </w:tc>
        <w:tc>
          <w:tcPr>
            <w:tcW w:w="38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1"/>
        </w:trPr>
        <w:tc>
          <w:tcPr>
            <w:tcW w:w="3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Outstanding at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270,639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580" w:type="dxa"/>
            <w:vAlign w:val="bottom"/>
          </w:tcPr>
          <w:p>
            <w:pPr>
              <w:ind w:left="920"/>
              <w:spacing w:after="0"/>
              <w:rPr>
                <w:sz w:val="20"/>
                <w:szCs w:val="20"/>
                <w:color w:val="auto"/>
              </w:rPr>
            </w:pPr>
            <w:r>
              <w:rPr>
                <w:rFonts w:ascii="Arial" w:cs="Arial" w:eastAsia="Arial" w:hAnsi="Arial"/>
                <w:sz w:val="18"/>
                <w:szCs w:val="18"/>
                <w:color w:val="auto"/>
                <w:w w:val="98"/>
              </w:rPr>
              <w:t>266,759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2"/>
              </w:rPr>
              <w:t>(98,597)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2"/>
              </w:rPr>
              <w:t>(40,053)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Unvested at December 31, 2021</w:t>
            </w:r>
          </w:p>
        </w:tc>
        <w:tc>
          <w:tcPr>
            <w:tcW w:w="15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398,748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weighted-average grant-date fair value of restricted stock units granted during the years ended December 31, 2021, 2020, and 2019 was $52.07, $11.41 and $17.71, respectively.</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At December 31, 2021 the total unrecognized compensation cost related to the restricted stock units was $8.8 million, and the weighted-average period over which that cost is expected to be recognized was 2.9 years. The total fair value of restricted stock units vested in the years ended December 31, 2021 and 2020 was $5.3 million and $0.6 million, respectively.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Employees are able to purchase stock under the ESPP. The ESPP allows for the issuance of an aggregate of 1.0 million shares of common stock of which 745,655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hanging="213"/>
        <w:spacing w:after="0"/>
        <w:tabs>
          <w:tab w:leader="none" w:pos="2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Common Share</w:t>
      </w:r>
    </w:p>
    <w:p>
      <w:pPr>
        <w:spacing w:after="0" w:line="250"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 summary of net (loss) income per common share is presented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6"/>
        </w:trPr>
        <w:tc>
          <w:tcPr>
            <w:tcW w:w="5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46"/>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5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5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w:t>
            </w:r>
          </w:p>
        </w:tc>
      </w:tr>
      <w:tr>
        <w:trPr>
          <w:trHeight w:val="227"/>
        </w:trPr>
        <w:tc>
          <w:tcPr>
            <w:tcW w:w="5580" w:type="dxa"/>
            <w:vAlign w:val="bottom"/>
          </w:tcPr>
          <w:p>
            <w:pPr>
              <w:ind w:left="380"/>
              <w:spacing w:after="0"/>
              <w:rPr>
                <w:sz w:val="20"/>
                <w:szCs w:val="20"/>
                <w:color w:val="auto"/>
              </w:rPr>
            </w:pPr>
            <w:r>
              <w:rPr>
                <w:rFonts w:ascii="Arial" w:cs="Arial" w:eastAsia="Arial" w:hAnsi="Arial"/>
                <w:sz w:val="18"/>
                <w:szCs w:val="18"/>
                <w:color w:val="auto"/>
              </w:rPr>
              <w:t>Effect of dilutive stock options and restricted stock units</w:t>
            </w:r>
          </w:p>
        </w:tc>
        <w:tc>
          <w:tcPr>
            <w:tcW w:w="5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weighted-average common shares outstanding</w:t>
            </w: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46,472</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2"/>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(loss) income per common share</w:t>
            </w:r>
          </w:p>
        </w:tc>
        <w:tc>
          <w:tcPr>
            <w:tcW w:w="5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580" w:type="dxa"/>
            <w:vAlign w:val="bottom"/>
          </w:tcPr>
          <w:p>
            <w:pPr>
              <w:ind w:left="260"/>
              <w:spacing w:after="0" w:line="201" w:lineRule="exact"/>
              <w:rPr>
                <w:sz w:val="20"/>
                <w:szCs w:val="20"/>
                <w:color w:val="auto"/>
              </w:rPr>
            </w:pPr>
            <w:r>
              <w:rPr>
                <w:rFonts w:ascii="Arial" w:cs="Arial" w:eastAsia="Arial" w:hAnsi="Arial"/>
                <w:sz w:val="18"/>
                <w:szCs w:val="18"/>
                <w:color w:val="auto"/>
              </w:rPr>
              <w:t>Diluted (loss) income per common share</w:t>
            </w:r>
          </w:p>
        </w:tc>
        <w:tc>
          <w:tcPr>
            <w:tcW w:w="58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156"/>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(0.22)</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0"/>
        </w:trPr>
        <w:tc>
          <w:tcPr>
            <w:tcW w:w="5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3"/>
        </w:trPr>
        <w:tc>
          <w:tcPr>
            <w:tcW w:w="5580" w:type="dxa"/>
            <w:vAlign w:val="bottom"/>
          </w:tcPr>
          <w:p>
            <w:pPr>
              <w:ind w:left="260"/>
              <w:spacing w:after="0" w:line="174" w:lineRule="exact"/>
              <w:rPr>
                <w:sz w:val="20"/>
                <w:szCs w:val="20"/>
                <w:color w:val="auto"/>
              </w:rPr>
            </w:pPr>
            <w:r>
              <w:rPr>
                <w:rFonts w:ascii="Arial" w:cs="Arial" w:eastAsia="Arial" w:hAnsi="Arial"/>
                <w:sz w:val="18"/>
                <w:szCs w:val="18"/>
                <w:color w:val="auto"/>
              </w:rPr>
              <w:t>Anti-dilutive shares excluded from diluted net (loss) income per</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r>
      <w:tr>
        <w:trPr>
          <w:trHeight w:val="227"/>
        </w:trPr>
        <w:tc>
          <w:tcPr>
            <w:tcW w:w="5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Restricted stock units</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bl>
    <w:p>
      <w:pPr>
        <w:spacing w:after="0" w:line="200" w:lineRule="exact"/>
        <w:rPr>
          <w:sz w:val="20"/>
          <w:szCs w:val="20"/>
          <w:color w:val="auto"/>
        </w:rPr>
      </w:pPr>
    </w:p>
    <w:p>
      <w:pPr>
        <w:spacing w:after="0" w:line="369" w:lineRule="exact"/>
        <w:rPr>
          <w:sz w:val="20"/>
          <w:szCs w:val="20"/>
          <w:color w:val="auto"/>
        </w:rPr>
      </w:pPr>
    </w:p>
    <w:p>
      <w:pPr>
        <w:ind w:left="240" w:right="9280" w:hanging="233"/>
        <w:spacing w:after="0" w:line="339" w:lineRule="auto"/>
        <w:tabs>
          <w:tab w:leader="none" w:pos="22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b w:val="1"/>
          <w:bCs w:val="1"/>
          <w:i w:val="1"/>
          <w:iCs w:val="1"/>
          <w:color w:val="auto"/>
        </w:rPr>
        <w:t>At-the-Market Offering</w:t>
      </w:r>
    </w:p>
    <w:p>
      <w:pPr>
        <w:spacing w:after="0" w:line="15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6"/>
          <w:szCs w:val="16"/>
          <w:color w:val="222222"/>
        </w:rPr>
        <w:t>On August 27, 2021, the Company entered into a Sales Agreement with SVB Leerink LLC, as sales agent (“SVB Leerink”), pursuant to which it may offer and sell up to $200.0 million of shares of the Company’s common stock, no par value per share (“ATM Shares”). The ATM Shares to be offered and sold under the Sales Agreement will be issued and sold pursuant to an automatically effective shelf registration statement on Form S-3ASR (File No. 333-259119) filed by the Company on August 27, 2021, which expires three years from the filing date. The Company also filed a prospectus supplement relating to the offering and sale of the ATM Shares on August 27, 2021. The Company is not obligated to make any sales of ATM Shares, and SVB Leerink is not required to sell any specific number or dollar amount of the ATM Shares under the Sales Agreement. The Company capitalizes certain legal, professional accounting and other third-party fees that are directly associated with in-process stock financings as deferred offering costs until such financings are consummated. As of December 31, 2021, the Company has sold no shares pursuant to the Sales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0" w:lineRule="exact"/>
        <w:rPr>
          <w:sz w:val="20"/>
          <w:szCs w:val="20"/>
          <w:color w:val="auto"/>
        </w:rPr>
      </w:pPr>
    </w:p>
    <w:p>
      <w:pPr>
        <w:ind w:left="640" w:hanging="313"/>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2" w:lineRule="exact"/>
        <w:rPr>
          <w:rFonts w:ascii="Arial" w:cs="Arial" w:eastAsia="Arial" w:hAnsi="Arial"/>
          <w:sz w:val="16"/>
          <w:szCs w:val="16"/>
          <w:color w:val="auto"/>
        </w:rPr>
      </w:pPr>
    </w:p>
    <w:p>
      <w:pPr>
        <w:ind w:left="640" w:hanging="313"/>
        <w:spacing w:after="0" w:line="247"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40" w:right="20" w:hanging="313"/>
        <w:spacing w:after="0" w:line="255"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commercial paper, corporate notes, U.S. government securities, U.S. government agency bonds and U.S.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2019 to December 31, 2021.</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valuation of the Company’s financial instruments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22225</wp:posOffset>
            </wp:positionV>
            <wp:extent cx="2524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22225</wp:posOffset>
            </wp:positionV>
            <wp:extent cx="2558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1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Fair value measurement category</w:t>
      </w:r>
    </w:p>
    <w:p>
      <w:pPr>
        <w:spacing w:after="0" w:line="47" w:lineRule="exact"/>
        <w:rPr>
          <w:sz w:val="20"/>
          <w:szCs w:val="20"/>
          <w:color w:val="auto"/>
        </w:rPr>
      </w:pPr>
    </w:p>
    <w:p>
      <w:pPr>
        <w:sectPr>
          <w:pgSz w:w="11900" w:h="16838" w:orient="portrait"/>
          <w:cols w:equalWidth="0" w:num="2">
            <w:col w:w="7840" w:space="720"/>
            <w:col w:w="2680"/>
          </w:cols>
          <w:pgMar w:left="320" w:top="179" w:right="339" w:bottom="1440" w:gutter="0" w:footer="0" w:header="0"/>
          <w:type w:val="continuous"/>
        </w:sectPr>
      </w:pPr>
    </w:p>
    <w:tbl>
      <w:tblPr>
        <w:tblLayout w:type="fixed"/>
        <w:tblInd w:w="120" w:type="dxa"/>
        <w:tblCellMar>
          <w:top w:w="0" w:type="dxa"/>
          <w:left w:w="0" w:type="dxa"/>
          <w:bottom w:w="0" w:type="dxa"/>
          <w:right w:w="0" w:type="dxa"/>
        </w:tblCellMar>
      </w:tblPr>
      <w:tr>
        <w:trPr>
          <w:trHeight w:val="190"/>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21"/>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92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7"/>
        </w:trPr>
        <w:tc>
          <w:tcPr>
            <w:tcW w:w="2920" w:type="dxa"/>
            <w:vAlign w:val="bottom"/>
            <w:gridSpan w:val="2"/>
          </w:tcPr>
          <w:p>
            <w:pPr>
              <w:ind w:left="120"/>
              <w:spacing w:after="0"/>
              <w:rPr>
                <w:sz w:val="20"/>
                <w:szCs w:val="20"/>
                <w:color w:val="auto"/>
              </w:rPr>
            </w:pPr>
            <w:r>
              <w:rPr>
                <w:rFonts w:ascii="Arial" w:cs="Arial" w:eastAsia="Arial" w:hAnsi="Arial"/>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27"/>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7"/>
        </w:trPr>
        <w:tc>
          <w:tcPr>
            <w:tcW w:w="292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27"/>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asset-backed securities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0"/>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66,286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420" w:hanging="173"/>
        <w:spacing w:after="0"/>
        <w:tabs>
          <w:tab w:leader="none" w:pos="42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Approximately $8.0 million of commercial paper has an original maturity of 90 days or less and is recorded as a cash equivalent as of December 31, 2021.</w:t>
      </w:r>
    </w:p>
    <w:p>
      <w:pPr>
        <w:spacing w:after="0" w:line="224"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(loss) income before income taxes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21"/>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r>
      <w:tr>
        <w:trPr>
          <w:trHeight w:val="227"/>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5"/>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income before income taxes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 reconciliation of income taxes computed using the U.S. federal statutory rate to the taxes reported in the consolidated statements of operations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221"/>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2,864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(9,665)</w:t>
            </w:r>
          </w:p>
        </w:tc>
      </w:tr>
      <w:tr>
        <w:trPr>
          <w:trHeight w:val="227"/>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Federal statutory rate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Taxes computed at federal statutory rate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(2,030)</w:t>
            </w:r>
          </w:p>
        </w:tc>
      </w:tr>
      <w:tr>
        <w:trPr>
          <w:trHeight w:val="227"/>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w:t>
            </w:r>
          </w:p>
        </w:tc>
        <w:tc>
          <w:tcPr>
            <w:tcW w:w="440" w:type="dxa"/>
            <w:vAlign w:val="bottom"/>
          </w:tcPr>
          <w:p>
            <w:pPr>
              <w:spacing w:after="0"/>
              <w:rPr>
                <w:sz w:val="19"/>
                <w:szCs w:val="19"/>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(484)</w:t>
            </w:r>
          </w:p>
        </w:tc>
      </w:tr>
      <w:tr>
        <w:trPr>
          <w:trHeight w:val="22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(1,329)</w:t>
            </w:r>
          </w:p>
        </w:tc>
      </w:tr>
      <w:tr>
        <w:trPr>
          <w:trHeight w:val="227"/>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Federal and state rate change</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(164)</w:t>
            </w:r>
          </w:p>
        </w:tc>
      </w:tr>
      <w:tr>
        <w:trPr>
          <w:trHeight w:val="22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orphan drug credits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7"/>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(49)</w:t>
            </w:r>
          </w:p>
        </w:tc>
      </w:tr>
      <w:tr>
        <w:trPr>
          <w:trHeight w:val="22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6,567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4,056</w:t>
            </w:r>
          </w:p>
        </w:tc>
      </w:tr>
      <w:tr>
        <w:trPr>
          <w:trHeight w:val="22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Reported income taxes</w:t>
            </w: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9" w:name="page90"/>
    <w:bookmarkEnd w:id="8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tax assets (liabilities)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6"/>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jc w:val="right"/>
              <w:ind w:right="652"/>
              <w:spacing w:after="0"/>
              <w:rPr>
                <w:sz w:val="20"/>
                <w:szCs w:val="20"/>
                <w:color w:val="auto"/>
              </w:rPr>
            </w:pPr>
            <w:r>
              <w:rPr>
                <w:rFonts w:ascii="Arial" w:cs="Arial" w:eastAsia="Arial" w:hAnsi="Arial"/>
                <w:sz w:val="14"/>
                <w:szCs w:val="14"/>
                <w:b w:val="1"/>
                <w:bCs w:val="1"/>
                <w:color w:val="auto"/>
                <w:w w:val="83"/>
              </w:rPr>
              <w:t>2020</w:t>
            </w:r>
          </w:p>
        </w:tc>
      </w:tr>
      <w:tr>
        <w:trPr>
          <w:trHeight w:val="221"/>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7"/>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Net operating loss carryforwards</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9"/>
                <w:szCs w:val="19"/>
                <w:color w:val="auto"/>
              </w:rPr>
            </w:pPr>
          </w:p>
        </w:tc>
        <w:tc>
          <w:tcPr>
            <w:tcW w:w="740" w:type="dxa"/>
            <w:vAlign w:val="bottom"/>
          </w:tcPr>
          <w:p>
            <w:pPr>
              <w:jc w:val="right"/>
              <w:ind w:right="5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8,411</w:t>
            </w:r>
          </w:p>
        </w:tc>
      </w:tr>
      <w:tr>
        <w:trPr>
          <w:trHeight w:val="227"/>
        </w:trPr>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 benefits and stock-based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r>
      <w:tr>
        <w:trPr>
          <w:trHeight w:val="227"/>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6,411</w:t>
            </w:r>
          </w:p>
        </w:tc>
      </w:tr>
      <w:tr>
        <w:trPr>
          <w:trHeight w:val="227"/>
        </w:trPr>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27"/>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13,687</w:t>
            </w:r>
          </w:p>
        </w:tc>
      </w:tr>
      <w:tr>
        <w:trPr>
          <w:trHeight w:val="227"/>
        </w:trPr>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reserve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r>
      <w:tr>
        <w:trPr>
          <w:trHeight w:val="227"/>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Tax credit carryforward</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10,085</w:t>
            </w:r>
          </w:p>
        </w:tc>
      </w:tr>
      <w:tr>
        <w:trPr>
          <w:trHeight w:val="227"/>
        </w:trPr>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0"/>
        </w:trPr>
        <w:tc>
          <w:tcPr>
            <w:tcW w:w="7620" w:type="dxa"/>
            <w:vAlign w:val="bottom"/>
            <w:gridSpan w:val="2"/>
          </w:tcPr>
          <w:p>
            <w:pPr>
              <w:ind w:left="220"/>
              <w:spacing w:after="0"/>
              <w:rPr>
                <w:sz w:val="20"/>
                <w:szCs w:val="20"/>
                <w:color w:val="auto"/>
              </w:rPr>
            </w:pPr>
            <w:r>
              <w:rPr>
                <w:rFonts w:ascii="Arial" w:cs="Arial" w:eastAsia="Arial" w:hAnsi="Arial"/>
                <w:sz w:val="18"/>
                <w:szCs w:val="18"/>
                <w:color w:val="auto"/>
              </w:rPr>
              <w:t>Total deferred tax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56,810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51,416</w:t>
            </w:r>
          </w:p>
        </w:tc>
      </w:tr>
      <w:tr>
        <w:trPr>
          <w:trHeight w:val="227"/>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(37,379)</w:t>
            </w:r>
          </w:p>
        </w:tc>
      </w:tr>
      <w:tr>
        <w:trPr>
          <w:trHeight w:val="220"/>
        </w:trPr>
        <w:tc>
          <w:tcPr>
            <w:tcW w:w="7620" w:type="dxa"/>
            <w:vAlign w:val="bottom"/>
            <w:gridSpan w:val="2"/>
          </w:tcPr>
          <w:p>
            <w:pPr>
              <w:ind w:left="340"/>
              <w:spacing w:after="0"/>
              <w:rPr>
                <w:sz w:val="20"/>
                <w:szCs w:val="20"/>
                <w:color w:val="auto"/>
              </w:rPr>
            </w:pPr>
            <w:r>
              <w:rPr>
                <w:rFonts w:ascii="Arial" w:cs="Arial" w:eastAsia="Arial" w:hAnsi="Arial"/>
                <w:sz w:val="18"/>
                <w:szCs w:val="18"/>
                <w:color w:val="auto"/>
              </w:rPr>
              <w:t>Total net deferred tax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14,037</w:t>
            </w:r>
          </w:p>
        </w:tc>
      </w:tr>
      <w:tr>
        <w:trPr>
          <w:trHeight w:val="22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Right-of-use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(13,463)</w:t>
            </w:r>
          </w:p>
        </w:tc>
      </w:tr>
      <w:tr>
        <w:trPr>
          <w:trHeight w:val="227"/>
        </w:trPr>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0"/>
        </w:trPr>
        <w:tc>
          <w:tcPr>
            <w:tcW w:w="7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net deferred tax liabilities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r>
      <w:tr>
        <w:trPr>
          <w:trHeight w:val="245"/>
        </w:trPr>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Net deferred tax assets and liabilities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As of December 31, 2021, the Company’s U.S. federal and state tax net operating loss carryforwards available to offset future profits, after considering the annual Section 382 limit described below, are $44.3 million and $29.3 million, respectively. These net operating loss carryforwards will expire between 2022 and 2039 with the exception of the federal net operating losses generated in 2018 and 2021. The federal net operating losses of $1.5 million generated in 2018 and $6.4 million generated in 2021 can be carried forward indefinitely. The projected annual limitation on the use of the net operating losses that existed prior to September 17, 2014 resulting from the Company’s change in control in 2014 per Section 382 of the Internal Revenue Code is $0.8 million. As a result, a significant portion of the net operating losses and tax credit carryforwards will expire prior to their utilization, regardless of the level of future profitability. As of December 31, 2021, the Company’s U.S. federal tax credit carryforwards available to offset future profits are $10.5 million. Based on the research and development and orphan drug credit tax studies performed during 2020, the Company had a sufficient basis to claim the credits and recognized a tax credit carryforward in the 2020 tax year. These credit carryforwards will expire between 2034 and 2040.</w:t>
      </w:r>
    </w:p>
    <w:p>
      <w:pPr>
        <w:spacing w:after="0" w:line="19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In accordance with the accounting guidance for income taxes, the Company estimates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sufficient positive evidence exists in future periods to support a release of some or all of the valuation allowance, such a release would likely have a material impact on the Company’s results of operations. The change in the valuation allowance was an increase of $6.6 million and $7.4 million for the years ended December 31, 2021 and 2020, respectively.</w:t>
      </w:r>
    </w:p>
    <w:p>
      <w:pPr>
        <w:spacing w:after="0" w:line="22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To the extent the uncertain tax positions meet the “more likely than not” threshold, the Company measures and records the highest probable benefit, and establishes appropriate reserves for benefits that exceed the amount likely to be sustained upon examination. The Company currently has not recorded any uncertain tax positions and does not anticipate that the unrecognized tax benefits will significantly increase or decrease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 of limitations. During the year-ended December 31, 2020, examinations by U.S. tax authorities were completed for 2017 and 2018. Due to the Company’s net operating loss carryforwards, federal income tax returns from incorporation are still subject to examination. The Company files in several state tax jurisdictions and is subject to examination in years ranging from incorporation to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Savings Plan</w:t>
      </w:r>
    </w:p>
    <w:p>
      <w:pPr>
        <w:spacing w:after="0" w:line="22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$1.0 million, $0.8 million and $0.7 million for the years ended December 31, 2021,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NexoBrid License and Supply Agreements</w:t>
      </w:r>
    </w:p>
    <w:p>
      <w:pPr>
        <w:spacing w:after="0" w:line="251"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September 16, 2020, the Company announced acceptance of MediWound’s submission of a biologics license application (“BLA”) for review by the U.S. Food and Drug Administration (“FDA”) to seek marketing approval for NexoBrid in the U.S. for the treatment of severe burns, and the FDA’s assignment of a Prescription Drug User Fee Act (“PDUFA”) target date for the product of June 29, 2021. Subsequently, on June 29, 2021, the Company announced that MediWound received a complete response letter from the FDA regarding the BLA, through which the FDA communicated to MediWound that it had completed its review of the BLA, as amended, and had determined that it cannot approve the BLA in its present form. The Company continues to work with MediWound, BARDA and the FDA to address the issues identified in the agency’s complete response letter, to prepare and submit a BLA resubmission to the FDA and to seek the potential approval of NexoBrid.</w:t>
      </w:r>
    </w:p>
    <w:p>
      <w:pPr>
        <w:spacing w:after="0" w:line="19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Pursuant to the terms of the license agreement, if the BLA is approved, MediWound will transfer the BLA to Vericel and Vericel will market NexoBrid in the U.S. Both MediWound and Vericel, under the supervision of a Central Steering Committee comprised of members of both companies will continue to guide the development of NexoBrid in North America. NexoBrid is approved in the European Union and other international markets and has been designated as an orphan biologic in the U.S., European Union and other international markets.</w:t>
      </w:r>
    </w:p>
    <w:p>
      <w:pPr>
        <w:spacing w:after="0" w:line="21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In May 2019, the Company paid MediWound $17.5 million in consideration for the license, which was recorded as research and development expense during 2019. The Company is also obligated to pay MediWound $7.5 million, which is contingent upon U.S. regulatory approval of the BLA for NexoBrid and up to $125.0 million contingent upon meeting certain sales milestones. The first sales milestone of $7.5 million would be triggered when annual net sales of NexoBrid or improvements to it in North America exceed $75.0 million. As of December 31, 2021, the milestone payments are not yet probable and therefore, not considered a liability. The Company also will pay MediWound tiered royalties on net sales ranging from mid-high single-digit to mid-teen percentages, subject to customary reductions.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12"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BARDA has committed to procure NexoBrid directly from MediWound under an emergency use authorization, and under such commitment the Company will receive a percentage of gross profit for sales directly to BARDA. If BARDA procures NexoBrid directly from Vericel, the Company will pay a percentage of gross profits to MediWound on initial committed amounts and a royalty on any additional BARDA purchases of NexoBrid beyond the initial committed amount. As of December 31, 2021, the Company does not hold a direct contract or distribution agreement with BARDA.</w:t>
      </w:r>
    </w:p>
    <w:p>
      <w:pPr>
        <w:spacing w:after="0" w:line="197" w:lineRule="exact"/>
        <w:rPr>
          <w:sz w:val="20"/>
          <w:szCs w:val="20"/>
          <w:color w:val="auto"/>
        </w:rPr>
      </w:pPr>
    </w:p>
    <w:p>
      <w:pPr>
        <w:ind w:left="240" w:right="7980" w:hanging="233"/>
        <w:spacing w:after="0" w:line="559" w:lineRule="auto"/>
        <w:tabs>
          <w:tab w:leader="none" w:pos="26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Manufacturing and Supply Agreements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Matricel — </w:t>
      </w:r>
      <w:r>
        <w:rPr>
          <w:rFonts w:ascii="Arial" w:cs="Arial" w:eastAsia="Arial" w:hAnsi="Arial"/>
          <w:sz w:val="18"/>
          <w:szCs w:val="18"/>
          <w:color w:val="auto"/>
        </w:rPr>
        <w:t>In October 2015, the Company signed a long-term supply agreement with Matricel GmbH (“Matricel”) for the ACI-Maix collagen membrane</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the manufacture of MACI. The Company and Matricel amended the agreement on March 17, 2018. Under the agreement, the Company has committed to purchase annually approximately $0.6 million per year. The Company has fulfilled this commitment for each of the years ended December 31, 2021, 2020 and 2019, respectively.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agreement is effective until December 31, 2022 and contains a 5-year renewal option by the Company and an additional 5-year automatic renewal, unless otherwise terminated.</w:t>
      </w:r>
    </w:p>
    <w:p>
      <w:pPr>
        <w:spacing w:after="0" w:line="17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i w:val="1"/>
          <w:iCs w:val="1"/>
          <w:color w:val="auto"/>
        </w:rPr>
        <w:t xml:space="preserve">Manufacture, Supply and Other Agreements — </w:t>
      </w:r>
      <w:r>
        <w:rPr>
          <w:rFonts w:ascii="Arial" w:cs="Arial" w:eastAsia="Arial" w:hAnsi="Arial"/>
          <w:sz w:val="18"/>
          <w:szCs w:val="18"/>
          <w:color w:val="auto"/>
        </w:rPr>
        <w:t>The Company has entered into various agreements relating to the manufacture of its products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21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 In addition, the Company also pays for usage of an offsite warehouse space. In February 2021, the terms of the warehouse operating agreement were extended through March 31, 2027.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Future minimum purchase commitments related to the Company’s contractual obligations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 (In thousands)</w:t>
            </w: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7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98"/>
              <w:spacing w:after="0" w:line="13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6"/>
        </w:trPr>
        <w:tc>
          <w:tcPr>
            <w:tcW w:w="3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1"/>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Warehouse operating agreement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212529"/>
        </w:rPr>
        <w:t>On January 28, 2022, the Company entered into a Lease Agreement (the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212529"/>
        </w:rPr>
        <w:t>The term of the Lease is scheduled to begin 12 months following the landlord’s commencement of construction of the core and shell of the building in which the Premises are located, which is currently expected to be February 28, 2023 (the “Commencement Date”).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Lease.</w:t>
      </w:r>
    </w:p>
    <w:p>
      <w:pPr>
        <w:spacing w:after="0" w:line="2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212529"/>
        </w:rPr>
        <w:t>The annual base rent of the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Lease also provides for a tenant improvement allowance from the landlord in an amount equal to $200 per square foot of the Premises, or approximately $25.1 million, towards the design and construction of certain tenant improvements made to the Premises, subject to the terms set forth in the Lease.</w:t>
      </w:r>
    </w:p>
    <w:p>
      <w:pPr>
        <w:spacing w:after="0" w:line="217" w:lineRule="exact"/>
        <w:rPr>
          <w:sz w:val="20"/>
          <w:szCs w:val="20"/>
          <w:color w:val="auto"/>
        </w:rPr>
      </w:pPr>
    </w:p>
    <w:p>
      <w:pPr>
        <w:ind w:right="300" w:firstLine="240"/>
        <w:spacing w:after="0" w:line="258" w:lineRule="auto"/>
        <w:rPr>
          <w:sz w:val="20"/>
          <w:szCs w:val="20"/>
          <w:color w:val="auto"/>
        </w:rPr>
      </w:pPr>
      <w:r>
        <w:rPr>
          <w:rFonts w:ascii="Arial" w:cs="Arial" w:eastAsia="Arial" w:hAnsi="Arial"/>
          <w:sz w:val="18"/>
          <w:szCs w:val="18"/>
          <w:color w:val="212529"/>
        </w:rPr>
        <w:t>In January 2022, in connection with the execution of this Lease, the Company issued a letter of credit collateralized by cash deposits of approximately $6.0 million. Such letter of credit shall be reduced to approximately $4.2 million and $1.8 million at the conclusion of the third and sixth Lease years, respectively, provided certain conditions set forth in the Lease are satisfied.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Management of the Company, with the participation of the Company’s Chief Executive Officer (“CEO”) and Chief Financial Officer (“CFO”), has evaluated the effectiveness of the Company’s disclosure controls and procedures as defined in Rules 13a-15(e) and 15d-15(e) under the Securities and Exchange Act of 1934, as amended (the “Exchange Act”). Based on that evaluation, the Company’s CEO and CFO (its “Certifying Officers”) concluded that the Company’s disclosure controls and procedures (as defined in the Exchange Act Rules 13a-15(e) and 15d-15(e)) were effective as of the period covered by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consolidated financial statements for external purposes in accordance with generally accepted accounting principles.</w:t>
      </w:r>
    </w:p>
    <w:p>
      <w:pPr>
        <w:spacing w:after="0" w:line="21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 xml:space="preserve">Management of the Company evaluated the effectiveness of our internal control over financial reporting using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(2013). Based on this evaluation, management concluded that our internal control over financial reporting was effective as of December 31, 2021.</w:t>
      </w:r>
    </w:p>
    <w:p>
      <w:pPr>
        <w:spacing w:after="0" w:line="213"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PricewaterhouseCoopers LLP, an independent registered public accounting firm, as attested to in their report which appears in Item 8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three months ended December 31, 2021, there were no material changes made in our internal control over financial reporting (as such term is defined in Rules 13a-15(f) and 15d-15(f) of the Exchange Act).</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ongoing COVID-19 pandemic, a number of employees and consultants have been working remotely, either part-or full-time. The design of processes, systems, and controls allows for remote execution with accessibility to secure data. The Company is continually monitoring and assessing the evolution and severity of the pandemic to determine any potential impact on the design and operating effectiveness of its internal controls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information required by this item (other than the information set forth in the next paragraph in this Item 10) will be included in our Definitive Proxy Statement with respect to our 2022 Annual Meeting of Shareholders to be filed with the SEC no later than 120 days after the close of our year ended December 31, 2021, and is incorporated herein by reference.</w:t>
      </w:r>
    </w:p>
    <w:p>
      <w:pPr>
        <w:spacing w:after="0" w:line="21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Pursuant to Section 406 of the Sarbanes-Oxley Act of 2002, the Company has adopted a code of business conduct and ethics that applies to our officers, directors, and employees. The full text of our code of business conduct and ethics can be found on our website (http://www.vcel.com) under the “Corporate Governance” heading on the “Investor Relations” page. The information on our web site is not part of, and is not incorporated into, this Annual Report on Form 10-K. The Company may satisfy the disclosure requirements under Item 5.05 of Form 8-K regarding an amendment to, or a waiver from, a provision of our code of business conduct and ethics that applies to our CEO, CFO and other senior financial officers, or persons performing similar functions, by posting such information on our website where it is accessible through the same link noted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4"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information required with respect to this item will be incorporated herein by reference to our Definitive Proxy Statement for our 2022 Annual Meeting of Shareholders or an amendment of this report to be filed with the SEC no later than 120 days after the close of our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4"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information required with respect to this item will be incorporated herein by reference to our Definitive Proxy Statement for our 2022 Annual Meeting of Shareholders or an amendment of this report to be filed with the SEC no later than 120 days after the close of our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information required with respect to this item will be incorporated herein by reference to our Definitive Proxy Statement for our 2022 Annual Meeting of Shareholders or an amendment of this report to be filed with the SEC no later than 120 days after the close of our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4"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information required with respect to this item will be incorporated herein by reference to our Definitive Proxy Statement for our 2022 Annual Meeting of Shareholders or an amendment of this report to be filed with the SEC no later than 120 days after the close of our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4" w:lineRule="exact"/>
        <w:rPr>
          <w:sz w:val="20"/>
          <w:szCs w:val="20"/>
          <w:color w:val="auto"/>
        </w:rPr>
      </w:pPr>
    </w:p>
    <w:p>
      <w:pPr>
        <w:ind w:left="480" w:hanging="233"/>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19" w:lineRule="exact"/>
        <w:rPr>
          <w:rFonts w:ascii="Arial" w:cs="Arial" w:eastAsia="Arial" w:hAnsi="Arial"/>
          <w:sz w:val="18"/>
          <w:szCs w:val="18"/>
          <w:color w:val="auto"/>
        </w:rPr>
      </w:pPr>
    </w:p>
    <w:p>
      <w:pPr>
        <w:ind w:left="820" w:hanging="173"/>
        <w:spacing w:after="0"/>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Consolidated Financial Statements (see </w:t>
      </w:r>
      <w:hyperlink w:anchor="page66">
        <w:r>
          <w:rPr>
            <w:rFonts w:ascii="Arial" w:cs="Arial" w:eastAsia="Arial" w:hAnsi="Arial"/>
            <w:sz w:val="18"/>
            <w:szCs w:val="18"/>
            <w:u w:val="single" w:color="auto"/>
            <w:color w:val="0000FF"/>
          </w:rPr>
          <w:t>Item 8</w:t>
        </w:r>
      </w:hyperlink>
      <w:r>
        <w:rPr>
          <w:rFonts w:ascii="Arial" w:cs="Arial" w:eastAsia="Arial" w:hAnsi="Arial"/>
          <w:sz w:val="18"/>
          <w:szCs w:val="18"/>
          <w:color w:val="auto"/>
        </w:rPr>
        <w:t>).</w:t>
      </w:r>
    </w:p>
    <w:p>
      <w:pPr>
        <w:spacing w:after="0" w:line="19" w:lineRule="exact"/>
        <w:rPr>
          <w:rFonts w:ascii="Arial" w:cs="Arial" w:eastAsia="Arial" w:hAnsi="Arial"/>
          <w:sz w:val="18"/>
          <w:szCs w:val="18"/>
          <w:color w:val="auto"/>
        </w:rPr>
      </w:pPr>
    </w:p>
    <w:p>
      <w:pPr>
        <w:ind w:left="820" w:hanging="173"/>
        <w:spacing w:after="0"/>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information is included in the Consolidated Financial Statements or Notes thereto.</w:t>
      </w:r>
    </w:p>
    <w:p>
      <w:pPr>
        <w:spacing w:after="0" w:line="29" w:lineRule="exact"/>
        <w:rPr>
          <w:rFonts w:ascii="Arial" w:cs="Arial" w:eastAsia="Arial" w:hAnsi="Arial"/>
          <w:sz w:val="16"/>
          <w:szCs w:val="16"/>
          <w:color w:val="auto"/>
        </w:rPr>
      </w:pPr>
    </w:p>
    <w:p>
      <w:pPr>
        <w:ind w:left="820" w:hanging="173"/>
        <w:spacing w:after="0"/>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6" w:lineRule="exact"/>
        <w:rPr>
          <w:sz w:val="20"/>
          <w:szCs w:val="20"/>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95">
        <w:r>
          <w:rPr>
            <w:rFonts w:ascii="Arial" w:cs="Arial" w:eastAsia="Arial" w:hAnsi="Arial"/>
            <w:sz w:val="18"/>
            <w:szCs w:val="18"/>
            <w:u w:val="single" w:color="auto"/>
            <w:color w:val="0000FF"/>
          </w:rPr>
          <w:t>Exhibit Index</w:t>
        </w:r>
      </w:hyperlink>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8813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3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3.5</w:t>
      </w:r>
    </w:p>
    <w:p>
      <w:pPr>
        <w:spacing w:after="0" w:line="3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4.1</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w:t>
      </w:r>
    </w:p>
    <w:p>
      <w:pPr>
        <w:spacing w:after="0" w:line="200" w:lineRule="exact"/>
        <w:rPr>
          <w:sz w:val="20"/>
          <w:szCs w:val="20"/>
          <w:color w:val="auto"/>
        </w:rPr>
      </w:pP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 #</w:t>
      </w: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 #</w:t>
      </w: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10.5 #</w:t>
      </w: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EXHIBIT INDEX</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59645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4555" cy="8255"/>
                    </a:xfrm>
                    <a:prstGeom prst="rect">
                      <a:avLst/>
                    </a:prstGeom>
                    <a:noFill/>
                  </pic:spPr>
                </pic:pic>
              </a:graphicData>
            </a:graphic>
          </wp:anchor>
        </w:drawing>
      </w:r>
    </w:p>
    <w:p>
      <w:pPr>
        <w:spacing w:after="0" w:line="254" w:lineRule="exact"/>
        <w:rPr>
          <w:sz w:val="20"/>
          <w:szCs w:val="20"/>
          <w:color w:val="auto"/>
        </w:rPr>
      </w:pPr>
    </w:p>
    <w:p>
      <w:pPr>
        <w:jc w:val="both"/>
        <w:spacing w:after="0" w:line="231" w:lineRule="auto"/>
        <w:rPr>
          <w:rFonts w:ascii="Arial" w:cs="Arial" w:eastAsia="Arial" w:hAnsi="Arial"/>
          <w:sz w:val="18"/>
          <w:szCs w:val="18"/>
          <w:color w:val="0000FF"/>
        </w:rPr>
      </w:pPr>
      <w:hyperlink r:id="rId120">
        <w:r>
          <w:rPr>
            <w:rFonts w:ascii="Arial" w:cs="Arial" w:eastAsia="Arial" w:hAnsi="Arial"/>
            <w:sz w:val="18"/>
            <w:szCs w:val="18"/>
            <w:u w:val="single" w:color="auto"/>
            <w:color w:val="0000FF"/>
          </w:rPr>
          <w:t>Restated Articles of Incorporation of the Company, filed as Exhibit 4.1 to the Company’s Current Report on Form 8-K filed on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December 17, 2009, incorporated herein by reference</w:t>
        </w:r>
        <w:r>
          <w:rPr>
            <w:rFonts w:ascii="Arial" w:cs="Arial" w:eastAsia="Arial" w:hAnsi="Arial"/>
            <w:sz w:val="18"/>
            <w:szCs w:val="18"/>
            <w:color w:val="000000"/>
          </w:rPr>
          <w:t>.</w:t>
        </w:r>
      </w:hyperlink>
    </w:p>
    <w:p>
      <w:pPr>
        <w:spacing w:after="0" w:line="229" w:lineRule="exact"/>
        <w:rPr>
          <w:sz w:val="20"/>
          <w:szCs w:val="20"/>
          <w:color w:val="auto"/>
        </w:rPr>
      </w:pPr>
    </w:p>
    <w:p>
      <w:pPr>
        <w:jc w:val="both"/>
        <w:spacing w:after="0" w:line="251" w:lineRule="auto"/>
        <w:rPr>
          <w:rFonts w:ascii="Arial" w:cs="Arial" w:eastAsia="Arial" w:hAnsi="Arial"/>
          <w:sz w:val="17"/>
          <w:szCs w:val="17"/>
          <w:color w:val="0000FF"/>
        </w:rPr>
      </w:pPr>
      <w:hyperlink r:id="rId121">
        <w:r>
          <w:rPr>
            <w:rFonts w:ascii="Arial" w:cs="Arial" w:eastAsia="Arial" w:hAnsi="Arial"/>
            <w:sz w:val="17"/>
            <w:szCs w:val="17"/>
            <w:u w:val="single" w:color="auto"/>
            <w:color w:val="0000FF"/>
          </w:rPr>
          <w:t>Certificate of Amendment to Restated Articles of Incorporation of the Company dated February 9, 2010, filed as Exhibit 3.2 to the</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Company’s Post-Effective Amendment No. 1 to Form S-1 filed on March 31, 2010, incorporated herein by reference</w:t>
        </w:r>
        <w:r>
          <w:rPr>
            <w:rFonts w:ascii="Arial" w:cs="Arial" w:eastAsia="Arial" w:hAnsi="Arial"/>
            <w:sz w:val="17"/>
            <w:szCs w:val="17"/>
            <w:color w:val="000000"/>
          </w:rPr>
          <w:t>.</w:t>
        </w:r>
      </w:hyperlink>
    </w:p>
    <w:p>
      <w:pPr>
        <w:spacing w:after="0" w:line="218" w:lineRule="exact"/>
        <w:rPr>
          <w:sz w:val="20"/>
          <w:szCs w:val="20"/>
          <w:color w:val="auto"/>
        </w:rPr>
      </w:pPr>
    </w:p>
    <w:p>
      <w:pPr>
        <w:jc w:val="both"/>
        <w:spacing w:after="0" w:line="231" w:lineRule="auto"/>
        <w:rPr>
          <w:rFonts w:ascii="Arial" w:cs="Arial" w:eastAsia="Arial" w:hAnsi="Arial"/>
          <w:sz w:val="18"/>
          <w:szCs w:val="18"/>
          <w:color w:val="0000FF"/>
        </w:rPr>
      </w:pPr>
      <w:hyperlink r:id="rId122">
        <w:r>
          <w:rPr>
            <w:rFonts w:ascii="Arial" w:cs="Arial" w:eastAsia="Arial" w:hAnsi="Arial"/>
            <w:sz w:val="18"/>
            <w:szCs w:val="18"/>
            <w:u w:val="single" w:color="auto"/>
            <w:color w:val="0000FF"/>
          </w:rPr>
          <w:t>Certificate of Amendment to Restated Articles of Incorporation of the Company dated March 22, 2011, attached as Exhibit 3.1 to</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the Company’s Current Report on Form 8-K filed on March 25, 2011, incorporated herein by reference</w:t>
        </w:r>
        <w:r>
          <w:rPr>
            <w:rFonts w:ascii="Arial" w:cs="Arial" w:eastAsia="Arial" w:hAnsi="Arial"/>
            <w:sz w:val="18"/>
            <w:szCs w:val="18"/>
            <w:color w:val="000000"/>
          </w:rPr>
          <w:t>.</w:t>
        </w:r>
      </w:hyperlink>
    </w:p>
    <w:p>
      <w:pPr>
        <w:spacing w:after="0" w:line="229" w:lineRule="exact"/>
        <w:rPr>
          <w:sz w:val="20"/>
          <w:szCs w:val="20"/>
          <w:color w:val="auto"/>
        </w:rPr>
      </w:pPr>
    </w:p>
    <w:p>
      <w:pPr>
        <w:jc w:val="both"/>
        <w:spacing w:after="0" w:line="251" w:lineRule="auto"/>
        <w:rPr>
          <w:rFonts w:ascii="Arial" w:cs="Arial" w:eastAsia="Arial" w:hAnsi="Arial"/>
          <w:sz w:val="17"/>
          <w:szCs w:val="17"/>
          <w:color w:val="0000FF"/>
        </w:rPr>
      </w:pPr>
      <w:hyperlink r:id="rId123">
        <w:r>
          <w:rPr>
            <w:rFonts w:ascii="Arial" w:cs="Arial" w:eastAsia="Arial" w:hAnsi="Arial"/>
            <w:sz w:val="17"/>
            <w:szCs w:val="17"/>
            <w:u w:val="single" w:color="auto"/>
            <w:color w:val="0000FF"/>
          </w:rPr>
          <w:t>Certificate of Amendment to the Restated Articles of Incorporation of the Company, dated November 21, 2014, attached as</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Exhibit 3.1 to the Company’s Current Report on Form 8-K filed on November 24, 2014, incorporated herein by reference</w:t>
        </w:r>
        <w:r>
          <w:rPr>
            <w:rFonts w:ascii="Arial" w:cs="Arial" w:eastAsia="Arial" w:hAnsi="Arial"/>
            <w:sz w:val="17"/>
            <w:szCs w:val="17"/>
            <w:color w:val="000000"/>
          </w:rPr>
          <w:t>.</w:t>
        </w:r>
      </w:hyperlink>
    </w:p>
    <w:p>
      <w:pPr>
        <w:spacing w:after="0" w:line="218" w:lineRule="exact"/>
        <w:rPr>
          <w:sz w:val="20"/>
          <w:szCs w:val="20"/>
          <w:color w:val="auto"/>
        </w:rPr>
      </w:pPr>
    </w:p>
    <w:p>
      <w:pPr>
        <w:jc w:val="both"/>
        <w:spacing w:after="0" w:line="231" w:lineRule="auto"/>
        <w:rPr>
          <w:rFonts w:ascii="Arial" w:cs="Arial" w:eastAsia="Arial" w:hAnsi="Arial"/>
          <w:sz w:val="18"/>
          <w:szCs w:val="18"/>
          <w:color w:val="0000FF"/>
        </w:rPr>
      </w:pPr>
      <w:hyperlink r:id="rId124">
        <w:r>
          <w:rPr>
            <w:rFonts w:ascii="Arial" w:cs="Arial" w:eastAsia="Arial" w:hAnsi="Arial"/>
            <w:sz w:val="18"/>
            <w:szCs w:val="18"/>
            <w:u w:val="single" w:color="auto"/>
            <w:color w:val="0000FF"/>
          </w:rPr>
          <w:t>Bylaws, as amended, attached as Exhibit 3.1 to the Company’s Current Report on Form 8-K filed on November 12, 2010,</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incorporated herein by reference</w:t>
        </w:r>
        <w:r>
          <w:rPr>
            <w:rFonts w:ascii="Arial" w:cs="Arial" w:eastAsia="Arial" w:hAnsi="Arial"/>
            <w:sz w:val="18"/>
            <w:szCs w:val="18"/>
            <w:color w:val="000000"/>
          </w:rPr>
          <w:t>.</w:t>
        </w:r>
      </w:hyperlink>
    </w:p>
    <w:p>
      <w:pPr>
        <w:spacing w:after="0" w:line="269" w:lineRule="exact"/>
        <w:rPr>
          <w:sz w:val="20"/>
          <w:szCs w:val="20"/>
          <w:color w:val="auto"/>
        </w:rPr>
      </w:pPr>
    </w:p>
    <w:p>
      <w:pPr>
        <w:spacing w:after="0"/>
        <w:rPr>
          <w:rFonts w:ascii="Arial" w:cs="Arial" w:eastAsia="Arial" w:hAnsi="Arial"/>
          <w:sz w:val="17"/>
          <w:szCs w:val="17"/>
          <w:u w:val="single" w:color="auto"/>
          <w:color w:val="0000FF"/>
        </w:rPr>
      </w:pPr>
      <w:hyperlink r:id="rId125">
        <w:r>
          <w:rPr>
            <w:rFonts w:ascii="Arial" w:cs="Arial" w:eastAsia="Arial" w:hAnsi="Arial"/>
            <w:sz w:val="17"/>
            <w:szCs w:val="17"/>
            <w:u w:val="single" w:color="auto"/>
            <w:color w:val="0000FF"/>
          </w:rPr>
          <w:t>Description of Capital Stock (incorporated herein by reference to Exhibit 4.5 on Form 10-K filed on February 25, 2020).</w:t>
        </w:r>
      </w:hyperlink>
    </w:p>
    <w:p>
      <w:pPr>
        <w:spacing w:after="0" w:line="258" w:lineRule="exact"/>
        <w:rPr>
          <w:sz w:val="20"/>
          <w:szCs w:val="20"/>
          <w:color w:val="auto"/>
        </w:rPr>
      </w:pPr>
    </w:p>
    <w:p>
      <w:pPr>
        <w:jc w:val="both"/>
        <w:spacing w:after="0" w:line="231" w:lineRule="auto"/>
        <w:rPr>
          <w:rFonts w:ascii="Arial" w:cs="Arial" w:eastAsia="Arial" w:hAnsi="Arial"/>
          <w:sz w:val="18"/>
          <w:szCs w:val="18"/>
          <w:color w:val="0000FF"/>
        </w:rPr>
      </w:pPr>
      <w:hyperlink r:id="rId126">
        <w:r>
          <w:rPr>
            <w:rFonts w:ascii="Arial" w:cs="Arial" w:eastAsia="Arial" w:hAnsi="Arial"/>
            <w:sz w:val="18"/>
            <w:szCs w:val="18"/>
            <w:u w:val="single" w:color="auto"/>
            <w:color w:val="0000FF"/>
          </w:rPr>
          <w:t>Form of Indemnification Agreement entered into between the Company and each of its directors, attached as Exhibit 10.1 to the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Company’s Current Report on Form 8-K filed on August 31, 2010, incorporated herein by reference</w:t>
        </w:r>
        <w:r>
          <w:rPr>
            <w:rFonts w:ascii="Arial" w:cs="Arial" w:eastAsia="Arial" w:hAnsi="Arial"/>
            <w:sz w:val="18"/>
            <w:szCs w:val="18"/>
            <w:color w:val="000000"/>
          </w:rPr>
          <w:t>.</w:t>
        </w:r>
      </w:hyperlink>
    </w:p>
    <w:p>
      <w:pPr>
        <w:spacing w:after="0" w:line="229" w:lineRule="exact"/>
        <w:rPr>
          <w:sz w:val="20"/>
          <w:szCs w:val="20"/>
          <w:color w:val="auto"/>
        </w:rPr>
      </w:pPr>
    </w:p>
    <w:p>
      <w:pPr>
        <w:jc w:val="both"/>
        <w:spacing w:after="0" w:line="231" w:lineRule="auto"/>
        <w:rPr>
          <w:rFonts w:ascii="Arial" w:cs="Arial" w:eastAsia="Arial" w:hAnsi="Arial"/>
          <w:sz w:val="18"/>
          <w:szCs w:val="18"/>
          <w:color w:val="0000FF"/>
        </w:rPr>
      </w:pPr>
      <w:hyperlink r:id="rId127">
        <w:r>
          <w:rPr>
            <w:rFonts w:ascii="Arial" w:cs="Arial" w:eastAsia="Arial" w:hAnsi="Arial"/>
            <w:sz w:val="18"/>
            <w:szCs w:val="18"/>
            <w:u w:val="single" w:color="auto"/>
            <w:color w:val="0000FF"/>
          </w:rPr>
          <w:t>Senior Executive Incentive Bonus Plan (incorporated herein by reference to Exhibit 10.3 to the Company’s Current Report on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Form 8-K, filed on March 25, 2011)</w:t>
        </w:r>
        <w:r>
          <w:rPr>
            <w:rFonts w:ascii="Arial" w:cs="Arial" w:eastAsia="Arial" w:hAnsi="Arial"/>
            <w:sz w:val="18"/>
            <w:szCs w:val="18"/>
            <w:color w:val="000000"/>
          </w:rPr>
          <w:t>.</w:t>
        </w:r>
      </w:hyperlink>
    </w:p>
    <w:p>
      <w:pPr>
        <w:spacing w:after="0" w:line="229" w:lineRule="exact"/>
        <w:rPr>
          <w:sz w:val="20"/>
          <w:szCs w:val="20"/>
          <w:color w:val="auto"/>
        </w:rPr>
      </w:pPr>
    </w:p>
    <w:p>
      <w:pPr>
        <w:jc w:val="both"/>
        <w:spacing w:after="0" w:line="221" w:lineRule="auto"/>
        <w:rPr>
          <w:rFonts w:ascii="Arial" w:cs="Arial" w:eastAsia="Arial" w:hAnsi="Arial"/>
          <w:sz w:val="18"/>
          <w:szCs w:val="18"/>
          <w:color w:val="0000FF"/>
        </w:rPr>
      </w:pPr>
      <w:hyperlink r:id="rId128">
        <w:r>
          <w:rPr>
            <w:rFonts w:ascii="Arial" w:cs="Arial" w:eastAsia="Arial" w:hAnsi="Arial"/>
            <w:sz w:val="18"/>
            <w:szCs w:val="18"/>
            <w:u w:val="single" w:color="auto"/>
            <w:color w:val="0000FF"/>
          </w:rPr>
          <w:t>Executive Employment Agreement, executed March 4, 2013 and effective March 1, 2013, by and between the Company and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Dominick C. Colangelo (incorporated herein by reference to Exhibit 10.1 to the Company’s Report on Form 8-K, filed on March 8,</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2013)</w:t>
        </w:r>
        <w:r>
          <w:rPr>
            <w:rFonts w:ascii="Arial" w:cs="Arial" w:eastAsia="Arial" w:hAnsi="Arial"/>
            <w:sz w:val="18"/>
            <w:szCs w:val="18"/>
            <w:color w:val="000000"/>
          </w:rPr>
          <w:t>.</w:t>
        </w:r>
      </w:hyperlink>
    </w:p>
    <w:p>
      <w:pPr>
        <w:spacing w:after="0" w:line="255" w:lineRule="exact"/>
        <w:rPr>
          <w:rFonts w:ascii="Arial" w:cs="Arial" w:eastAsia="Arial" w:hAnsi="Arial"/>
          <w:sz w:val="18"/>
          <w:szCs w:val="18"/>
          <w:u w:val="single" w:color="auto"/>
          <w:color w:val="0000FF"/>
        </w:rPr>
      </w:pPr>
    </w:p>
    <w:p>
      <w:pPr>
        <w:jc w:val="both"/>
        <w:spacing w:after="0" w:line="231" w:lineRule="auto"/>
        <w:rPr>
          <w:rFonts w:ascii="Arial" w:cs="Arial" w:eastAsia="Arial" w:hAnsi="Arial"/>
          <w:sz w:val="18"/>
          <w:szCs w:val="18"/>
          <w:color w:val="0000FF"/>
        </w:rPr>
      </w:pPr>
      <w:hyperlink r:id="rId129">
        <w:r>
          <w:rPr>
            <w:rFonts w:ascii="Arial" w:cs="Arial" w:eastAsia="Arial" w:hAnsi="Arial"/>
            <w:sz w:val="18"/>
            <w:szCs w:val="18"/>
            <w:u w:val="single" w:color="auto"/>
            <w:color w:val="0000FF"/>
          </w:rPr>
          <w:t>Asset Purchase Agreement, dated as of April 19, 2014, by and between the Company and Sanofi (incorporated herein by reference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to Exhibit 2.1 to the Company’s Current Report on Form 8-K filed on April 23, 2014)</w:t>
        </w:r>
        <w:r>
          <w:rPr>
            <w:rFonts w:ascii="Arial" w:cs="Arial" w:eastAsia="Arial" w:hAnsi="Arial"/>
            <w:sz w:val="18"/>
            <w:szCs w:val="18"/>
            <w:color w:val="000000"/>
          </w:rPr>
          <w:t>.</w:t>
        </w:r>
      </w:hyperlink>
    </w:p>
    <w:p>
      <w:pPr>
        <w:spacing w:after="0" w:line="229" w:lineRule="exact"/>
        <w:rPr>
          <w:sz w:val="20"/>
          <w:szCs w:val="20"/>
          <w:color w:val="auto"/>
        </w:rPr>
      </w:pPr>
    </w:p>
    <w:p>
      <w:pPr>
        <w:jc w:val="both"/>
        <w:spacing w:after="0" w:line="231" w:lineRule="auto"/>
        <w:rPr>
          <w:rFonts w:ascii="Arial" w:cs="Arial" w:eastAsia="Arial" w:hAnsi="Arial"/>
          <w:sz w:val="18"/>
          <w:szCs w:val="18"/>
          <w:color w:val="0000FF"/>
        </w:rPr>
      </w:pPr>
      <w:hyperlink r:id="rId130">
        <w:r>
          <w:rPr>
            <w:rFonts w:ascii="Arial" w:cs="Arial" w:eastAsia="Arial" w:hAnsi="Arial"/>
            <w:sz w:val="18"/>
            <w:szCs w:val="18"/>
            <w:u w:val="single" w:color="auto"/>
            <w:color w:val="0000FF"/>
          </w:rPr>
          <w:t>Second Amended and Restated 2009 Omnibus Incentive Plan (previously filed as Appendix II to the Company’s definitive proxy</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statement on Schedule 14A, filed on October 21, 2014 and incorporated herein by reference)</w:t>
        </w:r>
        <w:r>
          <w:rPr>
            <w:rFonts w:ascii="Arial" w:cs="Arial" w:eastAsia="Arial" w:hAnsi="Arial"/>
            <w:sz w:val="18"/>
            <w:szCs w:val="18"/>
            <w:color w:val="000000"/>
          </w:rPr>
          <w:t>.</w:t>
        </w:r>
      </w:hyperlink>
    </w:p>
    <w:p>
      <w:pPr>
        <w:spacing w:after="0" w:line="229" w:lineRule="exact"/>
        <w:rPr>
          <w:sz w:val="20"/>
          <w:szCs w:val="20"/>
          <w:color w:val="auto"/>
        </w:rPr>
      </w:pPr>
    </w:p>
    <w:p>
      <w:pPr>
        <w:jc w:val="both"/>
        <w:spacing w:after="0" w:line="251" w:lineRule="auto"/>
        <w:rPr>
          <w:rFonts w:ascii="Arial" w:cs="Arial" w:eastAsia="Arial" w:hAnsi="Arial"/>
          <w:sz w:val="17"/>
          <w:szCs w:val="17"/>
          <w:color w:val="0000FF"/>
        </w:rPr>
      </w:pPr>
      <w:hyperlink r:id="rId131">
        <w:r>
          <w:rPr>
            <w:rFonts w:ascii="Arial" w:cs="Arial" w:eastAsia="Arial" w:hAnsi="Arial"/>
            <w:sz w:val="17"/>
            <w:szCs w:val="17"/>
            <w:u w:val="single" w:color="auto"/>
            <w:color w:val="0000FF"/>
          </w:rPr>
          <w:t>Lease Agreement, dated November 30, 2005, by and between the Company and Up 64 Sidney Street, LLC, as amended</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(incorporated herein by reference as Exhibit 10.57 to the Company's Annual Report on Form 10-K, filed March 14, 2016)</w:t>
        </w:r>
        <w:r>
          <w:rPr>
            <w:rFonts w:ascii="Arial" w:cs="Arial" w:eastAsia="Arial" w:hAnsi="Arial"/>
            <w:sz w:val="17"/>
            <w:szCs w:val="17"/>
            <w:color w:val="000000"/>
          </w:rPr>
          <w:t>.</w:t>
        </w:r>
      </w:hyperlink>
    </w:p>
    <w:p>
      <w:pPr>
        <w:spacing w:after="0" w:line="245" w:lineRule="exact"/>
        <w:rPr>
          <w:sz w:val="20"/>
          <w:szCs w:val="20"/>
          <w:color w:val="auto"/>
        </w:rPr>
      </w:pPr>
    </w:p>
    <w:p>
      <w:pPr>
        <w:jc w:val="both"/>
        <w:spacing w:after="0" w:line="251" w:lineRule="auto"/>
        <w:rPr>
          <w:rFonts w:ascii="Arial" w:cs="Arial" w:eastAsia="Arial" w:hAnsi="Arial"/>
          <w:sz w:val="17"/>
          <w:szCs w:val="17"/>
          <w:u w:val="single" w:color="auto"/>
          <w:color w:val="0000FF"/>
        </w:rPr>
      </w:pPr>
      <w:hyperlink r:id="rId132">
        <w:r>
          <w:rPr>
            <w:rFonts w:ascii="Arial" w:cs="Arial" w:eastAsia="Arial" w:hAnsi="Arial"/>
            <w:sz w:val="17"/>
            <w:szCs w:val="17"/>
            <w:u w:val="single" w:color="auto"/>
            <w:color w:val="0000FF"/>
          </w:rPr>
          <w:t>Lease Agreement, dated October 21, 2020 by and between the Company and Up 64 Sidney Street, LLC, as amended, (incorporated</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herein by reference as Exhibit 10.7 to the Company’s Annual Report on Form 10-K, filed February 24, 2021).</w:t>
        </w:r>
      </w:hyperlink>
    </w:p>
    <w:p>
      <w:pPr>
        <w:spacing w:after="0" w:line="245" w:lineRule="exact"/>
        <w:rPr>
          <w:sz w:val="20"/>
          <w:szCs w:val="20"/>
          <w:color w:val="auto"/>
        </w:rPr>
      </w:pPr>
    </w:p>
    <w:p>
      <w:pPr>
        <w:jc w:val="both"/>
        <w:spacing w:after="0" w:line="251" w:lineRule="auto"/>
        <w:rPr>
          <w:rFonts w:ascii="Arial" w:cs="Arial" w:eastAsia="Arial" w:hAnsi="Arial"/>
          <w:sz w:val="17"/>
          <w:szCs w:val="17"/>
          <w:color w:val="0000FF"/>
        </w:rPr>
      </w:pPr>
      <w:hyperlink r:id="rId133">
        <w:r>
          <w:rPr>
            <w:rFonts w:ascii="Arial" w:cs="Arial" w:eastAsia="Arial" w:hAnsi="Arial"/>
            <w:sz w:val="17"/>
            <w:szCs w:val="17"/>
            <w:u w:val="single" w:color="auto"/>
            <w:color w:val="0000FF"/>
          </w:rPr>
          <w:t>Vericel Corporation 2015 Employee Stock Purchase Plan (incorporated herein by reference to Appendix I of the Company’s Proxy</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Statement on Schedule 14A for the fiscal year ended December 31, 2014, filed on March 25, 2015)</w:t>
        </w:r>
        <w:r>
          <w:rPr>
            <w:rFonts w:ascii="Arial" w:cs="Arial" w:eastAsia="Arial" w:hAnsi="Arial"/>
            <w:sz w:val="17"/>
            <w:szCs w:val="17"/>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68580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200" w:space="600"/>
            <w:col w:w="9360"/>
          </w:cols>
          <w:pgMar w:left="340" w:top="179" w:right="39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8813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10.9 †</w:t>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10.10 #</w:t>
      </w:r>
    </w:p>
    <w:p>
      <w:pPr>
        <w:spacing w:after="0" w:line="200" w:lineRule="exact"/>
        <w:rPr>
          <w:sz w:val="20"/>
          <w:szCs w:val="20"/>
          <w:color w:val="auto"/>
        </w:rPr>
      </w:pPr>
    </w:p>
    <w:p>
      <w:pPr>
        <w:spacing w:after="0" w:line="2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10.12 †</w:t>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10.13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10.14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10.15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10.16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10.17 #</w:t>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10.18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10.19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10.20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10.21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10.22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59645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5964555" cy="8255"/>
                    </a:xfrm>
                    <a:prstGeom prst="rect">
                      <a:avLst/>
                    </a:prstGeom>
                    <a:noFill/>
                  </pic:spPr>
                </pic:pic>
              </a:graphicData>
            </a:graphic>
          </wp:anchor>
        </w:drawing>
      </w:r>
    </w:p>
    <w:p>
      <w:pPr>
        <w:spacing w:after="0" w:line="268" w:lineRule="exact"/>
        <w:rPr>
          <w:sz w:val="20"/>
          <w:szCs w:val="20"/>
          <w:color w:val="auto"/>
        </w:rPr>
      </w:pPr>
    </w:p>
    <w:p>
      <w:pPr>
        <w:spacing w:after="0" w:line="231" w:lineRule="auto"/>
        <w:rPr>
          <w:rFonts w:ascii="Arial" w:cs="Arial" w:eastAsia="Arial" w:hAnsi="Arial"/>
          <w:sz w:val="18"/>
          <w:szCs w:val="18"/>
          <w:color w:val="0000FF"/>
        </w:rPr>
      </w:pPr>
      <w:hyperlink r:id="rId137">
        <w:r>
          <w:rPr>
            <w:rFonts w:ascii="Arial" w:cs="Arial" w:eastAsia="Arial" w:hAnsi="Arial"/>
            <w:sz w:val="18"/>
            <w:szCs w:val="18"/>
            <w:u w:val="single" w:color="auto"/>
            <w:color w:val="0000FF"/>
          </w:rPr>
          <w:t>Distribution Agreement by and between Orsini Pharmaceutical Services, Inc. and the Company, dated May 15, 2017 (incorporated</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herein by reference to Exhibit 10.1 on Form 8-K/A filed June 2, 2017)</w:t>
        </w:r>
        <w:r>
          <w:rPr>
            <w:rFonts w:ascii="Arial" w:cs="Arial" w:eastAsia="Arial" w:hAnsi="Arial"/>
            <w:sz w:val="18"/>
            <w:szCs w:val="18"/>
            <w:color w:val="000000"/>
          </w:rPr>
          <w:t>.</w:t>
        </w:r>
      </w:hyperlink>
    </w:p>
    <w:p>
      <w:pPr>
        <w:spacing w:after="0" w:line="255" w:lineRule="exact"/>
        <w:rPr>
          <w:sz w:val="20"/>
          <w:szCs w:val="20"/>
          <w:color w:val="auto"/>
        </w:rPr>
      </w:pPr>
    </w:p>
    <w:p>
      <w:pPr>
        <w:spacing w:after="0" w:line="231" w:lineRule="auto"/>
        <w:rPr>
          <w:rFonts w:ascii="Arial" w:cs="Arial" w:eastAsia="Arial" w:hAnsi="Arial"/>
          <w:sz w:val="18"/>
          <w:szCs w:val="18"/>
          <w:color w:val="0000FF"/>
        </w:rPr>
      </w:pPr>
      <w:hyperlink r:id="rId138">
        <w:r>
          <w:rPr>
            <w:rFonts w:ascii="Arial" w:cs="Arial" w:eastAsia="Arial" w:hAnsi="Arial"/>
            <w:sz w:val="18"/>
            <w:szCs w:val="18"/>
            <w:u w:val="single" w:color="auto"/>
            <w:color w:val="0000FF"/>
          </w:rPr>
          <w:t>First Amendment to Executive Employment Agreement by and between Dominick C. Colangelo and the Company, dated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September 14, 2017 (incorporated herein by reference to Exhibit 10.1 on Form 8-K filed September 19, 2017)</w:t>
        </w:r>
        <w:r>
          <w:rPr>
            <w:rFonts w:ascii="Arial" w:cs="Arial" w:eastAsia="Arial" w:hAnsi="Arial"/>
            <w:sz w:val="18"/>
            <w:szCs w:val="18"/>
            <w:color w:val="000000"/>
          </w:rPr>
          <w:t>.</w:t>
        </w:r>
      </w:hyperlink>
    </w:p>
    <w:p>
      <w:pPr>
        <w:spacing w:after="0" w:line="255" w:lineRule="exact"/>
        <w:rPr>
          <w:sz w:val="20"/>
          <w:szCs w:val="20"/>
          <w:color w:val="auto"/>
        </w:rPr>
      </w:pPr>
    </w:p>
    <w:p>
      <w:pPr>
        <w:spacing w:after="0" w:line="231" w:lineRule="auto"/>
        <w:rPr>
          <w:rFonts w:ascii="Arial" w:cs="Arial" w:eastAsia="Arial" w:hAnsi="Arial"/>
          <w:sz w:val="18"/>
          <w:szCs w:val="18"/>
          <w:color w:val="0000FF"/>
        </w:rPr>
      </w:pPr>
      <w:hyperlink r:id="rId139">
        <w:r>
          <w:rPr>
            <w:rFonts w:ascii="Arial" w:cs="Arial" w:eastAsia="Arial" w:hAnsi="Arial"/>
            <w:sz w:val="18"/>
            <w:szCs w:val="18"/>
            <w:u w:val="single" w:color="auto"/>
            <w:color w:val="0000FF"/>
          </w:rPr>
          <w:t>First Amendment to Distribution Agreement between Orsini Pharmaceutical Services, Inc. and the Company, dated August 10,</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2017 (incorporated herein by reference to Exhibit 10.8 on Form 10-Q filed November 7, 2017)</w:t>
        </w:r>
        <w:r>
          <w:rPr>
            <w:rFonts w:ascii="Arial" w:cs="Arial" w:eastAsia="Arial" w:hAnsi="Arial"/>
            <w:sz w:val="18"/>
            <w:szCs w:val="18"/>
            <w:color w:val="000000"/>
          </w:rPr>
          <w:t>.</w:t>
        </w:r>
      </w:hyperlink>
    </w:p>
    <w:p>
      <w:pPr>
        <w:spacing w:after="0" w:line="255" w:lineRule="exact"/>
        <w:rPr>
          <w:sz w:val="20"/>
          <w:szCs w:val="20"/>
          <w:color w:val="auto"/>
        </w:rPr>
      </w:pPr>
    </w:p>
    <w:p>
      <w:pPr>
        <w:spacing w:after="0" w:line="231" w:lineRule="auto"/>
        <w:rPr>
          <w:rFonts w:ascii="Arial" w:cs="Arial" w:eastAsia="Arial" w:hAnsi="Arial"/>
          <w:sz w:val="18"/>
          <w:szCs w:val="18"/>
          <w:color w:val="0000FF"/>
        </w:rPr>
      </w:pPr>
      <w:hyperlink r:id="rId140">
        <w:r>
          <w:rPr>
            <w:rFonts w:ascii="Arial" w:cs="Arial" w:eastAsia="Arial" w:hAnsi="Arial"/>
            <w:sz w:val="18"/>
            <w:szCs w:val="18"/>
            <w:u w:val="single" w:color="auto"/>
            <w:color w:val="0000FF"/>
          </w:rPr>
          <w:t>Second Amendment to Distribution Agreement between Orsini Pharmaceutical Services, Inc. and the Company, dated October 13,</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2017 (incorporated herein by reference to Exhibit 10.56 on Form 10-K filed March 8, 2018)</w:t>
        </w:r>
        <w:r>
          <w:rPr>
            <w:rFonts w:ascii="Arial" w:cs="Arial" w:eastAsia="Arial" w:hAnsi="Arial"/>
            <w:sz w:val="18"/>
            <w:szCs w:val="18"/>
            <w:color w:val="000000"/>
          </w:rPr>
          <w:t>.</w:t>
        </w:r>
      </w:hyperlink>
    </w:p>
    <w:p>
      <w:pPr>
        <w:spacing w:after="0" w:line="255" w:lineRule="exact"/>
        <w:rPr>
          <w:sz w:val="20"/>
          <w:szCs w:val="20"/>
          <w:color w:val="auto"/>
        </w:rPr>
      </w:pPr>
    </w:p>
    <w:p>
      <w:pPr>
        <w:spacing w:after="0" w:line="231" w:lineRule="auto"/>
        <w:rPr>
          <w:rFonts w:ascii="Arial" w:cs="Arial" w:eastAsia="Arial" w:hAnsi="Arial"/>
          <w:sz w:val="18"/>
          <w:szCs w:val="18"/>
          <w:color w:val="0000FF"/>
        </w:rPr>
      </w:pPr>
      <w:hyperlink r:id="rId141">
        <w:r>
          <w:rPr>
            <w:rFonts w:ascii="Arial" w:cs="Arial" w:eastAsia="Arial" w:hAnsi="Arial"/>
            <w:sz w:val="18"/>
            <w:szCs w:val="18"/>
            <w:u w:val="single" w:color="auto"/>
            <w:color w:val="0000FF"/>
          </w:rPr>
          <w:t>Third Amendment to Distribution Agreement between Orsini Pharmaceutical Services, Inc. and the Company, dated November 14,</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2017 (incorporated herein by reference to Exhibit 10.57 on Form 10-K filed March 8, 2018)</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color w:val="0000FF"/>
        </w:rPr>
      </w:pPr>
      <w:hyperlink r:id="rId142">
        <w:r>
          <w:rPr>
            <w:rFonts w:ascii="Arial" w:cs="Arial" w:eastAsia="Arial" w:hAnsi="Arial"/>
            <w:sz w:val="18"/>
            <w:szCs w:val="18"/>
            <w:u w:val="single" w:color="auto"/>
            <w:color w:val="0000FF"/>
          </w:rPr>
          <w:t>Fourth Amendment to Distribution Agreement between Orsini Pharmaceutical Services, Inc. and the Company, dated July 25,</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2018 (incorporated herein by reference to Exhibit 10.1 on Form 10-Q filed November 6, 2018)</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color w:val="0000FF"/>
        </w:rPr>
      </w:pPr>
      <w:hyperlink r:id="rId143">
        <w:r>
          <w:rPr>
            <w:rFonts w:ascii="Arial" w:cs="Arial" w:eastAsia="Arial" w:hAnsi="Arial"/>
            <w:sz w:val="18"/>
            <w:szCs w:val="18"/>
            <w:u w:val="single" w:color="auto"/>
            <w:color w:val="0000FF"/>
          </w:rPr>
          <w:t>Dispensing Agreement by and between AllCare Plus Pharmacy and the Company, dated July 26, 2018 (incorporated herein by</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reference to Exhibit 10.2 on Form 10-Q, filed November 6, 2018)</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color w:val="0000FF"/>
        </w:rPr>
      </w:pPr>
      <w:hyperlink r:id="rId144">
        <w:r>
          <w:rPr>
            <w:rFonts w:ascii="Arial" w:cs="Arial" w:eastAsia="Arial" w:hAnsi="Arial"/>
            <w:sz w:val="18"/>
            <w:szCs w:val="18"/>
            <w:u w:val="single" w:color="auto"/>
            <w:color w:val="0000FF"/>
          </w:rPr>
          <w:t>Fifth Amendment to Distribution Agreement between Orsini Pharmaceutical Services, Inc. and the Company, dated October 18,</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2018 (incorporated herein by reference to Exhibit 10.3 on Form 10-Q filed November 6, 2018)</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color w:val="0000FF"/>
        </w:rPr>
      </w:pPr>
      <w:hyperlink r:id="rId145">
        <w:r>
          <w:rPr>
            <w:rFonts w:ascii="Arial" w:cs="Arial" w:eastAsia="Arial" w:hAnsi="Arial"/>
            <w:sz w:val="18"/>
            <w:szCs w:val="18"/>
            <w:u w:val="single" w:color="auto"/>
            <w:color w:val="0000FF"/>
          </w:rPr>
          <w:t>Amended and Restated Non-Employee Director Compensation Guidelines (incorporated herein by reference to Exhibit 32.3 on</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Form 10-Q filed August 4, 2021)</w:t>
        </w:r>
        <w:r>
          <w:rPr>
            <w:rFonts w:ascii="Arial" w:cs="Arial" w:eastAsia="Arial" w:hAnsi="Arial"/>
            <w:sz w:val="18"/>
            <w:szCs w:val="18"/>
            <w:color w:val="000000"/>
          </w:rPr>
          <w:t>.</w:t>
        </w:r>
      </w:hyperlink>
    </w:p>
    <w:p>
      <w:pPr>
        <w:spacing w:after="0" w:line="255" w:lineRule="exact"/>
        <w:rPr>
          <w:sz w:val="20"/>
          <w:szCs w:val="20"/>
          <w:color w:val="auto"/>
        </w:rPr>
      </w:pPr>
    </w:p>
    <w:p>
      <w:pPr>
        <w:spacing w:after="0" w:line="231" w:lineRule="auto"/>
        <w:rPr>
          <w:rFonts w:ascii="Arial" w:cs="Arial" w:eastAsia="Arial" w:hAnsi="Arial"/>
          <w:sz w:val="18"/>
          <w:szCs w:val="18"/>
          <w:color w:val="0000FF"/>
        </w:rPr>
      </w:pPr>
      <w:hyperlink r:id="rId146">
        <w:r>
          <w:rPr>
            <w:rFonts w:ascii="Arial" w:cs="Arial" w:eastAsia="Arial" w:hAnsi="Arial"/>
            <w:sz w:val="18"/>
            <w:szCs w:val="18"/>
            <w:u w:val="single" w:color="auto"/>
            <w:color w:val="0000FF"/>
          </w:rPr>
          <w:t>Amended and Restated ACI-Maix Supply Agreement, dated March 17, 2018, as amended, by and between the Company and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Matricel GMBH (incorporated herein by reference to Exhibit 10.1 on Form 10-Q filed May 8, 2018)</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color w:val="0000FF"/>
        </w:rPr>
      </w:pPr>
      <w:hyperlink r:id="rId147">
        <w:r>
          <w:rPr>
            <w:rFonts w:ascii="Arial" w:cs="Arial" w:eastAsia="Arial" w:hAnsi="Arial"/>
            <w:sz w:val="18"/>
            <w:szCs w:val="18"/>
            <w:u w:val="single" w:color="auto"/>
            <w:color w:val="0000FF"/>
          </w:rPr>
          <w:t>2017 Omnibus Incentive Plan (previously filed as Appendix I to the Company's definitive proxy statement on Schedule 14A, filed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March 20, 2017 and incorporated herein by reference)</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New Hire Incentive Stock Option Agreement under the 2017 Omnibus Incentive Plan (incorporated herein by reference to</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Exhibit 10.48 on Form 10-K filed February 26, 2019).</w:t>
        </w:r>
      </w:hyperlink>
    </w:p>
    <w:p>
      <w:pPr>
        <w:spacing w:after="0" w:line="269" w:lineRule="exact"/>
        <w:rPr>
          <w:sz w:val="20"/>
          <w:szCs w:val="20"/>
          <w:color w:val="auto"/>
        </w:rPr>
      </w:pPr>
    </w:p>
    <w:p>
      <w:pPr>
        <w:spacing w:after="0" w:line="231" w:lineRule="auto"/>
        <w:rPr>
          <w:rFonts w:ascii="Arial" w:cs="Arial" w:eastAsia="Arial" w:hAnsi="Arial"/>
          <w:sz w:val="18"/>
          <w:szCs w:val="18"/>
          <w:color w:val="0000FF"/>
        </w:rPr>
      </w:pPr>
      <w:hyperlink r:id="rId149">
        <w:r>
          <w:rPr>
            <w:rFonts w:ascii="Arial" w:cs="Arial" w:eastAsia="Arial" w:hAnsi="Arial"/>
            <w:sz w:val="18"/>
            <w:szCs w:val="18"/>
            <w:u w:val="single" w:color="auto"/>
            <w:color w:val="0000FF"/>
          </w:rPr>
          <w:t>Form of Incentive Stock Option Award Agreement under the 2017 Omnibus Incentive Plan (incorporated herein by reference to</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Exhibit 10.49 on Form 10-K filed February 26, 2019)</w:t>
        </w:r>
        <w:r>
          <w:rPr>
            <w:rFonts w:ascii="Arial" w:cs="Arial" w:eastAsia="Arial" w:hAnsi="Arial"/>
            <w:sz w:val="18"/>
            <w:szCs w:val="18"/>
            <w:color w:val="000000"/>
          </w:rPr>
          <w:t>.</w:t>
        </w:r>
      </w:hyperlink>
    </w:p>
    <w:p>
      <w:pPr>
        <w:spacing w:after="0" w:line="269" w:lineRule="exact"/>
        <w:rPr>
          <w:sz w:val="20"/>
          <w:szCs w:val="20"/>
          <w:color w:val="auto"/>
        </w:rPr>
      </w:pPr>
    </w:p>
    <w:p>
      <w:pPr>
        <w:spacing w:after="0" w:line="231"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Form of Non-Employee Director Award Agreement under the 2017 Omnibus Incentive Plan (incorporated herein by reference to</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Exhibit 10.50 on Form 10-K filed February 26, 2019).</w:t>
        </w:r>
      </w:hyperlink>
    </w:p>
    <w:p>
      <w:pPr>
        <w:spacing w:after="0" w:line="269" w:lineRule="exact"/>
        <w:rPr>
          <w:sz w:val="20"/>
          <w:szCs w:val="20"/>
          <w:color w:val="auto"/>
        </w:rPr>
      </w:pPr>
    </w:p>
    <w:p>
      <w:pPr>
        <w:spacing w:after="0" w:line="231"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Restricted Stock Unit Award Agreement under the 2017 Omnibus Incentive Plan (incorporated herein by reference to</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Exhibit 10.51 on Form 10-K filed February 26,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68580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200" w:space="600"/>
            <w:col w:w="9360"/>
          </w:cols>
          <w:pgMar w:left="340" w:top="179" w:right="39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8813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10.24 #</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10.25 #</w:t>
      </w: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10.26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10.27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10.28 #</w:t>
      </w: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10.29 #</w:t>
      </w:r>
    </w:p>
    <w:p>
      <w:pPr>
        <w:spacing w:after="0" w:line="200" w:lineRule="exact"/>
        <w:rPr>
          <w:sz w:val="20"/>
          <w:szCs w:val="20"/>
          <w:color w:val="auto"/>
        </w:rPr>
      </w:pPr>
    </w:p>
    <w:p>
      <w:pPr>
        <w:spacing w:after="0" w:line="3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10.32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10.33 †</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10.35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10.36 #</w:t>
      </w: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59645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5964555" cy="8255"/>
                    </a:xfrm>
                    <a:prstGeom prst="rect">
                      <a:avLst/>
                    </a:prstGeom>
                    <a:noFill/>
                  </pic:spPr>
                </pic:pic>
              </a:graphicData>
            </a:graphic>
          </wp:anchor>
        </w:drawing>
      </w:r>
    </w:p>
    <w:p>
      <w:pPr>
        <w:spacing w:after="0" w:line="27" w:lineRule="exact"/>
        <w:rPr>
          <w:sz w:val="20"/>
          <w:szCs w:val="20"/>
          <w:color w:val="auto"/>
        </w:rPr>
      </w:pPr>
    </w:p>
    <w:p>
      <w:pPr>
        <w:spacing w:after="0" w:line="231"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Vericel Corporation Amended and Restated 2019 Omnibus Incentive Plan (incorporated herein by reference to Exhibit 10.1 on</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Form 8-K filed May 1, 2020).</w:t>
        </w:r>
      </w:hyperlink>
    </w:p>
    <w:p>
      <w:pPr>
        <w:spacing w:after="0" w:line="200" w:lineRule="exact"/>
        <w:rPr>
          <w:sz w:val="20"/>
          <w:szCs w:val="20"/>
          <w:color w:val="auto"/>
        </w:rPr>
      </w:pPr>
    </w:p>
    <w:p>
      <w:pPr>
        <w:spacing w:after="0" w:line="309" w:lineRule="exact"/>
        <w:rPr>
          <w:sz w:val="20"/>
          <w:szCs w:val="20"/>
          <w:color w:val="auto"/>
        </w:rPr>
      </w:pPr>
    </w:p>
    <w:p>
      <w:pPr>
        <w:ind w:right="420"/>
        <w:spacing w:after="0" w:line="299" w:lineRule="auto"/>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Form of Amended and Restated Incentive Stock Option Agreement for Employees under the 2019 Omnibus Incentive Plan</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(incorporated herein by reference to Exhibit 10.31 on the Company’s Annual Report on Form 10-K, filed February 24, 2021).</w:t>
        </w:r>
      </w:hyperlink>
    </w:p>
    <w:p>
      <w:pPr>
        <w:spacing w:after="0" w:line="235" w:lineRule="exact"/>
        <w:rPr>
          <w:sz w:val="20"/>
          <w:szCs w:val="20"/>
          <w:color w:val="auto"/>
        </w:rPr>
      </w:pPr>
    </w:p>
    <w:p>
      <w:pPr>
        <w:ind w:right="420"/>
        <w:spacing w:after="0" w:line="299"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Form of Incentive Stock Option Agreement for New Hires under the Amended and Restated 2019 Omnibus Incentive Plan</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(incorporated herein by reference to Exhibit 10.32 on the Company’s Annual Report on Form 10-K, filed February 24, 2021).</w:t>
        </w:r>
      </w:hyperlink>
    </w:p>
    <w:p>
      <w:pPr>
        <w:spacing w:after="0" w:line="235" w:lineRule="exact"/>
        <w:rPr>
          <w:sz w:val="20"/>
          <w:szCs w:val="20"/>
          <w:color w:val="auto"/>
        </w:rPr>
      </w:pPr>
    </w:p>
    <w:p>
      <w:pPr>
        <w:ind w:right="300"/>
        <w:spacing w:after="0" w:line="299"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Form of Amended and Restated Non-Qualified Stock Option Agreement under the 2019 Omnibus Incentive Plan (incorporated</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herein by reference to Exhibit 10.33 on the Company’s Annual Report on Form 10-K, filed February 24, 2021).</w:t>
        </w:r>
      </w:hyperlink>
    </w:p>
    <w:p>
      <w:pPr>
        <w:spacing w:after="0" w:line="200" w:lineRule="exact"/>
        <w:rPr>
          <w:sz w:val="20"/>
          <w:szCs w:val="20"/>
          <w:color w:val="auto"/>
        </w:rPr>
      </w:pPr>
    </w:p>
    <w:p>
      <w:pPr>
        <w:spacing w:after="0" w:line="276" w:lineRule="exact"/>
        <w:rPr>
          <w:sz w:val="20"/>
          <w:szCs w:val="20"/>
          <w:color w:val="auto"/>
        </w:rPr>
      </w:pPr>
    </w:p>
    <w:p>
      <w:pPr>
        <w:ind w:right="200"/>
        <w:spacing w:after="0" w:line="299"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Form of Amended and Restated Restricted Stock Unit Award Agreement for Employees under the 2019 Omnibus Incentive Plan</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(incorporated herein by reference to Exhibit 10.34 on the Company’s Annual Report on Form 10-K, filed February 24, 2021).</w:t>
        </w:r>
      </w:hyperlink>
    </w:p>
    <w:p>
      <w:pPr>
        <w:spacing w:after="0" w:line="235" w:lineRule="exact"/>
        <w:rPr>
          <w:sz w:val="20"/>
          <w:szCs w:val="20"/>
          <w:color w:val="auto"/>
        </w:rPr>
      </w:pPr>
    </w:p>
    <w:p>
      <w:pPr>
        <w:ind w:right="420"/>
        <w:spacing w:after="0" w:line="299" w:lineRule="auto"/>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Form of Restricted Stock Unit Award Agreement for Non-employee Directors under the 2019 Omnibus Incentive Plan</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(incorporated herein by reference to Exhibit 10.35 on the Company’s Annual Report on Form 10-K, filed February 24, 2021).</w:t>
        </w:r>
      </w:hyperlink>
    </w:p>
    <w:p>
      <w:pPr>
        <w:spacing w:after="0" w:line="235" w:lineRule="exact"/>
        <w:rPr>
          <w:sz w:val="20"/>
          <w:szCs w:val="20"/>
          <w:color w:val="auto"/>
        </w:rPr>
      </w:pPr>
    </w:p>
    <w:p>
      <w:pPr>
        <w:spacing w:after="0" w:line="231"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Sixth Amendment to Distribution Agreement between Orsini Pharmaceutical Services, Inc. and the Company, dated April 18, 2019</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(incorporated herein by reference to Exhibit 10.1 on Form 10-Q filed August 6, 2019).</w:t>
        </w:r>
      </w:hyperlink>
    </w:p>
    <w:p>
      <w:pPr>
        <w:spacing w:after="0" w:line="200" w:lineRule="exact"/>
        <w:rPr>
          <w:sz w:val="20"/>
          <w:szCs w:val="20"/>
          <w:color w:val="auto"/>
        </w:rPr>
      </w:pPr>
    </w:p>
    <w:p>
      <w:pPr>
        <w:spacing w:after="0" w:line="309" w:lineRule="exact"/>
        <w:rPr>
          <w:sz w:val="20"/>
          <w:szCs w:val="20"/>
          <w:color w:val="auto"/>
        </w:rPr>
      </w:pPr>
    </w:p>
    <w:p>
      <w:pPr>
        <w:spacing w:after="0" w:line="231" w:lineRule="auto"/>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First Amendment to Dispensing Agreement by and between AllCare Plus Pharmacy and the Company, dated May 1, 2019</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(incorporated herein by reference to Exhibit 10.2 on Form 10-Q, filed August 6,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31"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License Agreement between the Company and MediWound LTD., dated May 6, 2019 (incorporated herein by reference to Exhibit</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10.9 on Form 10-Q filed August 6, 2019).</w:t>
        </w:r>
      </w:hyperlink>
    </w:p>
    <w:p>
      <w:pPr>
        <w:spacing w:after="0" w:line="269" w:lineRule="exact"/>
        <w:rPr>
          <w:sz w:val="20"/>
          <w:szCs w:val="20"/>
          <w:color w:val="auto"/>
        </w:rPr>
      </w:pPr>
    </w:p>
    <w:p>
      <w:pPr>
        <w:spacing w:after="0" w:line="231"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Supply Agreement between the Company and MediWound LTD., dated May 6, 2019 (incorporated herein by reference to Exhibit</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10.10 on Form 10-Q filed August 6, 2019).</w:t>
        </w:r>
      </w:hyperlink>
    </w:p>
    <w:p>
      <w:pPr>
        <w:spacing w:after="0" w:line="269" w:lineRule="exact"/>
        <w:rPr>
          <w:sz w:val="20"/>
          <w:szCs w:val="20"/>
          <w:color w:val="auto"/>
        </w:rPr>
      </w:pPr>
    </w:p>
    <w:p>
      <w:pPr>
        <w:spacing w:after="0" w:line="231"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Amended and Restated Employment Agreement by and between Michael Halpin and the Company, dated September 14, 2017</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(incorporated herein by reference to Exhibit 10.11 on Form 10-Q filed August 6, 2019).</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31"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First Amendment to Executive Employment Agreement, executed and effective June 3, 2019, by and between the Company and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Michael Halpin (incorporated herein by reference to Exhibit 10.12 on Form 10-Q, filed August 6, 2019).</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31"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Employment Agreement, dated January 25, 2021, by and between the Company and Joseph Mara (incorporated herein by</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reference to Exhibit 10.1 on Form 8-K filed January 25,2021).</w:t>
        </w:r>
      </w:hyperlink>
    </w:p>
    <w:p>
      <w:pPr>
        <w:spacing w:after="0" w:line="269" w:lineRule="exact"/>
        <w:rPr>
          <w:sz w:val="20"/>
          <w:szCs w:val="20"/>
          <w:color w:val="auto"/>
        </w:rPr>
      </w:pPr>
    </w:p>
    <w:p>
      <w:pPr>
        <w:spacing w:after="0" w:line="231"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Employment Agreement, dated November 4, 2019 by and between the Company and Sean Flynn (incorporated herein by reference</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to Exhibit 10.43 on the Company’s Annual Report on Form 10-K filed February 24, 2021).</w:t>
        </w:r>
      </w:hyperlink>
    </w:p>
    <w:p>
      <w:pPr>
        <w:spacing w:after="0" w:line="200" w:lineRule="exact"/>
        <w:rPr>
          <w:sz w:val="20"/>
          <w:szCs w:val="20"/>
          <w:color w:val="auto"/>
        </w:rPr>
      </w:pPr>
    </w:p>
    <w:p>
      <w:pPr>
        <w:sectPr>
          <w:pgSz w:w="11900" w:h="16838" w:orient="portrait"/>
          <w:cols w:equalWidth="0" w:num="2">
            <w:col w:w="1200" w:space="600"/>
            <w:col w:w="9360"/>
          </w:cols>
          <w:pgMar w:left="340" w:top="1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83185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40" w:top="179" w:right="399" w:bottom="1440" w:gutter="0" w:footer="0" w:header="0"/>
          <w:type w:val="continuous"/>
        </w:sectPr>
      </w:pPr>
    </w:p>
    <w:bookmarkStart w:id="98" w:name="page99"/>
    <w:bookmarkEnd w:id="98"/>
    <w:p>
      <w:pPr>
        <w:ind w:left="20"/>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8813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10.38 #</w:t>
      </w: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10.39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59645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5964555" cy="8255"/>
                    </a:xfrm>
                    <a:prstGeom prst="rect">
                      <a:avLst/>
                    </a:prstGeom>
                    <a:noFill/>
                  </pic:spPr>
                </pic:pic>
              </a:graphicData>
            </a:graphic>
          </wp:anchor>
        </w:drawing>
      </w:r>
    </w:p>
    <w:p>
      <w:pPr>
        <w:spacing w:after="0" w:line="27" w:lineRule="exact"/>
        <w:rPr>
          <w:sz w:val="20"/>
          <w:szCs w:val="20"/>
          <w:color w:val="auto"/>
        </w:rPr>
      </w:pPr>
    </w:p>
    <w:p>
      <w:pPr>
        <w:spacing w:after="0" w:line="251" w:lineRule="auto"/>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Employment Agreement, dated August 20, 2018 by and between the Company and Dr. Jonathan M. Hopper (incorporated herein</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by reference to Exhibit 10.44 on the Company’s Annual Report on Form 10-K filed February 24, 2021).</w:t>
        </w:r>
      </w:hyperlink>
    </w:p>
    <w:p>
      <w:pPr>
        <w:spacing w:after="0" w:line="258" w:lineRule="exact"/>
        <w:rPr>
          <w:sz w:val="20"/>
          <w:szCs w:val="20"/>
          <w:color w:val="auto"/>
        </w:rPr>
      </w:pPr>
    </w:p>
    <w:p>
      <w:pPr>
        <w:spacing w:after="0" w:line="231"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Consulting Agreement, dated July 2, 2021, by and between the Company and Sandra Pennell (incorporated herein by reference to</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Exhibit 32.4 on Form 10-Q filed August 4, 2021).</w:t>
        </w:r>
      </w:hyperlink>
    </w:p>
    <w:p>
      <w:pPr>
        <w:spacing w:after="0" w:line="200" w:lineRule="exact"/>
        <w:rPr>
          <w:sz w:val="20"/>
          <w:szCs w:val="20"/>
          <w:color w:val="auto"/>
        </w:rPr>
      </w:pPr>
    </w:p>
    <w:p>
      <w:pPr>
        <w:sectPr>
          <w:pgSz w:w="11900" w:h="16838" w:orient="portrait"/>
          <w:cols w:equalWidth="0" w:num="2">
            <w:col w:w="1220" w:space="600"/>
            <w:col w:w="9360"/>
          </w:cols>
          <w:pgMar w:left="320" w:top="179" w:right="399" w:bottom="1440" w:gutter="0" w:footer="0" w:header="0"/>
        </w:sectPr>
      </w:pP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540" w:type="dxa"/>
            <w:vAlign w:val="bottom"/>
            <w:vMerge w:val="restart"/>
          </w:tcPr>
          <w:p>
            <w:pPr>
              <w:jc w:val="center"/>
              <w:ind w:right="611"/>
              <w:spacing w:after="0"/>
              <w:rPr>
                <w:sz w:val="20"/>
                <w:szCs w:val="20"/>
                <w:color w:val="auto"/>
              </w:rPr>
            </w:pPr>
            <w:r>
              <w:rPr>
                <w:rFonts w:ascii="Arial" w:cs="Arial" w:eastAsia="Arial" w:hAnsi="Arial"/>
                <w:sz w:val="18"/>
                <w:szCs w:val="18"/>
                <w:color w:val="auto"/>
                <w:w w:val="88"/>
              </w:rPr>
              <w:t>10.40</w:t>
            </w:r>
          </w:p>
        </w:tc>
        <w:tc>
          <w:tcPr>
            <w:tcW w:w="9360" w:type="dxa"/>
            <w:vAlign w:val="bottom"/>
            <w:tcBorders>
              <w:bottom w:val="single" w:sz="8" w:color="0000FF"/>
            </w:tcBorders>
            <w:gridSpan w:val="14"/>
          </w:tcPr>
          <w:p>
            <w:pPr>
              <w:spacing w:after="0"/>
              <w:rPr>
                <w:rFonts w:ascii="Arial" w:cs="Arial" w:eastAsia="Arial" w:hAnsi="Arial"/>
                <w:sz w:val="18"/>
                <w:szCs w:val="18"/>
                <w:color w:val="0000FF"/>
                <w:w w:val="89"/>
              </w:rPr>
            </w:pPr>
            <w:hyperlink r:id="rId174">
              <w:r>
                <w:rPr>
                  <w:rFonts w:ascii="Arial" w:cs="Arial" w:eastAsia="Arial" w:hAnsi="Arial"/>
                  <w:sz w:val="18"/>
                  <w:szCs w:val="18"/>
                  <w:color w:val="0000FF"/>
                  <w:w w:val="89"/>
                </w:rPr>
                <w:t>Second Amendment to the Dispensing Agreement between AllCare Plus Pharmacy, Inc. and the Company, dated September 20th,</w:t>
              </w:r>
            </w:hyperlink>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6800" w:type="dxa"/>
            <w:vAlign w:val="bottom"/>
            <w:gridSpan w:val="9"/>
            <w:vMerge w:val="restart"/>
          </w:tcPr>
          <w:p>
            <w:pPr>
              <w:spacing w:after="0" w:line="154" w:lineRule="exact"/>
              <w:rPr>
                <w:rFonts w:ascii="Arial" w:cs="Arial" w:eastAsia="Arial" w:hAnsi="Arial"/>
                <w:sz w:val="17"/>
                <w:szCs w:val="17"/>
                <w:color w:val="0000FF"/>
                <w:w w:val="95"/>
              </w:rPr>
            </w:pPr>
            <w:hyperlink r:id="rId174">
              <w:r>
                <w:rPr>
                  <w:rFonts w:ascii="Arial" w:cs="Arial" w:eastAsia="Arial" w:hAnsi="Arial"/>
                  <w:sz w:val="17"/>
                  <w:szCs w:val="17"/>
                  <w:color w:val="0000FF"/>
                  <w:w w:val="95"/>
                </w:rPr>
                <w:t>2021 (incorporated herein by reference to Exhibit 32.3 on Form 10-Q filed November 9, 2021).</w:t>
              </w:r>
            </w:hyperlink>
          </w:p>
        </w:tc>
        <w:tc>
          <w:tcPr>
            <w:tcW w:w="2560" w:type="dxa"/>
            <w:vAlign w:val="bottom"/>
            <w:gridSpan w:val="5"/>
            <w:vMerge w:val="restart"/>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540" w:type="dxa"/>
            <w:vAlign w:val="bottom"/>
          </w:tcPr>
          <w:p>
            <w:pPr>
              <w:spacing w:after="0"/>
              <w:rPr>
                <w:sz w:val="4"/>
                <w:szCs w:val="4"/>
                <w:color w:val="auto"/>
              </w:rPr>
            </w:pPr>
          </w:p>
        </w:tc>
        <w:tc>
          <w:tcPr>
            <w:tcW w:w="6800" w:type="dxa"/>
            <w:vAlign w:val="bottom"/>
            <w:tcBorders>
              <w:bottom w:val="single" w:sz="8" w:color="0000FF"/>
            </w:tcBorders>
            <w:gridSpan w:val="9"/>
            <w:vMerge w:val="continue"/>
          </w:tcPr>
          <w:p>
            <w:pPr>
              <w:spacing w:after="0"/>
              <w:rPr>
                <w:sz w:val="4"/>
                <w:szCs w:val="4"/>
                <w:color w:val="auto"/>
              </w:rPr>
            </w:pPr>
          </w:p>
        </w:tc>
        <w:tc>
          <w:tcPr>
            <w:tcW w:w="2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4"/>
        </w:trPr>
        <w:tc>
          <w:tcPr>
            <w:tcW w:w="1540" w:type="dxa"/>
            <w:vAlign w:val="bottom"/>
            <w:vMerge w:val="restart"/>
          </w:tcPr>
          <w:p>
            <w:pPr>
              <w:jc w:val="center"/>
              <w:ind w:right="611"/>
              <w:spacing w:after="0"/>
              <w:rPr>
                <w:sz w:val="20"/>
                <w:szCs w:val="20"/>
                <w:color w:val="auto"/>
              </w:rPr>
            </w:pPr>
            <w:r>
              <w:rPr>
                <w:rFonts w:ascii="Arial" w:cs="Arial" w:eastAsia="Arial" w:hAnsi="Arial"/>
                <w:sz w:val="18"/>
                <w:szCs w:val="18"/>
                <w:color w:val="auto"/>
                <w:w w:val="88"/>
              </w:rPr>
              <w:t>10.41</w:t>
            </w:r>
          </w:p>
        </w:tc>
        <w:tc>
          <w:tcPr>
            <w:tcW w:w="9360" w:type="dxa"/>
            <w:vAlign w:val="bottom"/>
            <w:tcBorders>
              <w:bottom w:val="single" w:sz="8" w:color="0000FF"/>
            </w:tcBorders>
            <w:gridSpan w:val="14"/>
          </w:tcPr>
          <w:p>
            <w:pPr>
              <w:spacing w:after="0"/>
              <w:rPr>
                <w:rFonts w:ascii="Arial" w:cs="Arial" w:eastAsia="Arial" w:hAnsi="Arial"/>
                <w:sz w:val="18"/>
                <w:szCs w:val="18"/>
                <w:color w:val="0000FF"/>
                <w:w w:val="89"/>
              </w:rPr>
            </w:pPr>
            <w:hyperlink r:id="rId175">
              <w:r>
                <w:rPr>
                  <w:rFonts w:ascii="Arial" w:cs="Arial" w:eastAsia="Arial" w:hAnsi="Arial"/>
                  <w:sz w:val="18"/>
                  <w:szCs w:val="18"/>
                  <w:color w:val="0000FF"/>
                  <w:w w:val="89"/>
                </w:rPr>
                <w:t>Seventh Amendment to the Distribution Agreement between Orsini Pharmaceutical Services, Inc. and the Company, dated October</w:t>
              </w:r>
            </w:hyperlink>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6980" w:type="dxa"/>
            <w:vAlign w:val="bottom"/>
            <w:gridSpan w:val="10"/>
            <w:vMerge w:val="restart"/>
          </w:tcPr>
          <w:p>
            <w:pPr>
              <w:spacing w:after="0" w:line="154" w:lineRule="exact"/>
              <w:rPr>
                <w:rFonts w:ascii="Arial" w:cs="Arial" w:eastAsia="Arial" w:hAnsi="Arial"/>
                <w:sz w:val="17"/>
                <w:szCs w:val="17"/>
                <w:color w:val="0000FF"/>
                <w:w w:val="95"/>
              </w:rPr>
            </w:pPr>
            <w:hyperlink r:id="rId175">
              <w:r>
                <w:rPr>
                  <w:rFonts w:ascii="Arial" w:cs="Arial" w:eastAsia="Arial" w:hAnsi="Arial"/>
                  <w:sz w:val="17"/>
                  <w:szCs w:val="17"/>
                  <w:color w:val="0000FF"/>
                  <w:w w:val="95"/>
                </w:rPr>
                <w:t>1, 2021 (incorporated herein by reference to Exhibit 32.4 on Form 10-Q filed November 9, 2021).</w:t>
              </w:r>
            </w:hyperlink>
          </w:p>
        </w:tc>
        <w:tc>
          <w:tcPr>
            <w:tcW w:w="238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540" w:type="dxa"/>
            <w:vAlign w:val="bottom"/>
          </w:tcPr>
          <w:p>
            <w:pPr>
              <w:spacing w:after="0"/>
              <w:rPr>
                <w:sz w:val="4"/>
                <w:szCs w:val="4"/>
                <w:color w:val="auto"/>
              </w:rPr>
            </w:pPr>
          </w:p>
        </w:tc>
        <w:tc>
          <w:tcPr>
            <w:tcW w:w="6980" w:type="dxa"/>
            <w:vAlign w:val="bottom"/>
            <w:tcBorders>
              <w:bottom w:val="single" w:sz="8" w:color="0000FF"/>
            </w:tcBorders>
            <w:gridSpan w:val="10"/>
            <w:vMerge w:val="continue"/>
          </w:tcPr>
          <w:p>
            <w:pPr>
              <w:spacing w:after="0"/>
              <w:rPr>
                <w:sz w:val="4"/>
                <w:szCs w:val="4"/>
                <w:color w:val="auto"/>
              </w:rPr>
            </w:pPr>
          </w:p>
        </w:tc>
        <w:tc>
          <w:tcPr>
            <w:tcW w:w="23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7"/>
              </w:rPr>
              <w:t>21.1**</w:t>
            </w:r>
          </w:p>
        </w:tc>
        <w:tc>
          <w:tcPr>
            <w:tcW w:w="9360" w:type="dxa"/>
            <w:vAlign w:val="bottom"/>
            <w:gridSpan w:val="1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Subsidiaries of Registrant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7"/>
              </w:rPr>
              <w:t>23.1**</w:t>
            </w:r>
          </w:p>
        </w:tc>
        <w:tc>
          <w:tcPr>
            <w:tcW w:w="9360" w:type="dxa"/>
            <w:vAlign w:val="bottom"/>
            <w:gridSpan w:val="14"/>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Consent of PricewaterhouseCoopers LLP, Independent Registered Public Accounting Firm</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7"/>
              </w:rPr>
              <w:t>31.1**</w:t>
            </w:r>
          </w:p>
        </w:tc>
        <w:tc>
          <w:tcPr>
            <w:tcW w:w="9360" w:type="dxa"/>
            <w:vAlign w:val="bottom"/>
            <w:gridSpan w:val="14"/>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Certification of Chief Executive Officer pursuant to Section 302 of the Sarbanes-Oxley Act of 2002</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7"/>
              </w:rPr>
              <w:t>31.2**</w:t>
            </w:r>
          </w:p>
        </w:tc>
        <w:tc>
          <w:tcPr>
            <w:tcW w:w="7100" w:type="dxa"/>
            <w:vAlign w:val="bottom"/>
            <w:tcBorders>
              <w:top w:val="single" w:sz="8" w:color="0000FF"/>
            </w:tcBorders>
            <w:gridSpan w:val="12"/>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Certification of Chief Financial Officer pursuant to Section 302 of the Sarbanes-Oxley Act of 2002</w:t>
              </w:r>
            </w:hyperlink>
            <w:r>
              <w:rPr>
                <w:rFonts w:ascii="Arial" w:cs="Arial" w:eastAsia="Arial" w:hAnsi="Arial"/>
                <w:sz w:val="18"/>
                <w:szCs w:val="18"/>
                <w:color w:val="000000"/>
                <w:w w:val="91"/>
              </w:rPr>
              <w:t>.</w:t>
            </w:r>
          </w:p>
        </w:tc>
        <w:tc>
          <w:tcPr>
            <w:tcW w:w="2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7"/>
              </w:rPr>
              <w:t>32.1**</w:t>
            </w:r>
          </w:p>
        </w:tc>
        <w:tc>
          <w:tcPr>
            <w:tcW w:w="9360" w:type="dxa"/>
            <w:vAlign w:val="bottom"/>
            <w:gridSpan w:val="14"/>
          </w:tcPr>
          <w:p>
            <w:pPr>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Certification of Chief Executive Officer and Chief Financial Officer pursuant to Section 906 of the Sarbanes-Oxley Act of 2002</w:t>
              </w:r>
            </w:hyperlink>
            <w:r>
              <w:rPr>
                <w:rFonts w:ascii="Arial" w:cs="Arial" w:eastAsia="Arial" w:hAnsi="Arial"/>
                <w:sz w:val="18"/>
                <w:szCs w:val="18"/>
                <w:color w:val="000000"/>
                <w:w w:val="93"/>
              </w:rPr>
              <w:t>.</w:t>
            </w:r>
          </w:p>
        </w:tc>
        <w:tc>
          <w:tcPr>
            <w:tcW w:w="0" w:type="dxa"/>
            <w:vAlign w:val="bottom"/>
          </w:tcPr>
          <w:p>
            <w:pPr>
              <w:spacing w:after="0"/>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6"/>
              </w:rPr>
              <w:t>101.INS**</w:t>
            </w:r>
          </w:p>
        </w:tc>
        <w:tc>
          <w:tcPr>
            <w:tcW w:w="91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Inline XBRL Instance Document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6"/>
              </w:rPr>
              <w:t>101.SCH**</w:t>
            </w:r>
          </w:p>
        </w:tc>
        <w:tc>
          <w:tcPr>
            <w:tcW w:w="39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Inline XBRL Taxonomy Extension Schema Document</w:t>
            </w:r>
          </w:p>
        </w:tc>
        <w:tc>
          <w:tcPr>
            <w:tcW w:w="5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9"/>
              </w:rPr>
              <w:t>101.CAL**</w:t>
            </w:r>
          </w:p>
        </w:tc>
        <w:tc>
          <w:tcPr>
            <w:tcW w:w="9360" w:type="dxa"/>
            <w:vAlign w:val="bottom"/>
            <w:gridSpan w:val="14"/>
          </w:tcPr>
          <w:p>
            <w:pPr>
              <w:spacing w:after="0"/>
              <w:rPr>
                <w:sz w:val="20"/>
                <w:szCs w:val="20"/>
                <w:color w:val="auto"/>
              </w:rPr>
            </w:pPr>
            <w:r>
              <w:rPr>
                <w:rFonts w:ascii="Arial" w:cs="Arial" w:eastAsia="Arial" w:hAnsi="Arial"/>
                <w:sz w:val="18"/>
                <w:szCs w:val="18"/>
                <w:color w:val="0000FF"/>
              </w:rPr>
              <w:t>Inline XBRL Taxonomy Extension Calculation Linkbase Document</w:t>
            </w:r>
          </w:p>
        </w:tc>
        <w:tc>
          <w:tcPr>
            <w:tcW w:w="0" w:type="dxa"/>
            <w:vAlign w:val="bottom"/>
          </w:tcPr>
          <w:p>
            <w:pPr>
              <w:spacing w:after="0"/>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rPr>
              <w:t>101.LAB**</w:t>
            </w:r>
          </w:p>
        </w:tc>
        <w:tc>
          <w:tcPr>
            <w:tcW w:w="48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Inline XBRL Taxonomy Extension Label Linkbase Document</w:t>
            </w:r>
          </w:p>
        </w:tc>
        <w:tc>
          <w:tcPr>
            <w:tcW w:w="4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2"/>
              </w:rPr>
              <w:t>101.PRE**</w:t>
            </w:r>
          </w:p>
        </w:tc>
        <w:tc>
          <w:tcPr>
            <w:tcW w:w="9360" w:type="dxa"/>
            <w:vAlign w:val="bottom"/>
            <w:gridSpan w:val="14"/>
          </w:tcPr>
          <w:p>
            <w:pPr>
              <w:spacing w:after="0"/>
              <w:rPr>
                <w:sz w:val="20"/>
                <w:szCs w:val="20"/>
                <w:color w:val="auto"/>
              </w:rPr>
            </w:pPr>
            <w:r>
              <w:rPr>
                <w:rFonts w:ascii="Arial" w:cs="Arial" w:eastAsia="Arial" w:hAnsi="Arial"/>
                <w:sz w:val="18"/>
                <w:szCs w:val="18"/>
                <w:color w:val="0000FF"/>
              </w:rPr>
              <w:t>Inline XBRL Taxonomy Extension Presentation Linkbase Document</w:t>
            </w:r>
          </w:p>
        </w:tc>
        <w:tc>
          <w:tcPr>
            <w:tcW w:w="0" w:type="dxa"/>
            <w:vAlign w:val="bottom"/>
          </w:tcPr>
          <w:p>
            <w:pPr>
              <w:spacing w:after="0"/>
              <w:rPr>
                <w:sz w:val="1"/>
                <w:szCs w:val="1"/>
                <w:color w:val="auto"/>
              </w:rPr>
            </w:pPr>
          </w:p>
        </w:tc>
      </w:tr>
      <w:tr>
        <w:trPr>
          <w:trHeight w:val="43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8"/>
              </w:rPr>
              <w:t>101.DEF**</w:t>
            </w:r>
          </w:p>
        </w:tc>
        <w:tc>
          <w:tcPr>
            <w:tcW w:w="47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Inline XBRL Taxonomy Extension Definition Linkbase Document</w:t>
            </w:r>
          </w:p>
        </w:tc>
        <w:tc>
          <w:tcPr>
            <w:tcW w:w="140" w:type="dxa"/>
            <w:vAlign w:val="bottom"/>
            <w:tcBorders>
              <w:top w:val="single" w:sz="8" w:color="0000FF"/>
            </w:tcBorders>
            <w:gridSpan w:val="2"/>
          </w:tcPr>
          <w:p>
            <w:pPr>
              <w:spacing w:after="0"/>
              <w:rPr>
                <w:sz w:val="24"/>
                <w:szCs w:val="24"/>
                <w:color w:val="auto"/>
              </w:rPr>
            </w:pPr>
          </w:p>
        </w:tc>
        <w:tc>
          <w:tcPr>
            <w:tcW w:w="4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540" w:type="dxa"/>
            <w:vAlign w:val="bottom"/>
          </w:tcPr>
          <w:p>
            <w:pPr>
              <w:jc w:val="center"/>
              <w:ind w:right="611"/>
              <w:spacing w:after="0"/>
              <w:rPr>
                <w:sz w:val="20"/>
                <w:szCs w:val="20"/>
                <w:color w:val="auto"/>
              </w:rPr>
            </w:pPr>
            <w:r>
              <w:rPr>
                <w:rFonts w:ascii="Arial" w:cs="Arial" w:eastAsia="Arial" w:hAnsi="Arial"/>
                <w:sz w:val="18"/>
                <w:szCs w:val="18"/>
                <w:color w:val="auto"/>
                <w:w w:val="99"/>
              </w:rPr>
              <w:t>104**</w:t>
            </w:r>
          </w:p>
        </w:tc>
        <w:tc>
          <w:tcPr>
            <w:tcW w:w="64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
              <w:r>
                <w:rPr>
                  <w:rFonts w:ascii="Arial" w:cs="Arial" w:eastAsia="Arial" w:hAnsi="Arial"/>
                  <w:sz w:val="18"/>
                  <w:szCs w:val="18"/>
                  <w:color w:val="0000FF"/>
                  <w:w w:val="91"/>
                </w:rPr>
                <w:t>Cover Page Interactive Data File (formatted as inline XBRL and contained in Exhibit 101)</w:t>
              </w:r>
            </w:hyperlink>
          </w:p>
        </w:tc>
        <w:tc>
          <w:tcPr>
            <w:tcW w:w="2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80" w:hanging="273"/>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covering executive officers or directors of Vericel.</w:t>
      </w:r>
    </w:p>
    <w:p>
      <w:pPr>
        <w:spacing w:after="0" w:line="19" w:lineRule="exact"/>
        <w:rPr>
          <w:sz w:val="20"/>
          <w:szCs w:val="20"/>
          <w:color w:val="auto"/>
        </w:rPr>
      </w:pPr>
    </w:p>
    <w:p>
      <w:pPr>
        <w:ind w:right="420" w:firstLine="7"/>
        <w:spacing w:after="0" w:line="247"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status has been granted as to certain portions thereto, which portions are omitted and filed separately with the Securities and Exchange Commission.</w:t>
      </w:r>
    </w:p>
    <w:p>
      <w:pPr>
        <w:ind w:right="9620"/>
        <w:spacing w:after="0" w:line="316" w:lineRule="auto"/>
        <w:rPr>
          <w:rFonts w:ascii="Arial" w:cs="Arial" w:eastAsia="Arial" w:hAnsi="Arial"/>
          <w:sz w:val="18"/>
          <w:szCs w:val="18"/>
          <w:color w:val="auto"/>
        </w:rPr>
      </w:pPr>
      <w:r>
        <w:rPr>
          <w:rFonts w:ascii="Arial" w:cs="Arial" w:eastAsia="Arial" w:hAnsi="Arial"/>
          <w:sz w:val="16"/>
          <w:szCs w:val="16"/>
          <w:color w:val="auto"/>
        </w:rPr>
        <w:t>* Furnished herewith. ** Filed herewith.</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type w:val="continuous"/>
        </w:sectPr>
      </w:pPr>
    </w:p>
    <w:bookmarkStart w:id="99" w:name="page100"/>
    <w:bookmarkEnd w:id="99"/>
    <w:p>
      <w:pPr>
        <w:ind w:left="2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36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24, 2022</w:t>
      </w:r>
    </w:p>
    <w:p>
      <w:pPr>
        <w:spacing w:after="0" w:line="2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Vericel Corporation</w:t>
      </w:r>
    </w:p>
    <w:p>
      <w:pPr>
        <w:spacing w:after="0" w:line="24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13335</wp:posOffset>
            </wp:positionV>
            <wp:extent cx="2973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p>
    <w:p>
      <w:pPr>
        <w:jc w:val="center"/>
        <w:ind w:left="64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p>
    <w:p>
      <w:pPr>
        <w:jc w:val="center"/>
        <w:ind w:left="6440"/>
        <w:spacing w:after="0"/>
        <w:rPr>
          <w:sz w:val="20"/>
          <w:szCs w:val="20"/>
          <w:color w:val="auto"/>
        </w:rPr>
      </w:pPr>
      <w:r>
        <w:rPr>
          <w:rFonts w:ascii="Arial" w:cs="Arial" w:eastAsia="Arial" w:hAnsi="Arial"/>
          <w:sz w:val="18"/>
          <w:szCs w:val="18"/>
          <w:i w:val="1"/>
          <w:iCs w:val="1"/>
          <w:color w:val="auto"/>
        </w:rPr>
        <w:t>(Principal Executive Officer)</w:t>
      </w:r>
    </w:p>
    <w:p>
      <w:pPr>
        <w:spacing w:after="0" w:line="300" w:lineRule="exact"/>
        <w:rPr>
          <w:sz w:val="20"/>
          <w:szCs w:val="20"/>
          <w:color w:val="auto"/>
        </w:rPr>
      </w:pPr>
    </w:p>
    <w:p>
      <w:pPr>
        <w:ind w:right="200" w:firstLine="360"/>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on behalf of the registrant on February 24, 2022 by the following persons in the capacities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6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5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DOMINICK C. COLANGELO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 Director</w:t>
            </w:r>
          </w:p>
        </w:tc>
      </w:tr>
      <w:tr>
        <w:trPr>
          <w:trHeight w:val="221"/>
        </w:trPr>
        <w:tc>
          <w:tcPr>
            <w:tcW w:w="5360" w:type="dxa"/>
            <w:vAlign w:val="bottom"/>
          </w:tcPr>
          <w:p>
            <w:pPr>
              <w:jc w:val="center"/>
              <w:spacing w:after="0"/>
              <w:rPr>
                <w:sz w:val="20"/>
                <w:szCs w:val="20"/>
                <w:color w:val="auto"/>
              </w:rPr>
            </w:pPr>
            <w:r>
              <w:rPr>
                <w:rFonts w:ascii="Arial" w:cs="Arial" w:eastAsia="Arial" w:hAnsi="Arial"/>
                <w:sz w:val="18"/>
                <w:szCs w:val="18"/>
                <w:color w:val="auto"/>
                <w:w w:val="91"/>
              </w:rPr>
              <w:t>Dominick C. Colangelo</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JOSEPH A. MARA</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21"/>
        </w:trPr>
        <w:tc>
          <w:tcPr>
            <w:tcW w:w="5360" w:type="dxa"/>
            <w:vAlign w:val="bottom"/>
          </w:tcPr>
          <w:p>
            <w:pPr>
              <w:jc w:val="center"/>
              <w:spacing w:after="0"/>
              <w:rPr>
                <w:sz w:val="20"/>
                <w:szCs w:val="20"/>
                <w:color w:val="auto"/>
              </w:rPr>
            </w:pPr>
            <w:r>
              <w:rPr>
                <w:rFonts w:ascii="Arial" w:cs="Arial" w:eastAsia="Arial" w:hAnsi="Arial"/>
                <w:sz w:val="18"/>
                <w:szCs w:val="18"/>
                <w:color w:val="auto"/>
                <w:w w:val="88"/>
              </w:rPr>
              <w:t>Joseph A. Mara</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r>
        <w:trPr>
          <w:trHeight w:val="479"/>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JONATHAN D. SIEGAL</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and Corporate Controller</w:t>
            </w:r>
          </w:p>
        </w:tc>
      </w:tr>
      <w:tr>
        <w:trPr>
          <w:trHeight w:val="221"/>
        </w:trPr>
        <w:tc>
          <w:tcPr>
            <w:tcW w:w="5360" w:type="dxa"/>
            <w:vAlign w:val="bottom"/>
          </w:tcPr>
          <w:p>
            <w:pPr>
              <w:jc w:val="center"/>
              <w:spacing w:after="0"/>
              <w:rPr>
                <w:sz w:val="20"/>
                <w:szCs w:val="20"/>
                <w:color w:val="auto"/>
              </w:rPr>
            </w:pPr>
            <w:r>
              <w:rPr>
                <w:rFonts w:ascii="Arial" w:cs="Arial" w:eastAsia="Arial" w:hAnsi="Arial"/>
                <w:sz w:val="18"/>
                <w:szCs w:val="18"/>
                <w:color w:val="auto"/>
                <w:w w:val="88"/>
              </w:rPr>
              <w:t>Jonathan D. Siegal</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Officer)</w:t>
            </w: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L. ZERBE, M.D.</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1"/>
              </w:rPr>
              <w:t>Robert L. Zerbe, M.D.</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ALAN L. RUBINO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4"/>
              </w:rPr>
              <w:t>Alan L. Rubino</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HEIDI M. HAGEN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3"/>
              </w:rPr>
              <w:t>Heidi M. Hagen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C. GILMAN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0"/>
              </w:rPr>
              <w:t>Steven C. Gilman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KEVIN F. MCLAUGHLIN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3"/>
              </w:rPr>
              <w:t>Kevin F. McLaughlin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53"/>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PAUL K. WOTTON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1"/>
              </w:rPr>
              <w:t>Paul K. Wotton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80"/>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LISA WRIGHT</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220"/>
        </w:trPr>
        <w:tc>
          <w:tcPr>
            <w:tcW w:w="5360" w:type="dxa"/>
            <w:vAlign w:val="bottom"/>
          </w:tcPr>
          <w:p>
            <w:pPr>
              <w:jc w:val="center"/>
              <w:spacing w:after="0"/>
              <w:rPr>
                <w:sz w:val="20"/>
                <w:szCs w:val="20"/>
                <w:color w:val="auto"/>
              </w:rPr>
            </w:pPr>
            <w:r>
              <w:rPr>
                <w:rFonts w:ascii="Arial" w:cs="Arial" w:eastAsia="Arial" w:hAnsi="Arial"/>
                <w:sz w:val="18"/>
                <w:szCs w:val="18"/>
                <w:color w:val="auto"/>
                <w:w w:val="93"/>
              </w:rPr>
              <w:t>Lisa Wright</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79"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Marrow Donation, LLC, a California limited liability company</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Vericel Denmark ApS, a Danish private limited company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Vericel Security Corporation, a Massachusetts corporation</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333-259119) and Form S-8 (Nos. 333-241700, 333-217741, 333-205338, 333-187346, 333-174758, 333-163832, 333-140624, 333-121006, and 333-231163) of Vericel Corporation of our report dated February 24, 2022 relating to the financial statements and the effectiveness of internal control over financial reporting, which appears in this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0" w:lineRule="exact"/>
        <w:rPr>
          <w:sz w:val="20"/>
          <w:szCs w:val="20"/>
          <w:color w:val="auto"/>
        </w:rPr>
      </w:pPr>
    </w:p>
    <w:p>
      <w:pPr>
        <w:ind w:left="420" w:hanging="173"/>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2021;</w:t>
      </w:r>
    </w:p>
    <w:p>
      <w:pPr>
        <w:spacing w:after="0" w:line="219" w:lineRule="exact"/>
        <w:rPr>
          <w:rFonts w:ascii="Arial" w:cs="Arial" w:eastAsia="Arial" w:hAnsi="Arial"/>
          <w:sz w:val="18"/>
          <w:szCs w:val="18"/>
          <w:color w:val="auto"/>
        </w:rPr>
      </w:pPr>
    </w:p>
    <w:p>
      <w:pPr>
        <w:ind w:right="400" w:firstLine="247"/>
        <w:spacing w:after="0" w:line="333" w:lineRule="auto"/>
        <w:tabs>
          <w:tab w:leader="none" w:pos="41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440" w:firstLine="247"/>
        <w:spacing w:after="0" w:line="300" w:lineRule="auto"/>
        <w:tabs>
          <w:tab w:leader="none" w:pos="4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220" w:firstLine="247"/>
        <w:spacing w:after="0" w:line="258" w:lineRule="auto"/>
        <w:tabs>
          <w:tab w:leader="none" w:pos="4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right="380" w:firstLine="527"/>
        <w:spacing w:after="0" w:line="258" w:lineRule="auto"/>
        <w:tabs>
          <w:tab w:leader="none" w:pos="7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right="160" w:firstLine="527"/>
        <w:spacing w:after="0" w:line="258" w:lineRule="auto"/>
        <w:tabs>
          <w:tab w:leader="none" w:pos="7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right="880" w:firstLine="527"/>
        <w:spacing w:after="0" w:line="333" w:lineRule="auto"/>
        <w:tabs>
          <w:tab w:leader="none" w:pos="76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right="100" w:firstLine="527"/>
        <w:spacing w:after="0" w:line="258" w:lineRule="auto"/>
        <w:tabs>
          <w:tab w:leader="none" w:pos="7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180" w:firstLine="247"/>
        <w:spacing w:after="0" w:line="300" w:lineRule="auto"/>
        <w:tabs>
          <w:tab w:leader="none" w:pos="4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right="300" w:firstLine="527"/>
        <w:spacing w:after="0" w:line="270" w:lineRule="auto"/>
        <w:tabs>
          <w:tab w:leader="none" w:pos="7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right="240" w:firstLine="527"/>
        <w:spacing w:after="0" w:line="270" w:lineRule="auto"/>
        <w:tabs>
          <w:tab w:leader="none" w:pos="7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2973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240"/>
          </w:cols>
          <w:pgMar w:left="320" w:top="882"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Joseph Mara, certify that:</w:t>
      </w:r>
    </w:p>
    <w:p>
      <w:pPr>
        <w:spacing w:after="0" w:line="220" w:lineRule="exact"/>
        <w:rPr>
          <w:sz w:val="20"/>
          <w:szCs w:val="20"/>
          <w:color w:val="auto"/>
        </w:rPr>
      </w:pPr>
    </w:p>
    <w:p>
      <w:pPr>
        <w:ind w:left="420" w:hanging="173"/>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2021;</w:t>
      </w:r>
    </w:p>
    <w:p>
      <w:pPr>
        <w:spacing w:after="0" w:line="219" w:lineRule="exact"/>
        <w:rPr>
          <w:rFonts w:ascii="Arial" w:cs="Arial" w:eastAsia="Arial" w:hAnsi="Arial"/>
          <w:sz w:val="18"/>
          <w:szCs w:val="18"/>
          <w:color w:val="auto"/>
        </w:rPr>
      </w:pPr>
    </w:p>
    <w:p>
      <w:pPr>
        <w:ind w:right="400" w:firstLine="247"/>
        <w:spacing w:after="0" w:line="333" w:lineRule="auto"/>
        <w:tabs>
          <w:tab w:leader="none" w:pos="4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440" w:firstLine="247"/>
        <w:spacing w:after="0" w:line="300" w:lineRule="auto"/>
        <w:tabs>
          <w:tab w:leader="none" w:pos="418"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220" w:firstLine="247"/>
        <w:spacing w:after="0" w:line="258" w:lineRule="auto"/>
        <w:tabs>
          <w:tab w:leader="none" w:pos="4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right="380" w:firstLine="527"/>
        <w:spacing w:after="0" w:line="258" w:lineRule="auto"/>
        <w:tabs>
          <w:tab w:leader="none" w:pos="7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right="160" w:firstLine="527"/>
        <w:spacing w:after="0" w:line="258" w:lineRule="auto"/>
        <w:tabs>
          <w:tab w:leader="none" w:pos="7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right="880" w:firstLine="527"/>
        <w:spacing w:after="0" w:line="333" w:lineRule="auto"/>
        <w:tabs>
          <w:tab w:leader="none" w:pos="762"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right="100" w:firstLine="527"/>
        <w:spacing w:after="0" w:line="258" w:lineRule="auto"/>
        <w:tabs>
          <w:tab w:leader="none" w:pos="7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180" w:firstLine="247"/>
        <w:spacing w:after="0" w:line="300" w:lineRule="auto"/>
        <w:tabs>
          <w:tab w:leader="none" w:pos="41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right="300" w:firstLine="527"/>
        <w:spacing w:after="0" w:line="270" w:lineRule="auto"/>
        <w:tabs>
          <w:tab w:leader="none" w:pos="7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right="240" w:firstLine="527"/>
        <w:spacing w:after="0" w:line="270" w:lineRule="auto"/>
        <w:tabs>
          <w:tab w:leader="none" w:pos="7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2973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Joseph Mara</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240"/>
          </w:cols>
          <w:pgMar w:left="320" w:top="882"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740" w:firstLine="240"/>
        <w:spacing w:after="0" w:line="281" w:lineRule="auto"/>
        <w:rPr>
          <w:sz w:val="20"/>
          <w:szCs w:val="20"/>
          <w:color w:val="auto"/>
        </w:rPr>
      </w:pPr>
      <w:r>
        <w:rPr>
          <w:rFonts w:ascii="Arial" w:cs="Arial" w:eastAsia="Arial" w:hAnsi="Arial"/>
          <w:sz w:val="17"/>
          <w:szCs w:val="17"/>
          <w:color w:val="auto"/>
        </w:rPr>
        <w:t>In connection with the Annual Report of Vericel Corporation (Company) on Form 10-K for the year ended December 31, 2021,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67" w:lineRule="exact"/>
        <w:rPr>
          <w:sz w:val="20"/>
          <w:szCs w:val="20"/>
          <w:color w:val="auto"/>
        </w:rPr>
      </w:pPr>
    </w:p>
    <w:p>
      <w:pPr>
        <w:ind w:left="780" w:hanging="253"/>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19" w:lineRule="exact"/>
        <w:rPr>
          <w:rFonts w:ascii="Arial" w:cs="Arial" w:eastAsia="Arial" w:hAnsi="Arial"/>
          <w:sz w:val="18"/>
          <w:szCs w:val="18"/>
          <w:color w:val="auto"/>
        </w:rPr>
      </w:pPr>
    </w:p>
    <w:p>
      <w:pPr>
        <w:ind w:left="780" w:hanging="253"/>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2973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Executive Officer)</w:t>
      </w:r>
    </w:p>
    <w:p>
      <w:pPr>
        <w:spacing w:after="0" w:line="24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2973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Joseph Mara</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24, 2022</w:t>
      </w:r>
    </w:p>
    <w:p>
      <w:pPr>
        <w:spacing w:after="0" w:line="300" w:lineRule="exact"/>
        <w:rPr>
          <w:sz w:val="20"/>
          <w:szCs w:val="20"/>
          <w:color w:val="auto"/>
        </w:rPr>
      </w:pPr>
    </w:p>
    <w:p>
      <w:pPr>
        <w:ind w:right="140" w:firstLine="240"/>
        <w:spacing w:after="0" w:line="270"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9"/>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9"/>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9"/>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8"/>
    </w:lvl>
  </w:abstractNum>
  <w:abstractNum w:abstractNumId="34">
    <w:nsid w:val="51EAD36B"/>
    <w:multiLevelType w:val="hybridMultilevel"/>
    <w:lvl w:ilvl="0">
      <w:lvlJc w:val="left"/>
      <w:lvlText w:val="%1."/>
      <w:numFmt w:val="decimal"/>
      <w:start w:val="9"/>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4"/>
    </w:lvl>
  </w:abstractNum>
  <w:abstractNum w:abstractNumId="38">
    <w:nsid w:val="3855585C"/>
    <w:multiLevelType w:val="hybridMultilevel"/>
    <w:lvl w:ilvl="0">
      <w:lvlJc w:val="left"/>
      <w:lvlText w:val="(%1)"/>
      <w:numFmt w:val="lowerLetter"/>
      <w:start w:val="1"/>
    </w:lvl>
    <w:lvl w:ilvl="1">
      <w:lvlJc w:val="left"/>
      <w:lvlText w:val="%2."/>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20" Type="http://schemas.openxmlformats.org/officeDocument/2006/relationships/hyperlink" Target="http://www.sec.gov/Archives/edgar/data/887359/000129993309004957/0001299933-09-004957-index.htm" TargetMode="External"/><Relationship Id="rId121" Type="http://schemas.openxmlformats.org/officeDocument/2006/relationships/hyperlink" Target="http://www.sec.gov/Archives/edgar/data/887359/000095012310030777/b80276exv3w2.htm" TargetMode="External"/><Relationship Id="rId122" Type="http://schemas.openxmlformats.org/officeDocument/2006/relationships/hyperlink" Target="http://www.sec.gov/Archives/edgar/data/887359/000095012311029237/a59068exv3w1.htm" TargetMode="External"/><Relationship Id="rId123" Type="http://schemas.openxmlformats.org/officeDocument/2006/relationships/hyperlink" Target="http://www.sec.gov/Archives/edgar/data/887359/000110465914083052/a14-25082_1ex3d1.htm" TargetMode="External"/><Relationship Id="rId124" Type="http://schemas.openxmlformats.org/officeDocument/2006/relationships/hyperlink" Target="http://www.sec.gov/Archives/edgar/data/887359/000129993310004053/exhibit1.htm" TargetMode="External"/><Relationship Id="rId125" Type="http://schemas.openxmlformats.org/officeDocument/2006/relationships/hyperlink" Target="http://www.sec.gov/Archives/edgar/data/887359/000162828020002229/ex45descriptionofcapit.htm" TargetMode="External"/><Relationship Id="rId126" Type="http://schemas.openxmlformats.org/officeDocument/2006/relationships/hyperlink" Target="http://www.sec.gov/Archives/edgar/data/887359/000129993310003245/exhibit1.htm" TargetMode="External"/><Relationship Id="rId127" Type="http://schemas.openxmlformats.org/officeDocument/2006/relationships/hyperlink" Target="http://www.sec.gov/Archives/edgar/data/887359/000095012311029237/a59068exv10w3.htm" TargetMode="External"/><Relationship Id="rId128" Type="http://schemas.openxmlformats.org/officeDocument/2006/relationships/hyperlink" Target="http://www.sec.gov/Archives/edgar/data/887359/000110465913018868/a13-6963_1ex10d1.htm" TargetMode="External"/><Relationship Id="rId129" Type="http://schemas.openxmlformats.org/officeDocument/2006/relationships/hyperlink" Target="http://www.sec.gov/Archives/edgar/data/887359/000110465914029503/a14-10941_1ex2d1.htm" TargetMode="External"/><Relationship Id="rId130" Type="http://schemas.openxmlformats.org/officeDocument/2006/relationships/hyperlink" Target="http://www.sec.gov/Archives/edgar/data/887359/000104746914008427/a2221856zdef14a.htm" TargetMode="External"/><Relationship Id="rId131" Type="http://schemas.openxmlformats.org/officeDocument/2006/relationships/hyperlink" Target="http://www.sec.gov/Archives/edgar/data/887359/000162828016012668/ex1057vericel-cambridgelea.htm" TargetMode="External"/><Relationship Id="rId132" Type="http://schemas.openxmlformats.org/officeDocument/2006/relationships/hyperlink" Target="https://www.sec.gov/Archives/edgar/data/887359/000162828021003081/ex107vericellease64sidneys.htm" TargetMode="External"/><Relationship Id="rId133" Type="http://schemas.openxmlformats.org/officeDocument/2006/relationships/hyperlink" Target="http://www.sec.gov/Archives/edgar/data/887359/000104746915002731/a2223905zdef14a.htm" TargetMode="External"/><Relationship Id="rId137" Type="http://schemas.openxmlformats.org/officeDocument/2006/relationships/hyperlink" Target="http://www.sec.gov/Archives/edgar/data/887359/000110465917037229/a17-14185_3ex10d1.htm" TargetMode="External"/><Relationship Id="rId138" Type="http://schemas.openxmlformats.org/officeDocument/2006/relationships/hyperlink" Target="http://www.sec.gov/Archives/edgar/data/887359/000110465917057884/a17-22104_1ex10d1.htm" TargetMode="External"/><Relationship Id="rId139" Type="http://schemas.openxmlformats.org/officeDocument/2006/relationships/hyperlink" Target="http://www.sec.gov/Archives/edgar/data/887359/000162828017011022/ex108amendment1toorsiniagr.htm" TargetMode="External"/><Relationship Id="rId140" Type="http://schemas.openxmlformats.org/officeDocument/2006/relationships/hyperlink" Target="http://www.sec.gov/Archives/edgar/data/887359/000162828018002753/ex1056secondamendmenttothe.htm" TargetMode="External"/><Relationship Id="rId141" Type="http://schemas.openxmlformats.org/officeDocument/2006/relationships/hyperlink" Target="http://www.sec.gov/Archives/edgar/data/887359/000162828018002753/ex1057thirdamendmenttodist.htm" TargetMode="External"/><Relationship Id="rId142" Type="http://schemas.openxmlformats.org/officeDocument/2006/relationships/hyperlink" Target="http://www.sec.gov/Archives/edgar/data/887359/000162828018013767/a101redactedfinalvericel-f.htm" TargetMode="External"/><Relationship Id="rId143" Type="http://schemas.openxmlformats.org/officeDocument/2006/relationships/hyperlink" Target="http://www.sec.gov/Archives/edgar/data/887359/000162828018013767/a102redactedversionfinal72.htm" TargetMode="External"/><Relationship Id="rId144" Type="http://schemas.openxmlformats.org/officeDocument/2006/relationships/hyperlink" Target="http://www.sec.gov/Archives/edgar/data/887359/000162828018013767/a103redactedvericelfiftham.htm" TargetMode="External"/><Relationship Id="rId145" Type="http://schemas.openxmlformats.org/officeDocument/2006/relationships/hyperlink" Target="https://www.sec.gov/Archives/edgar/data/0000887359/000162828021015540/nonemployeedirectorcompens.htm" TargetMode="External"/><Relationship Id="rId146" Type="http://schemas.openxmlformats.org/officeDocument/2006/relationships/hyperlink" Target="http://www.sec.gov/Archives/edgar/data/887359/000162828018006239/ex101-amendedmatricelagree.htm" TargetMode="External"/><Relationship Id="rId147" Type="http://schemas.openxmlformats.org/officeDocument/2006/relationships/hyperlink" Target="http://www.sec.gov/Archives/edgar/data/887359/000104746917001792/a2231357zdef14a.htm" TargetMode="External"/><Relationship Id="rId148" Type="http://schemas.openxmlformats.org/officeDocument/2006/relationships/hyperlink" Target="http://www.sec.gov/Archives/edgar/data/887359/000162828019002007/ex1048formofnewhireisoagre.htm" TargetMode="External"/><Relationship Id="rId149" Type="http://schemas.openxmlformats.org/officeDocument/2006/relationships/hyperlink" Target="http://www.sec.gov/Archives/edgar/data/887359/000162828019002007/ex1049formofisoagreement20.htm" TargetMode="External"/><Relationship Id="rId150" Type="http://schemas.openxmlformats.org/officeDocument/2006/relationships/hyperlink" Target="http://www.sec.gov/Archives/edgar/data/887359/000162828019002007/ex1050formofnonemployeeiso.htm" TargetMode="External"/><Relationship Id="rId151" Type="http://schemas.openxmlformats.org/officeDocument/2006/relationships/hyperlink" Target="http://www.sec.gov/Archives/edgar/data/887359/000162828019002007/ex1051formofrsuawardagreem.htm" TargetMode="External"/><Relationship Id="rId155" Type="http://schemas.openxmlformats.org/officeDocument/2006/relationships/hyperlink" Target="http://www.sec.gov/Archives/edgar/data/887359/000110465919026009/a19-9116_1ex10d1.htm" TargetMode="External"/><Relationship Id="rId156" Type="http://schemas.openxmlformats.org/officeDocument/2006/relationships/hyperlink" Target="https://www.sec.gov/Archives/edgar/data/0000887359/000162828021003081/ex1031vcel-2019currentempl.htm" TargetMode="External"/><Relationship Id="rId157" Type="http://schemas.openxmlformats.org/officeDocument/2006/relationships/hyperlink" Target="https://www.sec.gov/Archives/edgar/data/0000887359/000162828021003081/ex1032vcel-2019newhireisoa.htm" TargetMode="External"/><Relationship Id="rId158" Type="http://schemas.openxmlformats.org/officeDocument/2006/relationships/hyperlink" Target="https://www.sec.gov/Archives/edgar/data/0000887359/000162828021003081/ex1033vcel-2019nsoagreemen.htm" TargetMode="External"/><Relationship Id="rId159" Type="http://schemas.openxmlformats.org/officeDocument/2006/relationships/hyperlink" Target="https://www.sec.gov/Archives/edgar/data/0000887359/000162828021003081/ex1034vcel-2019rsuagreemen.htm" TargetMode="External"/><Relationship Id="rId160" Type="http://schemas.openxmlformats.org/officeDocument/2006/relationships/hyperlink" Target="https://www.sec.gov/Archives/edgar/data/0000887359/000162828021003081/ex1035vcel-2019rsuagreemen.htm" TargetMode="External"/><Relationship Id="rId161" Type="http://schemas.openxmlformats.org/officeDocument/2006/relationships/hyperlink" Target="http://www.sec.gov/Archives/edgar/data/887359/000162828019010077/ex101-6thamendmenttodi.htm" TargetMode="External"/><Relationship Id="rId162" Type="http://schemas.openxmlformats.org/officeDocument/2006/relationships/hyperlink" Target="http://www.sec.gov/Archives/edgar/data/887359/000162828019010077/ex102-1stamendmenttodi.htm" TargetMode="External"/><Relationship Id="rId163" Type="http://schemas.openxmlformats.org/officeDocument/2006/relationships/hyperlink" Target="http://www.sec.gov/Archives/edgar/data/887359/000162828019010077/ex109-mediwoundlicense.htm" TargetMode="External"/><Relationship Id="rId164" Type="http://schemas.openxmlformats.org/officeDocument/2006/relationships/hyperlink" Target="http://www.sec.gov/Archives/edgar/data/887359/000162828019010077/ex1010-mediwoundsupply.htm" TargetMode="External"/><Relationship Id="rId165" Type="http://schemas.openxmlformats.org/officeDocument/2006/relationships/hyperlink" Target="http://www.sec.gov/Archives/edgar/data/887359/000162828019010077/ex1011amendedandrestat.htm" TargetMode="External"/><Relationship Id="rId166" Type="http://schemas.openxmlformats.org/officeDocument/2006/relationships/hyperlink" Target="http://www.sec.gov/Archives/edgar/data/887359/000162828019010077/ex1012-1stamendmenttom.htm" TargetMode="External"/><Relationship Id="rId167" Type="http://schemas.openxmlformats.org/officeDocument/2006/relationships/hyperlink" Target="http://www.sec.gov/ix?doc=/Archives/edgar/data/887359/000110465921006897/tm213931d1_8k.htm" TargetMode="External"/><Relationship Id="rId168" Type="http://schemas.openxmlformats.org/officeDocument/2006/relationships/hyperlink" Target="https://www.sec.gov/Archives/edgar/data/0000887359/000162828021003081/ex1043vericel-xemploymenta.htm" TargetMode="External"/><Relationship Id="rId172" Type="http://schemas.openxmlformats.org/officeDocument/2006/relationships/hyperlink" Target="https://www.sec.gov/Archives/edgar/data/0000887359/000162828021003081/ex1044vericel-xemploymenta.htm" TargetMode="External"/><Relationship Id="rId173" Type="http://schemas.openxmlformats.org/officeDocument/2006/relationships/hyperlink" Target="https://www.sec.gov/Archives/edgar/data/887359/000162828021015540/sandrapennellconsultingagr.htm" TargetMode="External"/><Relationship Id="rId174" Type="http://schemas.openxmlformats.org/officeDocument/2006/relationships/hyperlink" Target="https://www.sec.gov/Archives/edgar/data/887359/000162828021022419/secondamendmenttothedispen.htm" TargetMode="External"/><Relationship Id="rId175" Type="http://schemas.openxmlformats.org/officeDocument/2006/relationships/hyperlink" Target="https://www.sec.gov/Archives/edgar/data/887359/000162828021022419/seventh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2022-02-24T08:06:54Z</dcterms:created>
  <dcterms:modified xsi:type="dcterms:W3CDTF">2022-02-24T08:06:54Z</dcterms:modified>
</cp:coreProperties>
</file>