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203835</wp:posOffset>
            </wp:positionH>
            <wp:positionV relativeFrom="page">
              <wp:posOffset>1097915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1033780</wp:posOffset>
            </wp:positionV>
            <wp:extent cx="71412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w:t>
      </w:r>
    </w:p>
    <w:p>
      <w:pPr>
        <w:spacing w:after="0" w:line="81" w:lineRule="exact"/>
        <w:rPr>
          <w:sz w:val="24"/>
          <w:szCs w:val="24"/>
          <w:color w:val="auto"/>
        </w:rPr>
      </w:pPr>
    </w:p>
    <w:p>
      <w:pPr>
        <w:ind w:left="640" w:hanging="28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September 30, 2021</w:t>
      </w:r>
    </w:p>
    <w:p>
      <w:pPr>
        <w:jc w:val="center"/>
        <w:spacing w:after="0" w:line="186" w:lineRule="auto"/>
        <w:rPr>
          <w:sz w:val="20"/>
          <w:szCs w:val="20"/>
          <w:color w:val="auto"/>
        </w:rPr>
      </w:pPr>
      <w:r>
        <w:rPr>
          <w:rFonts w:ascii="Arial" w:cs="Arial" w:eastAsia="Arial" w:hAnsi="Arial"/>
          <w:sz w:val="17"/>
          <w:szCs w:val="17"/>
          <w:b w:val="1"/>
          <w:bCs w:val="1"/>
          <w:color w:val="auto"/>
        </w:rPr>
        <w:t>or</w:t>
      </w:r>
    </w:p>
    <w:p>
      <w:pPr>
        <w:ind w:left="660" w:hanging="334"/>
        <w:spacing w:after="0" w:line="236" w:lineRule="auto"/>
        <w:tabs>
          <w:tab w:leader="none" w:pos="6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80" w:type="dxa"/>
            <w:vAlign w:val="bottom"/>
          </w:tcPr>
          <w:p>
            <w:pPr>
              <w:spacing w:after="0"/>
              <w:rPr>
                <w:sz w:val="18"/>
                <w:szCs w:val="18"/>
                <w:color w:val="auto"/>
              </w:rPr>
            </w:pPr>
          </w:p>
        </w:tc>
        <w:tc>
          <w:tcPr>
            <w:tcW w:w="3940" w:type="dxa"/>
            <w:vAlign w:val="bottom"/>
            <w:gridSpan w:val="3"/>
          </w:tcPr>
          <w:p>
            <w:pPr>
              <w:ind w:left="1200"/>
              <w:spacing w:after="0"/>
              <w:rPr>
                <w:sz w:val="20"/>
                <w:szCs w:val="20"/>
                <w:color w:val="auto"/>
              </w:rPr>
            </w:pPr>
            <w:r>
              <w:rPr>
                <w:rFonts w:ascii="Arial" w:cs="Arial" w:eastAsia="Arial" w:hAnsi="Arial"/>
                <w:sz w:val="17"/>
                <w:szCs w:val="17"/>
                <w:b w:val="1"/>
                <w:bCs w:val="1"/>
                <w:color w:val="auto"/>
                <w:w w:val="93"/>
              </w:rPr>
              <w:t>Commission File Number 001-35280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960" w:type="dxa"/>
            <w:vAlign w:val="bottom"/>
            <w:gridSpan w:val="4"/>
          </w:tcPr>
          <w:p>
            <w:pPr>
              <w:jc w:val="center"/>
              <w:ind w:right="3189"/>
              <w:spacing w:after="0"/>
              <w:rPr>
                <w:sz w:val="20"/>
                <w:szCs w:val="20"/>
                <w:color w:val="auto"/>
              </w:rPr>
            </w:pPr>
            <w:r>
              <w:rPr>
                <w:rFonts w:ascii="Arial" w:cs="Arial" w:eastAsia="Arial" w:hAnsi="Arial"/>
                <w:sz w:val="30"/>
                <w:szCs w:val="30"/>
                <w:b w:val="1"/>
                <w:bCs w:val="1"/>
                <w:color w:val="auto"/>
              </w:rPr>
              <w:t>VERICEL CORPORATION</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(Exact name of registrant as specified in its charter)</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vMerge w:val="restart"/>
          </w:tcPr>
          <w:p>
            <w:pPr>
              <w:jc w:val="center"/>
              <w:ind w:left="1609"/>
              <w:spacing w:after="0"/>
              <w:rPr>
                <w:sz w:val="20"/>
                <w:szCs w:val="20"/>
                <w:color w:val="auto"/>
              </w:rPr>
            </w:pPr>
            <w:r>
              <w:rPr>
                <w:rFonts w:ascii="Arial" w:cs="Arial" w:eastAsia="Arial" w:hAnsi="Arial"/>
                <w:sz w:val="13"/>
                <w:szCs w:val="13"/>
                <w:b w:val="1"/>
                <w:bCs w:val="1"/>
                <w:color w:val="auto"/>
                <w:w w:val="99"/>
              </w:rPr>
              <w:t>Michigan</w:t>
            </w:r>
          </w:p>
        </w:tc>
        <w:tc>
          <w:tcPr>
            <w:tcW w:w="134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94-3096597</w:t>
            </w:r>
          </w:p>
        </w:tc>
        <w:tc>
          <w:tcPr>
            <w:tcW w:w="0" w:type="dxa"/>
            <w:vAlign w:val="bottom"/>
          </w:tcPr>
          <w:p>
            <w:pPr>
              <w:spacing w:after="0"/>
              <w:rPr>
                <w:sz w:val="1"/>
                <w:szCs w:val="1"/>
                <w:color w:val="auto"/>
              </w:rPr>
            </w:pPr>
          </w:p>
        </w:tc>
      </w:tr>
      <w:tr>
        <w:trPr>
          <w:trHeight w:val="280"/>
        </w:trPr>
        <w:tc>
          <w:tcPr>
            <w:tcW w:w="32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20" w:type="dxa"/>
            <w:vAlign w:val="bottom"/>
            <w:gridSpan w:val="4"/>
          </w:tcPr>
          <w:p>
            <w:pPr>
              <w:jc w:val="center"/>
              <w:ind w:right="2260"/>
              <w:spacing w:after="0"/>
              <w:rPr>
                <w:sz w:val="20"/>
                <w:szCs w:val="20"/>
                <w:color w:val="auto"/>
              </w:rPr>
            </w:pPr>
            <w:r>
              <w:rPr>
                <w:rFonts w:ascii="Arial" w:cs="Arial" w:eastAsia="Arial" w:hAnsi="Arial"/>
                <w:sz w:val="13"/>
                <w:szCs w:val="13"/>
                <w:color w:val="auto"/>
                <w:w w:val="95"/>
              </w:rPr>
              <w:t>(State or other jurisdiction of incorporation or organization)</w:t>
            </w:r>
          </w:p>
        </w:tc>
        <w:tc>
          <w:tcPr>
            <w:tcW w:w="4020" w:type="dxa"/>
            <w:vAlign w:val="bottom"/>
          </w:tcPr>
          <w:p>
            <w:pPr>
              <w:ind w:left="20"/>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385"/>
        </w:trPr>
        <w:tc>
          <w:tcPr>
            <w:tcW w:w="3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87"/>
              </w:rPr>
              <w:t>64 Sidney Street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92"/>
              </w:rPr>
              <w:t>Cambridge, MA 02139</w:t>
            </w: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36"/>
              <w:spacing w:after="0"/>
              <w:rPr>
                <w:sz w:val="20"/>
                <w:szCs w:val="20"/>
                <w:color w:val="auto"/>
              </w:rPr>
            </w:pPr>
            <w:r>
              <w:rPr>
                <w:rFonts w:ascii="Arial" w:cs="Arial" w:eastAsia="Arial" w:hAnsi="Arial"/>
                <w:sz w:val="13"/>
                <w:szCs w:val="13"/>
                <w:color w:val="auto"/>
                <w:w w:val="95"/>
              </w:rPr>
              <w:t>(Address of principal executive offices, including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3280" w:type="dxa"/>
            <w:vAlign w:val="bottom"/>
          </w:tcPr>
          <w:p>
            <w:pPr>
              <w:spacing w:after="0"/>
              <w:rPr>
                <w:sz w:val="24"/>
                <w:szCs w:val="24"/>
                <w:color w:val="auto"/>
              </w:rPr>
            </w:pPr>
          </w:p>
        </w:tc>
        <w:tc>
          <w:tcPr>
            <w:tcW w:w="7960" w:type="dxa"/>
            <w:vAlign w:val="bottom"/>
            <w:gridSpan w:val="4"/>
          </w:tcPr>
          <w:p>
            <w:pPr>
              <w:jc w:val="center"/>
              <w:ind w:right="3229"/>
              <w:spacing w:after="0"/>
              <w:rPr>
                <w:sz w:val="20"/>
                <w:szCs w:val="20"/>
                <w:color w:val="auto"/>
              </w:rPr>
            </w:pPr>
            <w:r>
              <w:rPr>
                <w:rFonts w:ascii="Arial" w:cs="Arial" w:eastAsia="Arial" w:hAnsi="Arial"/>
                <w:sz w:val="13"/>
                <w:szCs w:val="13"/>
                <w:color w:val="auto"/>
                <w:w w:val="93"/>
              </w:rPr>
              <w:t xml:space="preserve">Registrant’s telephone number, including area code: </w:t>
            </w:r>
            <w:r>
              <w:rPr>
                <w:rFonts w:ascii="Arial" w:cs="Arial" w:eastAsia="Arial" w:hAnsi="Arial"/>
                <w:sz w:val="13"/>
                <w:szCs w:val="13"/>
                <w:b w:val="1"/>
                <w:bCs w:val="1"/>
                <w:color w:val="auto"/>
                <w:w w:val="93"/>
              </w:rPr>
              <w:t>(617) 588-5555</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3280" w:type="dxa"/>
            <w:vAlign w:val="bottom"/>
          </w:tcPr>
          <w:p>
            <w:pPr>
              <w:spacing w:after="0"/>
              <w:rPr>
                <w:sz w:val="24"/>
                <w:szCs w:val="2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Securities registered pursuant to Section 12(b) of the Act: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tcBorders>
              <w:bottom w:val="single" w:sz="8" w:color="auto"/>
            </w:tcBorders>
          </w:tcPr>
          <w:p>
            <w:pPr>
              <w:jc w:val="center"/>
              <w:ind w:left="409"/>
              <w:spacing w:after="0"/>
              <w:rPr>
                <w:sz w:val="20"/>
                <w:szCs w:val="20"/>
                <w:color w:val="auto"/>
              </w:rPr>
            </w:pPr>
            <w:r>
              <w:rPr>
                <w:rFonts w:ascii="Arial" w:cs="Arial" w:eastAsia="Arial" w:hAnsi="Arial"/>
                <w:sz w:val="15"/>
                <w:szCs w:val="15"/>
                <w:b w:val="1"/>
                <w:bCs w:val="1"/>
                <w:color w:val="auto"/>
                <w:w w:val="89"/>
              </w:rPr>
              <w:t>Title of Class</w:t>
            </w:r>
          </w:p>
        </w:tc>
        <w:tc>
          <w:tcPr>
            <w:tcW w:w="1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b w:val="1"/>
                <w:bCs w:val="1"/>
                <w:color w:val="auto"/>
                <w:w w:val="92"/>
              </w:rPr>
              <w:t>Trading Symbol(s)</w:t>
            </w:r>
          </w:p>
        </w:tc>
        <w:tc>
          <w:tcPr>
            <w:tcW w:w="402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1"/>
        </w:trPr>
        <w:tc>
          <w:tcPr>
            <w:tcW w:w="3280" w:type="dxa"/>
            <w:vAlign w:val="bottom"/>
          </w:tcPr>
          <w:p>
            <w:pPr>
              <w:jc w:val="center"/>
              <w:ind w:left="409"/>
              <w:spacing w:after="0"/>
              <w:rPr>
                <w:sz w:val="20"/>
                <w:szCs w:val="20"/>
                <w:color w:val="auto"/>
              </w:rPr>
            </w:pPr>
            <w:r>
              <w:rPr>
                <w:rFonts w:ascii="Arial" w:cs="Arial" w:eastAsia="Arial" w:hAnsi="Arial"/>
                <w:sz w:val="15"/>
                <w:szCs w:val="15"/>
                <w:color w:val="auto"/>
                <w:w w:val="93"/>
              </w:rPr>
              <w:t>Common Stock (No par value)</w:t>
            </w:r>
          </w:p>
        </w:tc>
        <w:tc>
          <w:tcPr>
            <w:tcW w:w="1340" w:type="dxa"/>
            <w:vAlign w:val="bottom"/>
          </w:tcPr>
          <w:p>
            <w:pPr>
              <w:spacing w:after="0"/>
              <w:rPr>
                <w:sz w:val="16"/>
                <w:szCs w:val="16"/>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5"/>
                <w:szCs w:val="15"/>
                <w:color w:val="auto"/>
                <w:w w:val="96"/>
              </w:rPr>
              <w:t>VCEL</w:t>
            </w:r>
          </w:p>
        </w:tc>
        <w:tc>
          <w:tcPr>
            <w:tcW w:w="4020" w:type="dxa"/>
            <w:vAlign w:val="bottom"/>
          </w:tcPr>
          <w:p>
            <w:pPr>
              <w:ind w:left="1840"/>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bl>
    <w:p>
      <w:pPr>
        <w:spacing w:after="0" w:line="351" w:lineRule="exact"/>
        <w:rPr>
          <w:sz w:val="24"/>
          <w:szCs w:val="24"/>
          <w:color w:val="auto"/>
        </w:rPr>
      </w:pPr>
    </w:p>
    <w:p>
      <w:pPr>
        <w:ind w:right="260" w:firstLine="303"/>
        <w:spacing w:after="0" w:line="30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0" w:lineRule="exact"/>
        <w:rPr>
          <w:sz w:val="24"/>
          <w:szCs w:val="24"/>
          <w:color w:val="auto"/>
        </w:rPr>
      </w:pPr>
    </w:p>
    <w:p>
      <w:pPr>
        <w:ind w:right="140" w:firstLine="303"/>
        <w:spacing w:after="0" w:line="23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12"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940" w:type="dxa"/>
        <w:tblCellMar>
          <w:top w:w="0" w:type="dxa"/>
          <w:left w:w="0" w:type="dxa"/>
          <w:bottom w:w="0" w:type="dxa"/>
          <w:right w:w="0" w:type="dxa"/>
        </w:tblCellMar>
      </w:tblPr>
      <w:tr>
        <w:trPr>
          <w:trHeight w:val="177"/>
        </w:trPr>
        <w:tc>
          <w:tcPr>
            <w:tcW w:w="2060" w:type="dxa"/>
            <w:vAlign w:val="bottom"/>
          </w:tcPr>
          <w:p>
            <w:pPr>
              <w:jc w:val="center"/>
              <w:ind w:right="793"/>
              <w:spacing w:after="0"/>
              <w:rPr>
                <w:sz w:val="20"/>
                <w:szCs w:val="20"/>
                <w:color w:val="auto"/>
              </w:rPr>
            </w:pPr>
            <w:r>
              <w:rPr>
                <w:rFonts w:ascii="Arial" w:cs="Arial" w:eastAsia="Arial" w:hAnsi="Arial"/>
                <w:sz w:val="13"/>
                <w:szCs w:val="13"/>
                <w:color w:val="auto"/>
                <w:w w:val="93"/>
              </w:rPr>
              <w:t>Large accelerated filer</w:t>
            </w:r>
          </w:p>
        </w:tc>
        <w:tc>
          <w:tcPr>
            <w:tcW w:w="14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jc w:val="center"/>
              <w:spacing w:after="0"/>
              <w:rPr>
                <w:sz w:val="20"/>
                <w:szCs w:val="20"/>
                <w:color w:val="auto"/>
              </w:rPr>
            </w:pPr>
            <w:r>
              <w:rPr>
                <w:rFonts w:ascii="Arial" w:cs="Arial" w:eastAsia="Arial" w:hAnsi="Arial"/>
                <w:sz w:val="13"/>
                <w:szCs w:val="13"/>
                <w:color w:val="auto"/>
                <w:w w:val="96"/>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7"/>
        </w:trPr>
        <w:tc>
          <w:tcPr>
            <w:tcW w:w="2060" w:type="dxa"/>
            <w:vAlign w:val="bottom"/>
          </w:tcPr>
          <w:p>
            <w:pPr>
              <w:jc w:val="center"/>
              <w:ind w:right="813"/>
              <w:spacing w:after="0"/>
              <w:rPr>
                <w:sz w:val="20"/>
                <w:szCs w:val="20"/>
                <w:color w:val="auto"/>
              </w:rPr>
            </w:pPr>
            <w:r>
              <w:rPr>
                <w:rFonts w:ascii="Arial" w:cs="Arial" w:eastAsia="Arial" w:hAnsi="Arial"/>
                <w:sz w:val="13"/>
                <w:szCs w:val="13"/>
                <w:color w:val="auto"/>
                <w:w w:val="95"/>
              </w:rPr>
              <w:t>Non-accelerated filer</w:t>
            </w:r>
          </w:p>
        </w:tc>
        <w:tc>
          <w:tcPr>
            <w:tcW w:w="14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jc w:val="center"/>
              <w:spacing w:after="0"/>
              <w:rPr>
                <w:sz w:val="20"/>
                <w:szCs w:val="20"/>
                <w:color w:val="auto"/>
              </w:rPr>
            </w:pPr>
            <w:r>
              <w:rPr>
                <w:rFonts w:ascii="Arial" w:cs="Arial" w:eastAsia="Arial" w:hAnsi="Arial"/>
                <w:sz w:val="13"/>
                <w:szCs w:val="13"/>
                <w:color w:val="auto"/>
                <w:w w:val="95"/>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3"/>
                <w:szCs w:val="13"/>
                <w:color w:val="auto"/>
                <w:w w:val="95"/>
              </w:rPr>
              <w:t>Emerging growth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4" w:lineRule="exact"/>
        <w:rPr>
          <w:sz w:val="24"/>
          <w:szCs w:val="24"/>
          <w:color w:val="auto"/>
        </w:rPr>
      </w:pPr>
    </w:p>
    <w:p>
      <w:pPr>
        <w:ind w:right="420" w:firstLine="303"/>
        <w:spacing w:after="0" w:line="271"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8" w:lineRule="exact"/>
        <w:rPr>
          <w:sz w:val="24"/>
          <w:szCs w:val="24"/>
          <w:color w:val="auto"/>
        </w:rPr>
      </w:pPr>
    </w:p>
    <w:p>
      <w:pPr>
        <w:ind w:left="30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311"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October 29, 2021, 46,815,257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1412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160020</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QUARTERLY REPORT ON FORM 10-Q</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5"/>
          </w:tcPr>
          <w:p>
            <w:pPr>
              <w:ind w:left="2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60" w:type="dxa"/>
            <w:vAlign w:val="bottom"/>
            <w:gridSpan w:val="19"/>
          </w:tcPr>
          <w:p>
            <w:pPr>
              <w:spacing w:after="0"/>
              <w:rPr>
                <w:sz w:val="20"/>
                <w:szCs w:val="20"/>
                <w:color w:val="auto"/>
              </w:rPr>
            </w:pPr>
            <w:r>
              <w:rPr>
                <w:rFonts w:ascii="Arial" w:cs="Arial" w:eastAsia="Arial" w:hAnsi="Arial"/>
                <w:sz w:val="17"/>
                <w:szCs w:val="17"/>
                <w:b w:val="1"/>
                <w:bCs w:val="1"/>
                <w:color w:val="auto"/>
              </w:rPr>
              <w:t>PART I - FINANCIAL INFORMATION</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gridSpan w:val="3"/>
          </w:tcPr>
          <w:p>
            <w:pPr>
              <w:spacing w:after="0" w:line="177" w:lineRule="exact"/>
              <w:rPr>
                <w:sz w:val="20"/>
                <w:szCs w:val="20"/>
                <w:color w:val="auto"/>
              </w:rPr>
            </w:pPr>
            <w:r>
              <w:rPr>
                <w:rFonts w:ascii="Arial" w:cs="Arial" w:eastAsia="Arial" w:hAnsi="Arial"/>
                <w:sz w:val="17"/>
                <w:szCs w:val="17"/>
                <w:color w:val="auto"/>
              </w:rPr>
              <w:t>Item 1.</w:t>
            </w:r>
          </w:p>
        </w:tc>
        <w:tc>
          <w:tcPr>
            <w:tcW w:w="2320" w:type="dxa"/>
            <w:vAlign w:val="bottom"/>
            <w:gridSpan w:val="9"/>
          </w:tcPr>
          <w:p>
            <w:pPr>
              <w:spacing w:after="0" w:line="177" w:lineRule="exact"/>
              <w:rPr>
                <w:sz w:val="20"/>
                <w:szCs w:val="20"/>
                <w:color w:val="auto"/>
              </w:rPr>
            </w:pPr>
            <w:r>
              <w:rPr>
                <w:rFonts w:ascii="Arial" w:cs="Arial" w:eastAsia="Arial" w:hAnsi="Arial"/>
                <w:sz w:val="17"/>
                <w:szCs w:val="17"/>
                <w:color w:val="0000FF"/>
                <w:w w:val="89"/>
              </w:rPr>
              <w:t>Financial Statements (Unaudited):</w:t>
            </w:r>
          </w:p>
        </w:tc>
        <w:tc>
          <w:tcPr>
            <w:tcW w:w="6940" w:type="dxa"/>
            <w:vAlign w:val="bottom"/>
            <w:gridSpan w:val="10"/>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20" w:type="dxa"/>
            <w:vAlign w:val="bottom"/>
            <w:gridSpan w:val="15"/>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 as of September 30, 2021 and December 31, 2020</w:t>
              </w:r>
            </w:hyperlink>
          </w:p>
        </w:tc>
        <w:tc>
          <w:tcPr>
            <w:tcW w:w="1940" w:type="dxa"/>
            <w:vAlign w:val="bottom"/>
            <w:gridSpan w:val="4"/>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7"/>
                <w:szCs w:val="17"/>
                <w:color w:val="0000FF"/>
                <w:w w:val="87"/>
              </w:rPr>
            </w:pPr>
            <w:hyperlink w:anchor="page3">
              <w:r>
                <w:rPr>
                  <w:rFonts w:ascii="Arial" w:cs="Arial" w:eastAsia="Arial" w:hAnsi="Arial"/>
                  <w:sz w:val="17"/>
                  <w:szCs w:val="17"/>
                  <w:color w:val="0000FF"/>
                  <w:w w:val="87"/>
                </w:rPr>
                <w:t>Condensed Consolidated Statements of Operations for the three and nine months ended September 30, 2021 and 2020</w:t>
              </w:r>
            </w:hyperlink>
          </w:p>
        </w:tc>
        <w:tc>
          <w:tcPr>
            <w:tcW w:w="132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9"/>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Statements of Comprehensive Income (Loss) for the three and nine months ended September 30, 2021 and</w:t>
              </w:r>
            </w:hyperlink>
          </w:p>
        </w:tc>
        <w:tc>
          <w:tcPr>
            <w:tcW w:w="600" w:type="dxa"/>
            <w:vAlign w:val="bottom"/>
            <w:gridSpan w:val="2"/>
            <w:vMerge w:val="restart"/>
          </w:tcPr>
          <w:p>
            <w:pPr>
              <w:spacing w:after="0"/>
              <w:rPr>
                <w:sz w:val="24"/>
                <w:szCs w:val="24"/>
                <w:color w:val="auto"/>
              </w:rPr>
            </w:pPr>
          </w:p>
        </w:tc>
        <w:tc>
          <w:tcPr>
            <w:tcW w:w="100" w:type="dxa"/>
            <w:vAlign w:val="bottom"/>
            <w:gridSpan w:val="2"/>
            <w:vMerge w:val="restart"/>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0000FF"/>
            </w:tcBorders>
          </w:tcPr>
          <w:p>
            <w:pPr>
              <w:spacing w:after="0" w:line="144"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2020</w:t>
              </w:r>
            </w:hyperlink>
          </w:p>
        </w:tc>
        <w:tc>
          <w:tcPr>
            <w:tcW w:w="2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9"/>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Condensed Consolidated Statements of Shareholders' Equity from December 31, 2020 to September 30, 2021 and from December 31,</w:t>
              </w:r>
            </w:hyperlink>
          </w:p>
        </w:tc>
        <w:tc>
          <w:tcPr>
            <w:tcW w:w="700" w:type="dxa"/>
            <w:vAlign w:val="bottom"/>
            <w:gridSpan w:val="4"/>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2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w:anchor="page5">
              <w:r>
                <w:rPr>
                  <w:rFonts w:ascii="Arial" w:cs="Arial" w:eastAsia="Arial" w:hAnsi="Arial"/>
                  <w:sz w:val="16"/>
                  <w:szCs w:val="16"/>
                  <w:color w:val="0000FF"/>
                </w:rPr>
                <w:t>2019 to September 30, 2020</w:t>
              </w:r>
            </w:hyperlink>
          </w:p>
        </w:tc>
        <w:tc>
          <w:tcPr>
            <w:tcW w:w="24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9"/>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Cash Flows for the nine months ended September 30, 2021 and 2020</w:t>
              </w:r>
            </w:hyperlink>
          </w:p>
        </w:tc>
        <w:tc>
          <w:tcPr>
            <w:tcW w:w="70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10"/>
          </w:tcPr>
          <w:p>
            <w:pPr>
              <w:spacing w:after="0"/>
              <w:rPr>
                <w:rFonts w:ascii="Arial" w:cs="Arial" w:eastAsia="Arial" w:hAnsi="Arial"/>
                <w:sz w:val="17"/>
                <w:szCs w:val="17"/>
                <w:color w:val="0000FF"/>
                <w:w w:val="88"/>
              </w:rPr>
            </w:pPr>
            <w:hyperlink w:anchor="page8">
              <w:r>
                <w:rPr>
                  <w:rFonts w:ascii="Arial" w:cs="Arial" w:eastAsia="Arial" w:hAnsi="Arial"/>
                  <w:sz w:val="17"/>
                  <w:szCs w:val="17"/>
                  <w:color w:val="0000FF"/>
                  <w:w w:val="88"/>
                </w:rPr>
                <w:t>Notes to Condensed Consolidated Financial Statements</w:t>
              </w:r>
            </w:hyperlink>
          </w:p>
        </w:tc>
        <w:tc>
          <w:tcPr>
            <w:tcW w:w="3580" w:type="dxa"/>
            <w:vAlign w:val="bottom"/>
            <w:gridSpan w:val="5"/>
          </w:tcPr>
          <w:p>
            <w:pPr>
              <w:spacing w:after="0"/>
              <w:rPr>
                <w:sz w:val="24"/>
                <w:szCs w:val="24"/>
                <w:color w:val="auto"/>
              </w:rPr>
            </w:pPr>
          </w:p>
        </w:tc>
        <w:tc>
          <w:tcPr>
            <w:tcW w:w="1940" w:type="dxa"/>
            <w:vAlign w:val="bottom"/>
            <w:gridSpan w:val="4"/>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2.</w:t>
            </w:r>
          </w:p>
        </w:tc>
        <w:tc>
          <w:tcPr>
            <w:tcW w:w="6040" w:type="dxa"/>
            <w:vAlign w:val="bottom"/>
            <w:gridSpan w:val="13"/>
          </w:tcPr>
          <w:p>
            <w:pPr>
              <w:spacing w:after="0"/>
              <w:rPr>
                <w:rFonts w:ascii="Arial" w:cs="Arial" w:eastAsia="Arial" w:hAnsi="Arial"/>
                <w:sz w:val="17"/>
                <w:szCs w:val="17"/>
                <w:color w:val="0000FF"/>
                <w:w w:val="89"/>
              </w:rPr>
            </w:pPr>
            <w:hyperlink w:anchor="page22">
              <w:r>
                <w:rPr>
                  <w:rFonts w:ascii="Arial" w:cs="Arial" w:eastAsia="Arial" w:hAnsi="Arial"/>
                  <w:sz w:val="17"/>
                  <w:szCs w:val="17"/>
                  <w:color w:val="0000FF"/>
                  <w:w w:val="89"/>
                </w:rPr>
                <w:t>Management’s Discussion and Analysis of Financial Condition and Results of Operations</w:t>
              </w:r>
            </w:hyperlink>
          </w:p>
        </w:tc>
        <w:tc>
          <w:tcPr>
            <w:tcW w:w="3220" w:type="dxa"/>
            <w:vAlign w:val="bottom"/>
            <w:gridSpan w:val="6"/>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3.</w:t>
            </w:r>
          </w:p>
        </w:tc>
        <w:tc>
          <w:tcPr>
            <w:tcW w:w="4080" w:type="dxa"/>
            <w:vAlign w:val="bottom"/>
            <w:gridSpan w:val="12"/>
          </w:tcPr>
          <w:p>
            <w:pPr>
              <w:spacing w:after="0"/>
              <w:rPr>
                <w:rFonts w:ascii="Arial" w:cs="Arial" w:eastAsia="Arial" w:hAnsi="Arial"/>
                <w:sz w:val="17"/>
                <w:szCs w:val="17"/>
                <w:color w:val="0000FF"/>
                <w:w w:val="91"/>
              </w:rPr>
            </w:pPr>
            <w:hyperlink w:anchor="page30">
              <w:r>
                <w:rPr>
                  <w:rFonts w:ascii="Arial" w:cs="Arial" w:eastAsia="Arial" w:hAnsi="Arial"/>
                  <w:sz w:val="17"/>
                  <w:szCs w:val="17"/>
                  <w:color w:val="0000FF"/>
                  <w:w w:val="91"/>
                </w:rPr>
                <w:t>Quantitative and Qualitative Disclosures About Market Risk</w:t>
              </w:r>
            </w:hyperlink>
          </w:p>
        </w:tc>
        <w:tc>
          <w:tcPr>
            <w:tcW w:w="1960" w:type="dxa"/>
            <w:vAlign w:val="bottom"/>
          </w:tcPr>
          <w:p>
            <w:pPr>
              <w:spacing w:after="0"/>
              <w:rPr>
                <w:sz w:val="24"/>
                <w:szCs w:val="24"/>
                <w:color w:val="auto"/>
              </w:rPr>
            </w:pPr>
          </w:p>
        </w:tc>
        <w:tc>
          <w:tcPr>
            <w:tcW w:w="3220" w:type="dxa"/>
            <w:vAlign w:val="bottom"/>
            <w:gridSpan w:val="6"/>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4.</w:t>
            </w:r>
          </w:p>
        </w:tc>
        <w:tc>
          <w:tcPr>
            <w:tcW w:w="1660" w:type="dxa"/>
            <w:vAlign w:val="bottom"/>
            <w:gridSpan w:val="5"/>
          </w:tcPr>
          <w:p>
            <w:pPr>
              <w:spacing w:after="0"/>
              <w:rPr>
                <w:rFonts w:ascii="Arial" w:cs="Arial" w:eastAsia="Arial" w:hAnsi="Arial"/>
                <w:sz w:val="17"/>
                <w:szCs w:val="17"/>
                <w:color w:val="0000FF"/>
                <w:w w:val="87"/>
              </w:rPr>
            </w:pPr>
            <w:hyperlink w:anchor="page30">
              <w:r>
                <w:rPr>
                  <w:rFonts w:ascii="Arial" w:cs="Arial" w:eastAsia="Arial" w:hAnsi="Arial"/>
                  <w:sz w:val="17"/>
                  <w:szCs w:val="17"/>
                  <w:color w:val="0000FF"/>
                  <w:w w:val="87"/>
                </w:rPr>
                <w:t>Controls and Procedures</w:t>
              </w:r>
            </w:hyperlink>
          </w:p>
        </w:tc>
        <w:tc>
          <w:tcPr>
            <w:tcW w:w="2420" w:type="dxa"/>
            <w:vAlign w:val="bottom"/>
            <w:gridSpan w:val="7"/>
          </w:tcPr>
          <w:p>
            <w:pPr>
              <w:spacing w:after="0"/>
              <w:rPr>
                <w:sz w:val="24"/>
                <w:szCs w:val="24"/>
                <w:color w:val="auto"/>
              </w:rPr>
            </w:pPr>
          </w:p>
        </w:tc>
        <w:tc>
          <w:tcPr>
            <w:tcW w:w="5180" w:type="dxa"/>
            <w:vAlign w:val="bottom"/>
            <w:gridSpan w:val="7"/>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9"/>
          </w:tcPr>
          <w:p>
            <w:pPr>
              <w:spacing w:after="0"/>
              <w:rPr>
                <w:sz w:val="20"/>
                <w:szCs w:val="20"/>
                <w:color w:val="auto"/>
              </w:rPr>
            </w:pPr>
            <w:r>
              <w:rPr>
                <w:rFonts w:ascii="Arial" w:cs="Arial" w:eastAsia="Arial" w:hAnsi="Arial"/>
                <w:sz w:val="17"/>
                <w:szCs w:val="17"/>
                <w:b w:val="1"/>
                <w:bCs w:val="1"/>
                <w:color w:val="auto"/>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gridSpan w:val="3"/>
          </w:tcPr>
          <w:p>
            <w:pPr>
              <w:spacing w:after="0" w:line="177" w:lineRule="exact"/>
              <w:rPr>
                <w:sz w:val="20"/>
                <w:szCs w:val="20"/>
                <w:color w:val="auto"/>
              </w:rPr>
            </w:pPr>
            <w:r>
              <w:rPr>
                <w:rFonts w:ascii="Arial" w:cs="Arial" w:eastAsia="Arial" w:hAnsi="Arial"/>
                <w:sz w:val="17"/>
                <w:szCs w:val="17"/>
                <w:color w:val="auto"/>
              </w:rPr>
              <w:t>Item 1.</w:t>
            </w:r>
          </w:p>
        </w:tc>
        <w:tc>
          <w:tcPr>
            <w:tcW w:w="1240" w:type="dxa"/>
            <w:vAlign w:val="bottom"/>
            <w:gridSpan w:val="4"/>
          </w:tcPr>
          <w:p>
            <w:pPr>
              <w:spacing w:after="0" w:line="177" w:lineRule="exact"/>
              <w:rPr>
                <w:rFonts w:ascii="Arial" w:cs="Arial" w:eastAsia="Arial" w:hAnsi="Arial"/>
                <w:sz w:val="17"/>
                <w:szCs w:val="17"/>
                <w:color w:val="0000FF"/>
                <w:w w:val="85"/>
              </w:rPr>
            </w:pPr>
            <w:hyperlink w:anchor="page31">
              <w:r>
                <w:rPr>
                  <w:rFonts w:ascii="Arial" w:cs="Arial" w:eastAsia="Arial" w:hAnsi="Arial"/>
                  <w:sz w:val="17"/>
                  <w:szCs w:val="17"/>
                  <w:color w:val="0000FF"/>
                  <w:w w:val="85"/>
                </w:rPr>
                <w:t>Legal Proceedings</w:t>
              </w:r>
            </w:hyperlink>
          </w:p>
        </w:tc>
        <w:tc>
          <w:tcPr>
            <w:tcW w:w="8020" w:type="dxa"/>
            <w:vAlign w:val="bottom"/>
            <w:gridSpan w:val="15"/>
          </w:tcPr>
          <w:p>
            <w:pPr>
              <w:spacing w:after="0"/>
              <w:rPr>
                <w:sz w:val="15"/>
                <w:szCs w:val="15"/>
                <w:color w:val="auto"/>
              </w:rPr>
            </w:pPr>
          </w:p>
        </w:tc>
        <w:tc>
          <w:tcPr>
            <w:tcW w:w="700" w:type="dxa"/>
            <w:vAlign w:val="bottom"/>
            <w:gridSpan w:val="4"/>
          </w:tcPr>
          <w:p>
            <w:pPr>
              <w:jc w:val="right"/>
              <w:ind w:right="20"/>
              <w:spacing w:after="0" w:line="177" w:lineRule="exact"/>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3"/>
          </w:tcPr>
          <w:p>
            <w:pPr>
              <w:spacing w:after="0"/>
              <w:rPr>
                <w:rFonts w:ascii="Arial" w:cs="Arial" w:eastAsia="Arial" w:hAnsi="Arial"/>
                <w:sz w:val="17"/>
                <w:szCs w:val="17"/>
                <w:color w:val="0000FF"/>
                <w:w w:val="88"/>
              </w:rPr>
            </w:pPr>
            <w:hyperlink w:anchor="page31">
              <w:r>
                <w:rPr>
                  <w:rFonts w:ascii="Arial" w:cs="Arial" w:eastAsia="Arial" w:hAnsi="Arial"/>
                  <w:sz w:val="17"/>
                  <w:szCs w:val="17"/>
                  <w:color w:val="0000FF"/>
                  <w:w w:val="88"/>
                </w:rPr>
                <w:t>Risk Factors</w:t>
              </w:r>
            </w:hyperlink>
          </w:p>
        </w:tc>
        <w:tc>
          <w:tcPr>
            <w:tcW w:w="380" w:type="dxa"/>
            <w:vAlign w:val="bottom"/>
          </w:tcPr>
          <w:p>
            <w:pPr>
              <w:spacing w:after="0"/>
              <w:rPr>
                <w:sz w:val="24"/>
                <w:szCs w:val="24"/>
                <w:color w:val="auto"/>
              </w:rPr>
            </w:pPr>
          </w:p>
        </w:tc>
        <w:tc>
          <w:tcPr>
            <w:tcW w:w="8020" w:type="dxa"/>
            <w:vAlign w:val="bottom"/>
            <w:gridSpan w:val="15"/>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1B.</w:t>
            </w:r>
          </w:p>
        </w:tc>
        <w:tc>
          <w:tcPr>
            <w:tcW w:w="1920" w:type="dxa"/>
            <w:vAlign w:val="bottom"/>
            <w:gridSpan w:val="7"/>
          </w:tcPr>
          <w:p>
            <w:pPr>
              <w:spacing w:after="0"/>
              <w:rPr>
                <w:rFonts w:ascii="Arial" w:cs="Arial" w:eastAsia="Arial" w:hAnsi="Arial"/>
                <w:sz w:val="17"/>
                <w:szCs w:val="17"/>
                <w:color w:val="0000FF"/>
                <w:w w:val="89"/>
              </w:rPr>
            </w:pPr>
            <w:hyperlink w:anchor="page35">
              <w:r>
                <w:rPr>
                  <w:rFonts w:ascii="Arial" w:cs="Arial" w:eastAsia="Arial" w:hAnsi="Arial"/>
                  <w:sz w:val="17"/>
                  <w:szCs w:val="17"/>
                  <w:color w:val="0000FF"/>
                  <w:w w:val="89"/>
                </w:rPr>
                <w:t>Unresolved Staff Comments</w:t>
              </w:r>
            </w:hyperlink>
          </w:p>
        </w:tc>
        <w:tc>
          <w:tcPr>
            <w:tcW w:w="7340" w:type="dxa"/>
            <w:vAlign w:val="bottom"/>
            <w:gridSpan w:val="12"/>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2.</w:t>
            </w:r>
          </w:p>
        </w:tc>
        <w:tc>
          <w:tcPr>
            <w:tcW w:w="9260" w:type="dxa"/>
            <w:vAlign w:val="bottom"/>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Unregistered Sales of Equity Securities and Use of Proceeds</w:t>
              </w:r>
            </w:hyperlink>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3.</w:t>
            </w:r>
          </w:p>
        </w:tc>
        <w:tc>
          <w:tcPr>
            <w:tcW w:w="4060" w:type="dxa"/>
            <w:vAlign w:val="bottom"/>
            <w:gridSpan w:val="11"/>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Defaults Upon Senior Securities</w:t>
              </w:r>
            </w:hyperlink>
          </w:p>
        </w:tc>
        <w:tc>
          <w:tcPr>
            <w:tcW w:w="5200" w:type="dxa"/>
            <w:vAlign w:val="bottom"/>
            <w:gridSpan w:val="8"/>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20" w:type="dxa"/>
            <w:vAlign w:val="bottom"/>
            <w:tcBorders>
              <w:left w:val="single" w:sz="8" w:color="0000FF"/>
            </w:tcBorders>
            <w:gridSpan w:val="1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4.</w:t>
            </w:r>
          </w:p>
        </w:tc>
        <w:tc>
          <w:tcPr>
            <w:tcW w:w="1660" w:type="dxa"/>
            <w:vAlign w:val="bottom"/>
            <w:gridSpan w:val="5"/>
          </w:tcPr>
          <w:p>
            <w:pPr>
              <w:spacing w:after="0"/>
              <w:rPr>
                <w:rFonts w:ascii="Arial" w:cs="Arial" w:eastAsia="Arial" w:hAnsi="Arial"/>
                <w:sz w:val="17"/>
                <w:szCs w:val="17"/>
                <w:color w:val="0000FF"/>
                <w:w w:val="89"/>
              </w:rPr>
            </w:pPr>
            <w:hyperlink w:anchor="page35">
              <w:r>
                <w:rPr>
                  <w:rFonts w:ascii="Arial" w:cs="Arial" w:eastAsia="Arial" w:hAnsi="Arial"/>
                  <w:sz w:val="17"/>
                  <w:szCs w:val="17"/>
                  <w:color w:val="0000FF"/>
                  <w:w w:val="89"/>
                </w:rPr>
                <w:t>Mine Safety Disclosures</w:t>
              </w:r>
            </w:hyperlink>
          </w:p>
        </w:tc>
        <w:tc>
          <w:tcPr>
            <w:tcW w:w="7600" w:type="dxa"/>
            <w:vAlign w:val="bottom"/>
            <w:gridSpan w:val="14"/>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5.</w:t>
            </w:r>
          </w:p>
        </w:tc>
        <w:tc>
          <w:tcPr>
            <w:tcW w:w="1240" w:type="dxa"/>
            <w:vAlign w:val="bottom"/>
            <w:gridSpan w:val="4"/>
          </w:tcPr>
          <w:p>
            <w:pPr>
              <w:spacing w:after="0"/>
              <w:rPr>
                <w:rFonts w:ascii="Arial" w:cs="Arial" w:eastAsia="Arial" w:hAnsi="Arial"/>
                <w:sz w:val="17"/>
                <w:szCs w:val="17"/>
                <w:color w:val="0000FF"/>
                <w:w w:val="90"/>
              </w:rPr>
            </w:pPr>
            <w:hyperlink w:anchor="page35">
              <w:r>
                <w:rPr>
                  <w:rFonts w:ascii="Arial" w:cs="Arial" w:eastAsia="Arial" w:hAnsi="Arial"/>
                  <w:sz w:val="17"/>
                  <w:szCs w:val="17"/>
                  <w:color w:val="0000FF"/>
                  <w:w w:val="90"/>
                </w:rPr>
                <w:t>Other Information</w:t>
              </w:r>
            </w:hyperlink>
          </w:p>
        </w:tc>
        <w:tc>
          <w:tcPr>
            <w:tcW w:w="420" w:type="dxa"/>
            <w:vAlign w:val="bottom"/>
          </w:tcPr>
          <w:p>
            <w:pPr>
              <w:spacing w:after="0"/>
              <w:rPr>
                <w:sz w:val="24"/>
                <w:szCs w:val="24"/>
                <w:color w:val="auto"/>
              </w:rPr>
            </w:pPr>
          </w:p>
        </w:tc>
        <w:tc>
          <w:tcPr>
            <w:tcW w:w="7600" w:type="dxa"/>
            <w:vAlign w:val="bottom"/>
            <w:gridSpan w:val="14"/>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auto"/>
              </w:rPr>
              <w:t>Item 6.</w:t>
            </w:r>
          </w:p>
        </w:tc>
        <w:tc>
          <w:tcPr>
            <w:tcW w:w="1240" w:type="dxa"/>
            <w:vAlign w:val="bottom"/>
            <w:gridSpan w:val="4"/>
          </w:tcPr>
          <w:p>
            <w:pPr>
              <w:spacing w:after="0"/>
              <w:rPr>
                <w:sz w:val="20"/>
                <w:szCs w:val="20"/>
                <w:color w:val="auto"/>
              </w:rPr>
            </w:pPr>
            <w:r>
              <w:rPr>
                <w:rFonts w:ascii="Arial" w:cs="Arial" w:eastAsia="Arial" w:hAnsi="Arial"/>
                <w:sz w:val="17"/>
                <w:szCs w:val="17"/>
                <w:color w:val="0000FF"/>
              </w:rPr>
              <w:t>Exhibits</w:t>
            </w:r>
          </w:p>
        </w:tc>
        <w:tc>
          <w:tcPr>
            <w:tcW w:w="8020" w:type="dxa"/>
            <w:vAlign w:val="bottom"/>
            <w:gridSpan w:val="15"/>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0000FF"/>
                <w:w w:val="92"/>
              </w:rPr>
              <w:t>Exhibit Index</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6">
              <w:r>
                <w:rPr>
                  <w:rFonts w:ascii="Arial" w:cs="Arial" w:eastAsia="Arial" w:hAnsi="Arial"/>
                  <w:sz w:val="17"/>
                  <w:szCs w:val="17"/>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Signatures</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2"/>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40" w:type="dxa"/>
            <w:vAlign w:val="bottom"/>
            <w:gridSpan w:val="13"/>
          </w:tcPr>
          <w:p>
            <w:pPr>
              <w:ind w:left="43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PART I - 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2"/>
        </w:trPr>
        <w:tc>
          <w:tcPr>
            <w:tcW w:w="8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33,620</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43,738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42,187</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$40 and $143, respectively)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34,504</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9,356</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0" w:type="dxa"/>
            <w:vAlign w:val="bottom"/>
          </w:tcPr>
          <w:p>
            <w:pPr>
              <w:spacing w:after="0"/>
              <w:rPr>
                <w:sz w:val="1"/>
                <w:szCs w:val="1"/>
                <w:color w:val="auto"/>
              </w:rPr>
            </w:pPr>
          </w:p>
        </w:tc>
      </w:tr>
      <w:tr>
        <w:trPr>
          <w:trHeight w:val="207"/>
        </w:trPr>
        <w:tc>
          <w:tcPr>
            <w:tcW w:w="832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144,946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123,560</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50,105</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Long-term investments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24,099</w:t>
            </w: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320" w:type="dxa"/>
            <w:vAlign w:val="bottom"/>
          </w:tcPr>
          <w:p>
            <w:pPr>
              <w:ind w:left="3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205,608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6,755</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Accrued expenses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10,932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11,293</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4"/>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7"/>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22,483</w:t>
            </w: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48,493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48,789</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7"/>
        </w:trPr>
        <w:tc>
          <w:tcPr>
            <w:tcW w:w="832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67,363</w:t>
            </w:r>
          </w:p>
        </w:tc>
        <w:tc>
          <w:tcPr>
            <w:tcW w:w="100" w:type="dxa"/>
            <w:vAlign w:val="bottom"/>
          </w:tcPr>
          <w:p>
            <w:pPr>
              <w:spacing w:after="0"/>
              <w:rPr>
                <w:sz w:val="17"/>
                <w:szCs w:val="17"/>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71,348</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20" w:type="dxa"/>
            <w:vAlign w:val="bottom"/>
            <w:shd w:val="clear" w:color="auto" w:fill="CCEEFF"/>
          </w:tcPr>
          <w:p>
            <w:pPr>
              <w:ind w:left="140"/>
              <w:spacing w:after="0" w:line="164" w:lineRule="exact"/>
              <w:rPr>
                <w:sz w:val="20"/>
                <w:szCs w:val="20"/>
                <w:color w:val="auto"/>
              </w:rPr>
            </w:pPr>
            <w:r>
              <w:rPr>
                <w:rFonts w:ascii="Arial" w:cs="Arial" w:eastAsia="Arial" w:hAnsi="Arial"/>
                <w:sz w:val="17"/>
                <w:szCs w:val="17"/>
                <w:color w:val="auto"/>
                <w:w w:val="98"/>
              </w:rPr>
              <w:t>Common stock, no par value; shares authorized — 75,000; shares issued and outstanding 46,767 and 45,804,</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544,624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510,061</w:t>
            </w: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(387,821)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(375,815)</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shareholders’ equity</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134,260</w:t>
            </w:r>
          </w:p>
        </w:tc>
        <w:tc>
          <w:tcPr>
            <w:tcW w:w="0" w:type="dxa"/>
            <w:vAlign w:val="bottom"/>
          </w:tcPr>
          <w:p>
            <w:pPr>
              <w:spacing w:after="0"/>
              <w:rPr>
                <w:sz w:val="1"/>
                <w:szCs w:val="1"/>
                <w:color w:val="auto"/>
              </w:rPr>
            </w:pPr>
          </w:p>
        </w:tc>
      </w:tr>
      <w:tr>
        <w:trPr>
          <w:trHeight w:val="232"/>
        </w:trPr>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shareholders’ equity</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205,608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amounts in thousands,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80" w:type="dxa"/>
            <w:vAlign w:val="bottom"/>
          </w:tcPr>
          <w:p>
            <w:pPr>
              <w:spacing w:after="0"/>
              <w:rPr>
                <w:sz w:val="15"/>
                <w:szCs w:val="15"/>
                <w:color w:val="auto"/>
              </w:rPr>
            </w:pPr>
          </w:p>
        </w:tc>
        <w:tc>
          <w:tcPr>
            <w:tcW w:w="304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40" w:type="dxa"/>
            <w:vAlign w:val="bottom"/>
            <w:gridSpan w:val="4"/>
          </w:tcPr>
          <w:p>
            <w:pPr>
              <w:jc w:val="right"/>
              <w:ind w:right="377"/>
              <w:spacing w:after="0"/>
              <w:rPr>
                <w:sz w:val="20"/>
                <w:szCs w:val="20"/>
                <w:color w:val="auto"/>
              </w:rPr>
            </w:pPr>
            <w:r>
              <w:rPr>
                <w:rFonts w:ascii="Arial" w:cs="Arial" w:eastAsia="Arial" w:hAnsi="Arial"/>
                <w:sz w:val="13"/>
                <w:szCs w:val="13"/>
                <w:b w:val="1"/>
                <w:bCs w:val="1"/>
                <w:color w:val="auto"/>
              </w:rPr>
              <w:t>Nine Months Ended September 30,</w:t>
            </w:r>
          </w:p>
        </w:tc>
      </w:tr>
      <w:tr>
        <w:trPr>
          <w:trHeight w:val="173"/>
        </w:trPr>
        <w:tc>
          <w:tcPr>
            <w:tcW w:w="52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2020</w:t>
            </w:r>
          </w:p>
        </w:tc>
      </w:tr>
      <w:tr>
        <w:trPr>
          <w:trHeight w:val="208"/>
        </w:trPr>
        <w:tc>
          <w:tcPr>
            <w:tcW w:w="5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Product sales, net</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33,718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77,712</w:t>
            </w:r>
          </w:p>
        </w:tc>
      </w:tr>
      <w:tr>
        <w:trPr>
          <w:trHeight w:val="214"/>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revenue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1,238</w:t>
            </w:r>
          </w:p>
        </w:tc>
      </w:tr>
      <w:tr>
        <w:trPr>
          <w:trHeight w:val="207"/>
        </w:trPr>
        <w:tc>
          <w:tcPr>
            <w:tcW w:w="5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34,506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78,950</w:t>
            </w:r>
          </w:p>
        </w:tc>
      </w:tr>
      <w:tr>
        <w:trPr>
          <w:trHeight w:val="214"/>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product sales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12,408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28,369</w:t>
            </w:r>
          </w:p>
        </w:tc>
      </w:tr>
      <w:tr>
        <w:trPr>
          <w:trHeight w:val="207"/>
        </w:trPr>
        <w:tc>
          <w:tcPr>
            <w:tcW w:w="5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22,098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50,581</w:t>
            </w:r>
          </w:p>
        </w:tc>
      </w:tr>
      <w:tr>
        <w:trPr>
          <w:trHeight w:val="207"/>
        </w:trPr>
        <w:tc>
          <w:tcPr>
            <w:tcW w:w="528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12,363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9,902</w:t>
            </w: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22,775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71,625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50,596</w:t>
            </w:r>
          </w:p>
        </w:tc>
      </w:tr>
      <w:tr>
        <w:trPr>
          <w:trHeight w:val="207"/>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27,059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18,954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60,498</w:t>
            </w: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(4,961)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(9,917)</w:t>
            </w:r>
          </w:p>
        </w:tc>
      </w:tr>
      <w:tr>
        <w:trPr>
          <w:trHeight w:val="194"/>
        </w:trPr>
        <w:tc>
          <w:tcPr>
            <w:tcW w:w="5280" w:type="dxa"/>
            <w:vAlign w:val="bottom"/>
          </w:tcPr>
          <w:p>
            <w:pPr>
              <w:ind w:left="20"/>
              <w:spacing w:after="0" w:line="194" w:lineRule="exact"/>
              <w:rPr>
                <w:sz w:val="20"/>
                <w:szCs w:val="20"/>
                <w:color w:val="auto"/>
              </w:rPr>
            </w:pPr>
            <w:r>
              <w:rPr>
                <w:rFonts w:ascii="Arial" w:cs="Arial" w:eastAsia="Arial" w:hAnsi="Arial"/>
                <w:sz w:val="17"/>
                <w:szCs w:val="17"/>
                <w:color w:val="auto"/>
              </w:rPr>
              <w:t>Other income (expense):</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r>
      <w:tr>
        <w:trPr>
          <w:trHeight w:val="214"/>
        </w:trPr>
        <w:tc>
          <w:tcPr>
            <w:tcW w:w="52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5"/>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7"/>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other income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w:t>
            </w: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tax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(9,356)</w:t>
            </w:r>
          </w:p>
        </w:tc>
      </w:tr>
      <w:tr>
        <w:trPr>
          <w:trHeight w:val="214"/>
        </w:trPr>
        <w:tc>
          <w:tcPr>
            <w:tcW w:w="5280" w:type="dxa"/>
            <w:vAlign w:val="bottom"/>
          </w:tcPr>
          <w:p>
            <w:pPr>
              <w:ind w:left="120"/>
              <w:spacing w:after="0"/>
              <w:rPr>
                <w:sz w:val="20"/>
                <w:szCs w:val="20"/>
                <w:color w:val="auto"/>
              </w:rPr>
            </w:pPr>
            <w:r>
              <w:rPr>
                <w:rFonts w:ascii="Arial" w:cs="Arial" w:eastAsia="Arial" w:hAnsi="Arial"/>
                <w:sz w:val="17"/>
                <w:szCs w:val="17"/>
                <w:color w:val="auto"/>
              </w:rPr>
              <w:t>Tax expense</w:t>
            </w: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(4,931)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(9,356)</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per common share (Basic and Diluted)</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(Basic)</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46,669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45,272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46,355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45,112</w:t>
            </w:r>
          </w:p>
        </w:tc>
      </w:tr>
      <w:tr>
        <w:trPr>
          <w:trHeight w:val="207"/>
        </w:trPr>
        <w:tc>
          <w:tcPr>
            <w:tcW w:w="528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46,669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46,355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45,112</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amounts in thousands</w:t>
      </w:r>
      <w:r>
        <w:rPr>
          <w:rFonts w:ascii="Arial" w:cs="Arial" w:eastAsia="Arial" w:hAnsi="Arial"/>
          <w:sz w:val="17"/>
          <w:szCs w:val="17"/>
          <w:color w:val="auto"/>
        </w:rPr>
        <w: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20" w:type="dxa"/>
            <w:vAlign w:val="bottom"/>
          </w:tcPr>
          <w:p>
            <w:pPr>
              <w:spacing w:after="0"/>
              <w:rPr>
                <w:sz w:val="15"/>
                <w:szCs w:val="15"/>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3"/>
                <w:szCs w:val="13"/>
                <w:b w:val="1"/>
                <w:bCs w:val="1"/>
                <w:color w:val="auto"/>
              </w:rPr>
              <w:t>Nine Months Ended September 30,</w:t>
            </w:r>
          </w:p>
        </w:tc>
      </w:tr>
      <w:tr>
        <w:trPr>
          <w:trHeight w:val="173"/>
        </w:trPr>
        <w:tc>
          <w:tcPr>
            <w:tcW w:w="4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8"/>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(9,356)</w:t>
            </w:r>
          </w:p>
        </w:tc>
      </w:tr>
      <w:tr>
        <w:trPr>
          <w:trHeight w:val="214"/>
        </w:trPr>
        <w:tc>
          <w:tcPr>
            <w:tcW w:w="4720" w:type="dxa"/>
            <w:vAlign w:val="bottom"/>
          </w:tcPr>
          <w:p>
            <w:pPr>
              <w:ind w:left="140"/>
              <w:spacing w:after="0"/>
              <w:rPr>
                <w:sz w:val="20"/>
                <w:szCs w:val="20"/>
                <w:color w:val="auto"/>
              </w:rPr>
            </w:pPr>
            <w:r>
              <w:rPr>
                <w:rFonts w:ascii="Arial" w:cs="Arial" w:eastAsia="Arial" w:hAnsi="Arial"/>
                <w:sz w:val="17"/>
                <w:szCs w:val="17"/>
                <w:color w:val="auto"/>
              </w:rPr>
              <w:t>Other comprehensive income (loss):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4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(loss) on investments</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07"/>
        </w:trPr>
        <w:tc>
          <w:tcPr>
            <w:tcW w:w="472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(4,931)</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3,550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(12,043)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(9,299)</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Accumulated 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660" w:type="dxa"/>
            <w:vAlign w:val="bottom"/>
          </w:tcPr>
          <w:p>
            <w:pPr>
              <w:spacing w:after="0"/>
              <w:rPr>
                <w:sz w:val="9"/>
                <w:szCs w:val="9"/>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9"/>
                <w:szCs w:val="9"/>
                <w:color w:val="auto"/>
              </w:rPr>
            </w:pPr>
          </w:p>
        </w:tc>
        <w:tc>
          <w:tcPr>
            <w:tcW w:w="138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9"/>
              </w:rPr>
              <w:t>Comprehensive</w:t>
            </w:r>
          </w:p>
        </w:tc>
        <w:tc>
          <w:tcPr>
            <w:tcW w:w="140" w:type="dxa"/>
            <w:vAlign w:val="bottom"/>
          </w:tcPr>
          <w:p>
            <w:pPr>
              <w:spacing w:after="0"/>
              <w:rPr>
                <w:sz w:val="9"/>
                <w:szCs w:val="9"/>
                <w:color w:val="auto"/>
              </w:rPr>
            </w:pPr>
          </w:p>
        </w:tc>
        <w:tc>
          <w:tcPr>
            <w:tcW w:w="1180" w:type="dxa"/>
            <w:vAlign w:val="bottom"/>
            <w:gridSpan w:val="2"/>
          </w:tcPr>
          <w:p>
            <w:pPr>
              <w:ind w:left="60"/>
              <w:spacing w:after="0" w:line="106" w:lineRule="exact"/>
              <w:rPr>
                <w:sz w:val="20"/>
                <w:szCs w:val="20"/>
                <w:color w:val="auto"/>
              </w:rPr>
            </w:pPr>
            <w:r>
              <w:rPr>
                <w:rFonts w:ascii="Arial" w:cs="Arial" w:eastAsia="Arial" w:hAnsi="Arial"/>
                <w:sz w:val="12"/>
                <w:szCs w:val="12"/>
                <w:b w:val="1"/>
                <w:bCs w:val="1"/>
                <w:color w:val="auto"/>
              </w:rPr>
              <w:t>Accumulated</w:t>
            </w:r>
          </w:p>
        </w:tc>
        <w:tc>
          <w:tcPr>
            <w:tcW w:w="120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Total Shareholders'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5"/>
                <w:szCs w:val="15"/>
                <w:color w:val="auto"/>
              </w:rPr>
            </w:pPr>
          </w:p>
        </w:tc>
        <w:tc>
          <w:tcPr>
            <w:tcW w:w="960" w:type="dxa"/>
            <w:vAlign w:val="bottom"/>
          </w:tcPr>
          <w:p>
            <w:pPr>
              <w:jc w:val="right"/>
              <w:ind w:right="345"/>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2020</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45,804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510,061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865"/>
              <w:spacing w:after="0"/>
              <w:rPr>
                <w:sz w:val="20"/>
                <w:szCs w:val="20"/>
                <w:color w:val="auto"/>
              </w:rPr>
            </w:pPr>
            <w:r>
              <w:rPr>
                <w:rFonts w:ascii="Arial" w:cs="Arial" w:eastAsia="Arial" w:hAnsi="Arial"/>
                <w:sz w:val="15"/>
                <w:szCs w:val="15"/>
                <w:color w:val="auto"/>
                <w:w w:val="83"/>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(375,815)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134,260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12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380" w:type="dxa"/>
            <w:vAlign w:val="bottom"/>
            <w:gridSpan w:val="2"/>
          </w:tcPr>
          <w:p>
            <w:pPr>
              <w:jc w:val="center"/>
              <w:ind w:left="725"/>
              <w:spacing w:after="0" w:line="169" w:lineRule="exact"/>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(3,289)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(3,289)</w:t>
            </w: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7,019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7,019</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359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3,532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3,532</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Unrealized loss on investments</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40" w:type="dxa"/>
            <w:vAlign w:val="bottom"/>
          </w:tcPr>
          <w:p>
            <w:pPr>
              <w:jc w:val="center"/>
              <w:ind w:left="845"/>
              <w:spacing w:after="0"/>
              <w:rPr>
                <w:sz w:val="20"/>
                <w:szCs w:val="20"/>
                <w:color w:val="auto"/>
              </w:rPr>
            </w:pPr>
            <w:r>
              <w:rPr>
                <w:rFonts w:ascii="Arial" w:cs="Arial" w:eastAsia="Arial" w:hAnsi="Arial"/>
                <w:sz w:val="15"/>
                <w:szCs w:val="15"/>
                <w:color w:val="auto"/>
                <w:w w:val="89"/>
              </w:rPr>
              <w:t>(61)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MARCH 31, 2021</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46,225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519,360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845"/>
              <w:spacing w:after="0"/>
              <w:rPr>
                <w:sz w:val="20"/>
                <w:szCs w:val="20"/>
                <w:color w:val="auto"/>
              </w:rPr>
            </w:pPr>
            <w:r>
              <w:rPr>
                <w:rFonts w:ascii="Arial" w:cs="Arial" w:eastAsia="Arial" w:hAnsi="Arial"/>
                <w:sz w:val="15"/>
                <w:szCs w:val="15"/>
                <w:color w:val="auto"/>
                <w:w w:val="89"/>
              </w:rPr>
              <w:t>(47)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(379,104)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140,209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12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380" w:type="dxa"/>
            <w:vAlign w:val="bottom"/>
            <w:gridSpan w:val="2"/>
          </w:tcPr>
          <w:p>
            <w:pPr>
              <w:jc w:val="center"/>
              <w:ind w:left="725"/>
              <w:spacing w:after="0" w:line="169" w:lineRule="exact"/>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(3,786)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(3,786)</w:t>
            </w: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10,866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10,866</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330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3,531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3,531</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Unrealized gain on investments</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40" w:type="dxa"/>
            <w:vAlign w:val="bottom"/>
          </w:tcPr>
          <w:p>
            <w:pPr>
              <w:jc w:val="center"/>
              <w:ind w:left="865"/>
              <w:spacing w:after="0"/>
              <w:rPr>
                <w:sz w:val="20"/>
                <w:szCs w:val="20"/>
                <w:color w:val="auto"/>
              </w:rPr>
            </w:pPr>
            <w:r>
              <w:rPr>
                <w:rFonts w:ascii="Arial" w:cs="Arial" w:eastAsia="Arial" w:hAnsi="Arial"/>
                <w:sz w:val="15"/>
                <w:szCs w:val="15"/>
                <w:color w:val="auto"/>
                <w:w w:val="83"/>
              </w:rPr>
              <w:t>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JUNE 30, 2021</w:t>
            </w: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46,579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534,005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845"/>
              <w:spacing w:after="0"/>
              <w:rPr>
                <w:sz w:val="20"/>
                <w:szCs w:val="20"/>
                <w:color w:val="auto"/>
              </w:rPr>
            </w:pPr>
            <w:r>
              <w:rPr>
                <w:rFonts w:ascii="Arial" w:cs="Arial" w:eastAsia="Arial" w:hAnsi="Arial"/>
                <w:sz w:val="15"/>
                <w:szCs w:val="15"/>
                <w:color w:val="auto"/>
                <w:w w:val="89"/>
              </w:rPr>
              <w:t>(23)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(382,890)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151,092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12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380" w:type="dxa"/>
            <w:vAlign w:val="bottom"/>
            <w:gridSpan w:val="2"/>
          </w:tcPr>
          <w:p>
            <w:pPr>
              <w:jc w:val="center"/>
              <w:ind w:left="725"/>
              <w:spacing w:after="0" w:line="169" w:lineRule="exact"/>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(4,931)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(4,931)</w:t>
            </w:r>
          </w:p>
        </w:tc>
        <w:tc>
          <w:tcPr>
            <w:tcW w:w="0" w:type="dxa"/>
            <w:vAlign w:val="bottom"/>
          </w:tcPr>
          <w:p>
            <w:pPr>
              <w:spacing w:after="0"/>
              <w:rPr>
                <w:sz w:val="1"/>
                <w:szCs w:val="1"/>
                <w:color w:val="auto"/>
              </w:rPr>
            </w:pPr>
          </w:p>
        </w:tc>
      </w:tr>
      <w:tr>
        <w:trPr>
          <w:trHeight w:val="159"/>
        </w:trPr>
        <w:tc>
          <w:tcPr>
            <w:tcW w:w="466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5"/>
              </w:rPr>
              <w:t>Compensation expense related to stock options and restricted stock units</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8,596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8,596</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176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1,676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1,676</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725"/>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8"/>
        </w:trPr>
        <w:tc>
          <w:tcPr>
            <w:tcW w:w="4660" w:type="dxa"/>
            <w:vAlign w:val="bottom"/>
          </w:tcPr>
          <w:p>
            <w:pPr>
              <w:ind w:left="20"/>
              <w:spacing w:after="0"/>
              <w:rPr>
                <w:sz w:val="20"/>
                <w:szCs w:val="20"/>
                <w:color w:val="auto"/>
              </w:rPr>
            </w:pPr>
            <w:r>
              <w:rPr>
                <w:rFonts w:ascii="Arial" w:cs="Arial" w:eastAsia="Arial" w:hAnsi="Arial"/>
                <w:sz w:val="15"/>
                <w:szCs w:val="15"/>
                <w:color w:val="auto"/>
              </w:rPr>
              <w:t>BALANCE, SEPTEMBER 30, 2021</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46,767</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544,624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center"/>
              <w:ind w:left="845"/>
              <w:spacing w:after="0"/>
              <w:rPr>
                <w:sz w:val="20"/>
                <w:szCs w:val="20"/>
                <w:color w:val="auto"/>
              </w:rPr>
            </w:pPr>
            <w:r>
              <w:rPr>
                <w:rFonts w:ascii="Arial" w:cs="Arial" w:eastAsia="Arial" w:hAnsi="Arial"/>
                <w:sz w:val="15"/>
                <w:szCs w:val="15"/>
                <w:color w:val="auto"/>
                <w:w w:val="89"/>
              </w:rPr>
              <w:t>(23)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(387,821)</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156,780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40" w:top="84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7"/>
        </w:trPr>
        <w:tc>
          <w:tcPr>
            <w:tcW w:w="4640" w:type="dxa"/>
            <w:vAlign w:val="bottom"/>
          </w:tcPr>
          <w:p>
            <w:pPr>
              <w:spacing w:after="0"/>
              <w:rPr>
                <w:sz w:val="15"/>
                <w:szCs w:val="15"/>
                <w:color w:val="auto"/>
              </w:rPr>
            </w:pPr>
          </w:p>
        </w:tc>
        <w:tc>
          <w:tcPr>
            <w:tcW w:w="2580" w:type="dxa"/>
            <w:vAlign w:val="bottom"/>
            <w:gridSpan w:val="5"/>
          </w:tcPr>
          <w:p>
            <w:pPr>
              <w:ind w:left="7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 Other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464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3"/>
              </w:rPr>
              <w:t>Accumulated</w:t>
            </w:r>
          </w:p>
        </w:tc>
        <w:tc>
          <w:tcPr>
            <w:tcW w:w="1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Total Shareholders'</w:t>
            </w:r>
          </w:p>
        </w:tc>
        <w:tc>
          <w:tcPr>
            <w:tcW w:w="0" w:type="dxa"/>
            <w:vAlign w:val="bottom"/>
          </w:tcPr>
          <w:p>
            <w:pPr>
              <w:spacing w:after="0"/>
              <w:rPr>
                <w:sz w:val="1"/>
                <w:szCs w:val="1"/>
                <w:color w:val="auto"/>
              </w:rPr>
            </w:pPr>
          </w:p>
        </w:tc>
      </w:tr>
      <w:tr>
        <w:trPr>
          <w:trHeight w:val="126"/>
        </w:trPr>
        <w:tc>
          <w:tcPr>
            <w:tcW w:w="464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13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Deficit</w:t>
            </w:r>
          </w:p>
        </w:tc>
        <w:tc>
          <w:tcPr>
            <w:tcW w:w="2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2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489,749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(378,679)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111,091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12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(4,705)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(4,705)</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4"/>
              </w:rPr>
              <w:t>Compensation expense related to stock options and restricted stock units</w:t>
            </w: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3,768</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40" w:type="dxa"/>
            <w:vAlign w:val="bottom"/>
          </w:tcPr>
          <w:p>
            <w:pPr>
              <w:jc w:val="right"/>
              <w:spacing w:after="0"/>
              <w:rPr>
                <w:sz w:val="20"/>
                <w:szCs w:val="20"/>
                <w:color w:val="auto"/>
              </w:rPr>
            </w:pPr>
            <w:r>
              <w:rPr>
                <w:rFonts w:ascii="Arial" w:cs="Arial" w:eastAsia="Arial" w:hAnsi="Arial"/>
                <w:sz w:val="15"/>
                <w:szCs w:val="15"/>
                <w:color w:val="auto"/>
              </w:rPr>
              <w:t>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withheld for employee tax remittance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Unrealized gain on investments</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MARCH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493,774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(383,384)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110,452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12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(8,269)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(8,269)</w:t>
            </w: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4"/>
              </w:rPr>
              <w:t>Compensation expense related to stock options and restricted stock units</w:t>
            </w: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4,376</w:t>
            </w: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tcPr>
          <w:p>
            <w:pPr>
              <w:jc w:val="right"/>
              <w:spacing w:after="0"/>
              <w:rPr>
                <w:sz w:val="20"/>
                <w:szCs w:val="20"/>
                <w:color w:val="auto"/>
              </w:rPr>
            </w:pPr>
            <w:r>
              <w:rPr>
                <w:rFonts w:ascii="Arial" w:cs="Arial" w:eastAsia="Arial" w:hAnsi="Arial"/>
                <w:sz w:val="15"/>
                <w:szCs w:val="15"/>
                <w:color w:val="auto"/>
              </w:rPr>
              <w:t>188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Issuance of stock upon restricted stock unit vesting</w:t>
            </w:r>
          </w:p>
        </w:tc>
        <w:tc>
          <w:tcPr>
            <w:tcW w:w="1140" w:type="dxa"/>
            <w:vAlign w:val="bottom"/>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gain on investments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98"/>
        </w:trPr>
        <w:tc>
          <w:tcPr>
            <w:tcW w:w="4640" w:type="dxa"/>
            <w:vAlign w:val="bottom"/>
          </w:tcPr>
          <w:p>
            <w:pPr>
              <w:ind w:left="20"/>
              <w:spacing w:after="0"/>
              <w:rPr>
                <w:sz w:val="20"/>
                <w:szCs w:val="20"/>
                <w:color w:val="auto"/>
              </w:rPr>
            </w:pPr>
            <w:r>
              <w:rPr>
                <w:rFonts w:ascii="Arial" w:cs="Arial" w:eastAsia="Arial" w:hAnsi="Arial"/>
                <w:sz w:val="15"/>
                <w:szCs w:val="15"/>
                <w:color w:val="auto"/>
              </w:rPr>
              <w:t>BALANCE, JUNE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45,194</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499,103</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(391,653)</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107,596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Arial" w:cs="Arial" w:eastAsia="Arial" w:hAnsi="Arial"/>
                <w:sz w:val="15"/>
                <w:szCs w:val="15"/>
                <w:color w:val="auto"/>
                <w:w w:val="94"/>
              </w:rPr>
              <w:t>Compensation expense related to stock options and restricted stock units</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2,675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2,675</w:t>
            </w:r>
          </w:p>
        </w:tc>
        <w:tc>
          <w:tcPr>
            <w:tcW w:w="0" w:type="dxa"/>
            <w:vAlign w:val="bottom"/>
          </w:tcPr>
          <w:p>
            <w:pPr>
              <w:spacing w:after="0"/>
              <w:rPr>
                <w:sz w:val="1"/>
                <w:szCs w:val="1"/>
                <w:color w:val="auto"/>
              </w:rPr>
            </w:pPr>
          </w:p>
        </w:tc>
      </w:tr>
      <w:tr>
        <w:trPr>
          <w:trHeight w:val="194"/>
        </w:trPr>
        <w:tc>
          <w:tcPr>
            <w:tcW w:w="4640" w:type="dxa"/>
            <w:vAlign w:val="bottom"/>
          </w:tcPr>
          <w:p>
            <w:pPr>
              <w:ind w:left="20"/>
              <w:spacing w:after="0"/>
              <w:rPr>
                <w:sz w:val="20"/>
                <w:szCs w:val="20"/>
                <w:color w:val="auto"/>
              </w:rPr>
            </w:pPr>
            <w:r>
              <w:rPr>
                <w:rFonts w:ascii="Arial" w:cs="Arial" w:eastAsia="Arial" w:hAnsi="Arial"/>
                <w:sz w:val="15"/>
                <w:szCs w:val="15"/>
                <w:color w:val="auto"/>
              </w:rPr>
              <w:t>granted, net of forfeitures</w:t>
            </w: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 exercises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Arial" w:cs="Arial" w:eastAsia="Arial" w:hAnsi="Arial"/>
                <w:sz w:val="15"/>
                <w:szCs w:val="15"/>
                <w:color w:val="auto"/>
              </w:rPr>
              <w:t>Shares issued under the Employee Stock Purchase Plan</w:t>
            </w:r>
          </w:p>
        </w:tc>
        <w:tc>
          <w:tcPr>
            <w:tcW w:w="1140" w:type="dxa"/>
            <w:vAlign w:val="bottom"/>
          </w:tcPr>
          <w:p>
            <w:pPr>
              <w:jc w:val="right"/>
              <w:spacing w:after="0"/>
              <w:rPr>
                <w:sz w:val="20"/>
                <w:szCs w:val="20"/>
                <w:color w:val="auto"/>
              </w:rPr>
            </w:pPr>
            <w:r>
              <w:rPr>
                <w:rFonts w:ascii="Arial" w:cs="Arial" w:eastAsia="Arial" w:hAnsi="Arial"/>
                <w:sz w:val="15"/>
                <w:szCs w:val="15"/>
                <w:color w:val="auto"/>
              </w:rPr>
              <w:t>44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on investments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8"/>
        </w:trPr>
        <w:tc>
          <w:tcPr>
            <w:tcW w:w="4640" w:type="dxa"/>
            <w:vAlign w:val="bottom"/>
          </w:tcPr>
          <w:p>
            <w:pPr>
              <w:ind w:left="20"/>
              <w:spacing w:after="0"/>
              <w:rPr>
                <w:sz w:val="20"/>
                <w:szCs w:val="20"/>
                <w:color w:val="auto"/>
              </w:rPr>
            </w:pPr>
            <w:r>
              <w:rPr>
                <w:rFonts w:ascii="Arial" w:cs="Arial" w:eastAsia="Arial" w:hAnsi="Arial"/>
                <w:sz w:val="15"/>
                <w:szCs w:val="15"/>
                <w:color w:val="auto"/>
              </w:rPr>
              <w:t>BALANCE, SEPTEMBER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45,315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502,587</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(388,035)</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114,630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these statements.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Nine Months Ended September 30,</w:t>
            </w:r>
          </w:p>
        </w:tc>
      </w:tr>
      <w:tr>
        <w:trPr>
          <w:trHeight w:val="173"/>
        </w:trPr>
        <w:tc>
          <w:tcPr>
            <w:tcW w:w="8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r>
      <w:tr>
        <w:trPr>
          <w:trHeight w:val="196"/>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(12,006)</w:t>
            </w:r>
          </w:p>
        </w:tc>
        <w:tc>
          <w:tcPr>
            <w:tcW w:w="10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(9,356)</w:t>
            </w: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20" w:type="dxa"/>
            <w:vAlign w:val="bottom"/>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1,649</w:t>
            </w:r>
          </w:p>
        </w:tc>
      </w:tr>
      <w:tr>
        <w:trPr>
          <w:trHeight w:val="215"/>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10,819</w:t>
            </w:r>
          </w:p>
        </w:tc>
      </w:tr>
      <w:tr>
        <w:trPr>
          <w:trHeight w:val="214"/>
        </w:trPr>
        <w:tc>
          <w:tcPr>
            <w:tcW w:w="8320" w:type="dxa"/>
            <w:vAlign w:val="bottom"/>
          </w:tcPr>
          <w:p>
            <w:pPr>
              <w:ind w:left="320"/>
              <w:spacing w:after="0"/>
              <w:rPr>
                <w:sz w:val="20"/>
                <w:szCs w:val="20"/>
                <w:color w:val="auto"/>
              </w:rPr>
            </w:pPr>
            <w:r>
              <w:rPr>
                <w:rFonts w:ascii="Arial" w:cs="Arial" w:eastAsia="Arial" w:hAnsi="Arial"/>
                <w:sz w:val="17"/>
                <w:szCs w:val="17"/>
                <w:color w:val="auto"/>
              </w:rPr>
              <w:t>Amortization of premiums and discounts on marketable securities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lease cost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w:t>
            </w:r>
          </w:p>
        </w:tc>
      </w:tr>
      <w:tr>
        <w:trPr>
          <w:trHeight w:val="214"/>
        </w:trPr>
        <w:tc>
          <w:tcPr>
            <w:tcW w:w="8320" w:type="dxa"/>
            <w:vAlign w:val="bottom"/>
          </w:tcPr>
          <w:p>
            <w:pPr>
              <w:ind w:left="3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5"/>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20" w:type="dxa"/>
            <w:vAlign w:val="bottom"/>
          </w:tcPr>
          <w:p>
            <w:pPr>
              <w:ind w:left="50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(3,264)</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r>
      <w:tr>
        <w:trPr>
          <w:trHeight w:val="214"/>
        </w:trPr>
        <w:tc>
          <w:tcPr>
            <w:tcW w:w="8320" w:type="dxa"/>
            <w:vAlign w:val="bottom"/>
          </w:tcPr>
          <w:p>
            <w:pPr>
              <w:ind w:left="50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(633)</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4"/>
        </w:trPr>
        <w:tc>
          <w:tcPr>
            <w:tcW w:w="8320" w:type="dxa"/>
            <w:vAlign w:val="bottom"/>
          </w:tcPr>
          <w:p>
            <w:pPr>
              <w:ind w:left="500"/>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747</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w:t>
            </w:r>
          </w:p>
        </w:tc>
      </w:tr>
      <w:tr>
        <w:trPr>
          <w:trHeight w:val="214"/>
        </w:trPr>
        <w:tc>
          <w:tcPr>
            <w:tcW w:w="8320" w:type="dxa"/>
            <w:vAlign w:val="bottom"/>
          </w:tcPr>
          <w:p>
            <w:pPr>
              <w:ind w:left="500"/>
              <w:spacing w:after="0"/>
              <w:rPr>
                <w:sz w:val="20"/>
                <w:szCs w:val="20"/>
                <w:color w:val="auto"/>
              </w:rPr>
            </w:pPr>
            <w:r>
              <w:rPr>
                <w:rFonts w:ascii="Arial" w:cs="Arial" w:eastAsia="Arial" w:hAnsi="Arial"/>
                <w:sz w:val="17"/>
                <w:szCs w:val="17"/>
                <w:color w:val="auto"/>
              </w:rPr>
              <w:t>Other non-current assets and liabilities, net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7"/>
        </w:trPr>
        <w:tc>
          <w:tcPr>
            <w:tcW w:w="832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18,489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6,235</w:t>
            </w:r>
          </w:p>
        </w:tc>
      </w:tr>
      <w:tr>
        <w:trPr>
          <w:trHeight w:val="214"/>
        </w:trPr>
        <w:tc>
          <w:tcPr>
            <w:tcW w:w="832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investments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(29,049)</w:t>
            </w: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Sales and maturities of investments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39,123</w:t>
            </w: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Expenditures for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(1,556)</w:t>
            </w:r>
          </w:p>
        </w:tc>
      </w:tr>
      <w:tr>
        <w:trPr>
          <w:trHeight w:val="207"/>
        </w:trPr>
        <w:tc>
          <w:tcPr>
            <w:tcW w:w="8320" w:type="dxa"/>
            <w:vAlign w:val="bottom"/>
          </w:tcPr>
          <w:p>
            <w:pPr>
              <w:ind w:left="620"/>
              <w:spacing w:after="0"/>
              <w:rPr>
                <w:sz w:val="20"/>
                <w:szCs w:val="20"/>
                <w:color w:val="auto"/>
              </w:rPr>
            </w:pPr>
            <w:r>
              <w:rPr>
                <w:rFonts w:ascii="Arial" w:cs="Arial" w:eastAsia="Arial" w:hAnsi="Arial"/>
                <w:sz w:val="17"/>
                <w:szCs w:val="17"/>
                <w:color w:val="auto"/>
              </w:rPr>
              <w:t>Net cash provided by (used for) investing activities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8,518</w:t>
            </w: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8320" w:type="dxa"/>
            <w:vAlign w:val="bottom"/>
          </w:tcPr>
          <w:p>
            <w:pPr>
              <w:ind w:left="140"/>
              <w:spacing w:after="0"/>
              <w:rPr>
                <w:sz w:val="20"/>
                <w:szCs w:val="20"/>
                <w:color w:val="auto"/>
              </w:rPr>
            </w:pPr>
            <w:r>
              <w:rPr>
                <w:rFonts w:ascii="Arial" w:cs="Arial" w:eastAsia="Arial" w:hAnsi="Arial"/>
                <w:sz w:val="17"/>
                <w:szCs w:val="17"/>
                <w:color w:val="auto"/>
              </w:rPr>
              <w:t>Net proceeds from common stock issuance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2,182</w:t>
            </w:r>
          </w:p>
        </w:tc>
      </w:tr>
      <w:tr>
        <w:trPr>
          <w:trHeight w:val="21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on employee's behalf for taxes related to vesting of restricted stock units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4"/>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07"/>
        </w:trPr>
        <w:tc>
          <w:tcPr>
            <w:tcW w:w="83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r>
      <w:tr>
        <w:trPr>
          <w:trHeight w:val="214"/>
        </w:trPr>
        <w:tc>
          <w:tcPr>
            <w:tcW w:w="832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16,740</w:t>
            </w:r>
          </w:p>
        </w:tc>
      </w:tr>
      <w:tr>
        <w:trPr>
          <w:trHeight w:val="214"/>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26,978</w:t>
            </w:r>
          </w:p>
        </w:tc>
      </w:tr>
      <w:tr>
        <w:trPr>
          <w:trHeight w:val="207"/>
        </w:trPr>
        <w:tc>
          <w:tcPr>
            <w:tcW w:w="83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43,718</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12"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16"/>
          <w:szCs w:val="16"/>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(autologous cultured chondrocytes on porcine collagen membrane)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(cultured epidermal autografts).</w:t>
      </w:r>
    </w:p>
    <w:p>
      <w:pPr>
        <w:spacing w:after="0" w:line="130"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6"/>
          <w:szCs w:val="16"/>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(concentrate of proteolytic enzymes enriched in bromelain), a registration-stage biological orphan product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33"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The pandemic caused by the spread of a novel strain of coronavirus (COVID-19) began directly affecting the United States in March of 2020 and has continued since that point. The pandemic has created significant disruptions to the U.S. and global economy and has contributed, at times, to significant volatility in financial</w:t>
      </w:r>
    </w:p>
    <w:p>
      <w:pPr>
        <w:jc w:val="both"/>
        <w:spacing w:after="0" w:line="269" w:lineRule="auto"/>
        <w:rPr>
          <w:sz w:val="20"/>
          <w:szCs w:val="20"/>
          <w:color w:val="auto"/>
        </w:rPr>
      </w:pPr>
      <w:r>
        <w:rPr>
          <w:rFonts w:ascii="Arial" w:cs="Arial" w:eastAsia="Arial" w:hAnsi="Arial"/>
          <w:sz w:val="16"/>
          <w:szCs w:val="16"/>
          <w:color w:val="auto"/>
        </w:rPr>
        <w:t>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196" w:lineRule="exact"/>
        <w:rPr>
          <w:sz w:val="20"/>
          <w:szCs w:val="20"/>
          <w:color w:val="auto"/>
        </w:rPr>
      </w:pPr>
    </w:p>
    <w:p>
      <w:pPr>
        <w:jc w:val="both"/>
        <w:ind w:firstLine="227"/>
        <w:spacing w:after="0" w:line="284" w:lineRule="auto"/>
        <w:rPr>
          <w:sz w:val="20"/>
          <w:szCs w:val="20"/>
          <w:color w:val="auto"/>
        </w:rPr>
      </w:pPr>
      <w:r>
        <w:rPr>
          <w:rFonts w:ascii="Arial" w:cs="Arial" w:eastAsia="Arial" w:hAnsi="Arial"/>
          <w:sz w:val="15"/>
          <w:szCs w:val="15"/>
          <w:color w:val="auto"/>
        </w:rPr>
        <w:t>Notwithstanding being an essential business, the Company’s business and operations at time have been adversely impacted by the effects of COVID-19. For example, as a result of periodic restrictions placed on the performance of elective surgical procedures, the Company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During the summer of 2021, however, the pandemic’s direct and ancillary effects again began to cause some disruption to the Company’s MACI business. For example, following the cessation of COVID-19-related travel restrictions in many parts of the United States and the availability of vaccinations in May and June 2021 some MACI patients postponed or delayed treatment – opting instead to take vacation and/or travel. Further, a surge of new COVID-19 cases during the summer of 2021 caused by the spread of the “Delta” variant again caused disruptions to health care networks, the scheduling of elective surgeries and overall patient behavior. These effects were compounded by staffing shortages at many healthcare facilities across the United States during the same period. Consequently, and notwithstanding the widespread distribution of vaccines in the United States, these factors contributed to a slowdown of MACI procedures during the third quarter of 2021. Although hospitals are now better prepared for subsequent surges in COVID-19 patients, the risk remains that regional or local restrictions could again be placed on the performance of elective surgical procedures if the number of COVID-19 infections in the United States were to continue to rise, or if new or existing COVID-19 variants render current vaccine treatments ineffective. Because Epicel is used almost exclusively in the emergent setting by burn centers and surgeons throughout the country, Epicel revenue and procedure volumes have been less affected by the pandemic.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9" w:name="page10"/>
    <w:bookmarkEnd w:id="9"/>
    <w:p>
      <w:pPr>
        <w:ind w:left="220"/>
        <w:spacing w:after="0"/>
        <w:rPr>
          <w:sz w:val="20"/>
          <w:szCs w:val="20"/>
          <w:color w:val="auto"/>
        </w:rPr>
      </w:pPr>
      <w:r>
        <w:rPr>
          <w:rFonts w:ascii="Arial" w:cs="Arial" w:eastAsia="Arial" w:hAnsi="Arial"/>
          <w:sz w:val="15"/>
          <w:szCs w:val="15"/>
          <w:color w:val="auto"/>
        </w:rPr>
        <w:t>At the outset of the pandemic, the Company put in place a comprehensive workplace protection plan, which instituted protective measures in response to COVID-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19. The Company’s workplace protection plan has closely followed guidance issued by the Centers for Disease Control and Prevention (CDC) and has complied with</w:t>
      </w:r>
    </w:p>
    <w:p>
      <w:pPr>
        <w:spacing w:after="0" w:line="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applicable federal and state law. Because vaccines designed to protect against COVID-19 have become readily available and the rates of COVID-19 infections, hospitalizations and deaths in the majority of the U.S. have generally declined since their height at the beginning of 2021, the CDC and the Occupational Safety and Health Administration (OSHA) have altered their guidance for Americans, and emergency orders and mandatory workplace protocols in Michigan and Massachusetts</w:t>
      </w:r>
    </w:p>
    <w:p>
      <w:pPr>
        <w:spacing w:after="0" w:line="1"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have either been rescinded or greatly reduced – to include the lifting of all capacity limitations on businesses in both states. Accordingly, Vericel has begun a return to more normal workplace operations, but will continue to modify its workplace protection plan, and will reinstitute protective measures for its workforce as necessary.</w:t>
      </w:r>
    </w:p>
    <w:p>
      <w:pPr>
        <w:spacing w:after="0" w:line="14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Company continues to review its policies and procedures regularly, including the Company’s workplace protection plan, as the pandemic evolves and may take additional actions to the extent required.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222222"/>
        </w:rPr>
        <w:t>At-the-Market Offering</w:t>
      </w:r>
    </w:p>
    <w:p>
      <w:pPr>
        <w:spacing w:after="0" w:line="208" w:lineRule="exact"/>
        <w:rPr>
          <w:sz w:val="20"/>
          <w:szCs w:val="20"/>
          <w:color w:val="auto"/>
        </w:rPr>
      </w:pPr>
    </w:p>
    <w:p>
      <w:pPr>
        <w:jc w:val="both"/>
        <w:ind w:firstLine="227"/>
        <w:spacing w:after="0" w:line="247" w:lineRule="auto"/>
        <w:rPr>
          <w:sz w:val="20"/>
          <w:szCs w:val="20"/>
          <w:color w:val="auto"/>
        </w:rPr>
      </w:pPr>
      <w:r>
        <w:rPr>
          <w:rFonts w:ascii="Arial" w:cs="Arial" w:eastAsia="Arial" w:hAnsi="Arial"/>
          <w:sz w:val="17"/>
          <w:szCs w:val="17"/>
          <w:color w:val="auto"/>
        </w:rPr>
        <w:t>On August 27, 2021, the Company entered into a Sales Agreement with SVB Leerink LLC, as sales agent (SVB Leerink), pursuant to which it may offer and sell up to $200.0 million of shares of the Company’s common stock, no par value per share (ATM Shares). The ATM Shares to be offered and sold under the Sales Agreement will be issued and sold pursuant to an automatically effective shelf registration statement on Form S-3ASR (File No. 333-259119) filed by the Company on August 27, 2021, which expires three years from the filing date. The Company also filed a prospectus supplement relating to the offering and sale of the ATM Shares on August 27, 2021. The Company is not obligated to make any sales of ATM Shares, and SVB Leerink is not required to sell any specific number or dollar amount of the ATM Shares under the Sales Agreement. The Company capitalizes certain legal, professional accounting and other third-party fees that are directly associated with in-process stock financings as deferred offering costs until such financings are consummated. As of September 30, 2021, the Company has sold no shares pursuant to the Sales Agreement.</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222222"/>
        </w:rPr>
        <w:t>Going Concern</w:t>
      </w:r>
    </w:p>
    <w:p>
      <w:pPr>
        <w:spacing w:after="0" w:line="194"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Arial" w:cs="Arial" w:eastAsia="Arial" w:hAnsi="Arial"/>
          <w:sz w:val="15"/>
          <w:szCs w:val="15"/>
          <w:color w:val="000000"/>
        </w:rPr>
        <w:t>September 30, 2021, the</w:t>
      </w:r>
      <w:r>
        <w:rPr>
          <w:rFonts w:ascii="Arial" w:cs="Arial" w:eastAsia="Arial" w:hAnsi="Arial"/>
          <w:sz w:val="15"/>
          <w:szCs w:val="15"/>
          <w:color w:val="222222"/>
        </w:rPr>
        <w:t xml:space="preserve"> </w:t>
      </w:r>
      <w:r>
        <w:rPr>
          <w:rFonts w:ascii="Arial" w:cs="Arial" w:eastAsia="Arial" w:hAnsi="Arial"/>
          <w:sz w:val="15"/>
          <w:szCs w:val="15"/>
          <w:color w:val="000000"/>
        </w:rPr>
        <w:t xml:space="preserve">Company had an accumulated deficit of </w:t>
      </w:r>
      <w:r>
        <w:rPr>
          <w:rFonts w:ascii="Arial" w:cs="Arial" w:eastAsia="Arial" w:hAnsi="Arial"/>
          <w:sz w:val="15"/>
          <w:szCs w:val="15"/>
          <w:color w:val="222222"/>
        </w:rPr>
        <w:t>$387.8 million,</w:t>
      </w:r>
      <w:r>
        <w:rPr>
          <w:rFonts w:ascii="Arial" w:cs="Arial" w:eastAsia="Arial" w:hAnsi="Arial"/>
          <w:sz w:val="15"/>
          <w:szCs w:val="15"/>
          <w:color w:val="000000"/>
        </w:rPr>
        <w:t xml:space="preserve"> and had a </w:t>
      </w:r>
      <w:r>
        <w:rPr>
          <w:rFonts w:ascii="Arial" w:cs="Arial" w:eastAsia="Arial" w:hAnsi="Arial"/>
          <w:sz w:val="15"/>
          <w:szCs w:val="15"/>
          <w:color w:val="222222"/>
        </w:rPr>
        <w:t>net loss of $4.9 million and $12.0 million, respectively, during the three and nine months ended</w:t>
      </w:r>
      <w:r>
        <w:rPr>
          <w:rFonts w:ascii="Arial" w:cs="Arial" w:eastAsia="Arial" w:hAnsi="Arial"/>
          <w:sz w:val="15"/>
          <w:szCs w:val="15"/>
          <w:color w:val="000000"/>
        </w:rPr>
        <w:t xml:space="preserve"> </w:t>
      </w:r>
      <w:r>
        <w:rPr>
          <w:rFonts w:ascii="Arial" w:cs="Arial" w:eastAsia="Arial" w:hAnsi="Arial"/>
          <w:sz w:val="15"/>
          <w:szCs w:val="15"/>
          <w:color w:val="222222"/>
        </w:rPr>
        <w:t>September 30, 2021. The Company had cash and cash equivalents of $54.6 million and investments of $64.0 million as of September 30, 2021. The Company expects that cash from the sales of its products and existing cash, cash equivalents and investments will be sufficient to support the Company’s current operations through at least 12 months from the issuance of these Condensed Consolidated Financial Statements. To the extent the United States experiences a resurgence in COVID-19 infections and elective surgery restrictions are reinstated on a widespread basis and significantly impact the Company’s business, the Company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22" w:lineRule="exact"/>
        <w:rPr>
          <w:sz w:val="20"/>
          <w:szCs w:val="20"/>
          <w:color w:val="auto"/>
        </w:rPr>
      </w:pPr>
    </w:p>
    <w:p>
      <w:pPr>
        <w:jc w:val="both"/>
        <w:ind w:firstLine="227"/>
        <w:spacing w:after="0" w:line="284" w:lineRule="auto"/>
        <w:rPr>
          <w:sz w:val="20"/>
          <w:szCs w:val="20"/>
          <w:color w:val="auto"/>
        </w:rPr>
      </w:pPr>
      <w:r>
        <w:rPr>
          <w:rFonts w:ascii="Arial" w:cs="Arial" w:eastAsia="Arial" w:hAnsi="Arial"/>
          <w:sz w:val="15"/>
          <w:szCs w:val="15"/>
          <w:color w:val="auto"/>
        </w:rPr>
        <w:t xml:space="preserve">The accompanying </w:t>
      </w:r>
      <w:r>
        <w:rPr>
          <w:rFonts w:ascii="Arial" w:cs="Arial" w:eastAsia="Arial" w:hAnsi="Arial"/>
          <w:sz w:val="15"/>
          <w:szCs w:val="15"/>
          <w:color w:val="222222"/>
        </w:rPr>
        <w:t>Condensed Consolidated Financial Statements</w:t>
      </w:r>
      <w:r>
        <w:rPr>
          <w:rFonts w:ascii="Arial" w:cs="Arial" w:eastAsia="Arial" w:hAnsi="Arial"/>
          <w:sz w:val="15"/>
          <w:szCs w:val="15"/>
          <w:color w:val="auto"/>
        </w:rPr>
        <w:t xml:space="preserve"> as of September 30, 2021 and for the </w:t>
      </w:r>
      <w:r>
        <w:rPr>
          <w:rFonts w:ascii="Arial" w:cs="Arial" w:eastAsia="Arial" w:hAnsi="Arial"/>
          <w:sz w:val="15"/>
          <w:szCs w:val="15"/>
          <w:color w:val="222222"/>
        </w:rPr>
        <w:t>three and nine months ended</w:t>
      </w:r>
      <w:r>
        <w:rPr>
          <w:rFonts w:ascii="Arial" w:cs="Arial" w:eastAsia="Arial" w:hAnsi="Arial"/>
          <w:sz w:val="15"/>
          <w:szCs w:val="15"/>
          <w:color w:val="auto"/>
        </w:rPr>
        <w:t xml:space="preserve"> September 30, 2021 are unaudited and have been prepared in accordance with the rules and regulations of the U.S. Securities and Exchange Commission (SEC). The preparation of </w:t>
      </w:r>
      <w:r>
        <w:rPr>
          <w:rFonts w:ascii="Arial" w:cs="Arial" w:eastAsia="Arial" w:hAnsi="Arial"/>
          <w:sz w:val="15"/>
          <w:szCs w:val="15"/>
          <w:color w:val="222222"/>
        </w:rPr>
        <w:t>Condensed</w:t>
      </w:r>
      <w:r>
        <w:rPr>
          <w:rFonts w:ascii="Arial" w:cs="Arial" w:eastAsia="Arial" w:hAnsi="Arial"/>
          <w:sz w:val="15"/>
          <w:szCs w:val="15"/>
          <w:color w:val="auto"/>
        </w:rPr>
        <w:t xml:space="preserve"> </w:t>
      </w:r>
      <w:r>
        <w:rPr>
          <w:rFonts w:ascii="Arial" w:cs="Arial" w:eastAsia="Arial" w:hAnsi="Arial"/>
          <w:sz w:val="15"/>
          <w:szCs w:val="15"/>
          <w:color w:val="222222"/>
        </w:rPr>
        <w:t xml:space="preserve">Consolidated Financial Statements </w:t>
      </w:r>
      <w:r>
        <w:rPr>
          <w:rFonts w:ascii="Arial" w:cs="Arial" w:eastAsia="Arial" w:hAnsi="Arial"/>
          <w:sz w:val="15"/>
          <w:szCs w:val="15"/>
          <w:color w:val="000000"/>
        </w:rPr>
        <w:t>in conformity with U.S. generally accepted accounting principles (GAAP) requires management to make estimates, judgments, and</w:t>
      </w:r>
      <w:r>
        <w:rPr>
          <w:rFonts w:ascii="Arial" w:cs="Arial" w:eastAsia="Arial" w:hAnsi="Arial"/>
          <w:sz w:val="15"/>
          <w:szCs w:val="15"/>
          <w:color w:val="222222"/>
        </w:rPr>
        <w:t xml:space="preserve"> </w:t>
      </w:r>
      <w:r>
        <w:rPr>
          <w:rFonts w:ascii="Arial" w:cs="Arial" w:eastAsia="Arial" w:hAnsi="Arial"/>
          <w:sz w:val="15"/>
          <w:szCs w:val="15"/>
          <w:color w:val="000000"/>
        </w:rPr>
        <w:t>assumptions that may affect the reported amounts of assets, liabilities, equity, revenue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its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7"/>
          <w:szCs w:val="17"/>
          <w:color w:val="auto"/>
        </w:rPr>
        <w:t>the actions taken to continue to contain or treat COVID-19, as well as the economic impact on its customers. The Company has made estimates of the impact of COVID-19 within these financial statements and there may be changes to those estimates in future periods. Actual results may differ from these estimates. As of September 30, 2021, the Company has not recorded impairments to investments, inventory, other current assets or long-lived assets as a result of the COVID-19 pandemic.</w:t>
      </w:r>
    </w:p>
    <w:p>
      <w:pPr>
        <w:spacing w:after="0" w:line="178"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 xml:space="preserve">These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should be read in conjunction with the audited consolidated financial statements and the notes thereto included in our Annual Report on Form 10-K for the year ended December 31, 2020, as filed with the SEC on February 24, 2021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Statement of Cash Flows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certain supplementary cash flows information for the nine months ended September 30,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Nine Months Ended September 30,</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Supplementary Cash Flows information: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40" w:type="dxa"/>
            <w:vAlign w:val="bottom"/>
          </w:tcPr>
          <w:p>
            <w:pPr>
              <w:ind w:left="20"/>
              <w:spacing w:after="0"/>
              <w:rPr>
                <w:sz w:val="20"/>
                <w:szCs w:val="20"/>
                <w:color w:val="auto"/>
              </w:rPr>
            </w:pPr>
            <w:r>
              <w:rPr>
                <w:rFonts w:ascii="Arial" w:cs="Arial" w:eastAsia="Arial" w:hAnsi="Arial"/>
                <w:sz w:val="17"/>
                <w:szCs w:val="17"/>
                <w:color w:val="auto"/>
              </w:rPr>
              <w:t>Non-cash information:</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 and lease liability recognized</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w:t>
            </w:r>
          </w:p>
        </w:tc>
      </w:tr>
      <w:tr>
        <w:trPr>
          <w:trHeight w:val="214"/>
        </w:trPr>
        <w:tc>
          <w:tcPr>
            <w:tcW w:w="8340" w:type="dxa"/>
            <w:vAlign w:val="bottom"/>
          </w:tcPr>
          <w:p>
            <w:pPr>
              <w:ind w:left="140"/>
              <w:spacing w:after="0"/>
              <w:rPr>
                <w:sz w:val="20"/>
                <w:szCs w:val="20"/>
                <w:color w:val="auto"/>
              </w:rPr>
            </w:pPr>
            <w:r>
              <w:rPr>
                <w:rFonts w:ascii="Arial" w:cs="Arial" w:eastAsia="Arial" w:hAnsi="Arial"/>
                <w:sz w:val="17"/>
                <w:szCs w:val="17"/>
                <w:color w:val="auto"/>
              </w:rPr>
              <w:t>Additions to property and equipment included in accounts payable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340</w:t>
            </w: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stock held for employee tax remittance included in accounts payable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340" w:type="dxa"/>
            <w:vAlign w:val="bottom"/>
          </w:tcPr>
          <w:p>
            <w:pPr>
              <w:ind w:left="20"/>
              <w:spacing w:after="0"/>
              <w:rPr>
                <w:sz w:val="20"/>
                <w:szCs w:val="20"/>
                <w:color w:val="auto"/>
              </w:rPr>
            </w:pPr>
            <w:r>
              <w:rPr>
                <w:rFonts w:ascii="Arial" w:cs="Arial" w:eastAsia="Arial" w:hAnsi="Arial"/>
                <w:sz w:val="17"/>
                <w:szCs w:val="17"/>
                <w:color w:val="auto"/>
              </w:rPr>
              <w:t>Cash information:</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paid</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497"/>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Nine Months Ended September 30,</w:t>
            </w: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cash, cash equivalents, and restricted cash reported in the statement of financial position: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4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42"/>
              <w:spacing w:after="0"/>
              <w:rPr>
                <w:sz w:val="20"/>
                <w:szCs w:val="20"/>
                <w:color w:val="auto"/>
              </w:rPr>
            </w:pPr>
            <w:r>
              <w:rPr>
                <w:rFonts w:ascii="Arial" w:cs="Arial" w:eastAsia="Arial" w:hAnsi="Arial"/>
                <w:sz w:val="17"/>
                <w:szCs w:val="17"/>
                <w:color w:val="auto"/>
              </w:rPr>
              <w:t>54,553</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43,507</w:t>
            </w:r>
          </w:p>
        </w:tc>
      </w:tr>
      <w:tr>
        <w:trPr>
          <w:trHeight w:val="214"/>
        </w:trPr>
        <w:tc>
          <w:tcPr>
            <w:tcW w:w="8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r>
      <w:tr>
        <w:trPr>
          <w:trHeight w:val="207"/>
        </w:trPr>
        <w:tc>
          <w:tcPr>
            <w:tcW w:w="8340" w:type="dxa"/>
            <w:vAlign w:val="bottom"/>
          </w:tcPr>
          <w:p>
            <w:pPr>
              <w:ind w:left="120"/>
              <w:spacing w:after="0"/>
              <w:rPr>
                <w:sz w:val="20"/>
                <w:szCs w:val="20"/>
                <w:color w:val="auto"/>
              </w:rPr>
            </w:pPr>
            <w:r>
              <w:rPr>
                <w:rFonts w:ascii="Arial" w:cs="Arial" w:eastAsia="Arial" w:hAnsi="Arial"/>
                <w:sz w:val="17"/>
                <w:szCs w:val="17"/>
                <w:color w:val="auto"/>
              </w:rPr>
              <w:t>Total cash, cash equivalents, and restricted cash shown in the statement of cash flows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43,718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60" w:right="7840" w:hanging="159"/>
        <w:spacing w:after="0" w:line="599" w:lineRule="auto"/>
        <w:tabs>
          <w:tab w:leader="none" w:pos="17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Simplifying the Accounting for Income Taxes</w:t>
      </w:r>
    </w:p>
    <w:p>
      <w:pPr>
        <w:jc w:val="both"/>
        <w:ind w:firstLine="303"/>
        <w:spacing w:after="0" w:line="25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 (ASC 740).</w:t>
      </w:r>
      <w:r>
        <w:rPr>
          <w:rFonts w:ascii="Arial" w:cs="Arial" w:eastAsia="Arial" w:hAnsi="Arial"/>
          <w:sz w:val="17"/>
          <w:szCs w:val="17"/>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 on January 1, 2021 and had no material impact on its </w:t>
      </w:r>
      <w:r>
        <w:rPr>
          <w:rFonts w:ascii="Arial" w:cs="Arial" w:eastAsia="Arial" w:hAnsi="Arial"/>
          <w:sz w:val="17"/>
          <w:szCs w:val="17"/>
          <w:color w:val="222222"/>
        </w:rPr>
        <w:t>Condensed Consolidated Financial Statements</w:t>
      </w:r>
      <w:r>
        <w:rPr>
          <w:rFonts w:ascii="Arial" w:cs="Arial" w:eastAsia="Arial" w:hAnsi="Arial"/>
          <w:sz w:val="17"/>
          <w:szCs w:val="17"/>
          <w:color w:val="000000"/>
        </w:rPr>
        <w: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4. Revenue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Net Product Sales</w:t>
      </w:r>
    </w:p>
    <w:p>
      <w:pPr>
        <w:spacing w:after="0" w:line="15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 xml:space="preserve">The Company recognizes product revenue from sales of MACI biopsy kits, MACI implants, Epicel grafts and other sources following the five-step model in Accounting Standards Codification 606,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MACI Biopsy Kits</w:t>
      </w:r>
    </w:p>
    <w:p>
      <w:pPr>
        <w:spacing w:after="0" w:line="158"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MACI Implants</w:t>
      </w:r>
    </w:p>
    <w:p>
      <w:pPr>
        <w:spacing w:after="0" w:line="158" w:lineRule="exact"/>
        <w:rPr>
          <w:sz w:val="20"/>
          <w:szCs w:val="20"/>
          <w:color w:val="auto"/>
        </w:rPr>
      </w:pPr>
    </w:p>
    <w:p>
      <w:pPr>
        <w:jc w:val="both"/>
        <w:ind w:firstLine="189"/>
        <w:spacing w:after="0" w:line="252"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third-party to provide services in connection with a patient support program to manage patient cases and to ensure complete and correct billing information is provided to the insurers and hospitals. In addition, the Company also sells MACI directly to DMS Pharmaceutical (DMS) for patients treated at military treatment facilities. The sales directly to DMS are made at a contracted rate.</w:t>
      </w:r>
    </w:p>
    <w:p>
      <w:pPr>
        <w:spacing w:after="0" w:line="206"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188"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The total allowance for uncollectible consideration as of September 30, 2021 and December 31, 2020 was $7.2 million and $5.3 million, respectively. Changes to the estimate of the amount of consideration that will not be collected could have a material impact to the revenue recognized. A 0.5% change to the estimated uncollectible percentage could result in approximately a $0.3 million increase or decrease in the revenue recognized as of the nine months ended September 30, 2021.</w:t>
      </w:r>
    </w:p>
    <w:p>
      <w:pPr>
        <w:spacing w:after="0" w:line="200"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Changes in estimates of the transaction price are recorded through revenue in the period in which such change occurs. Changes in estimates related to prior period sales for the three and nine months ended September 30, 2021 resulted in an increase to revenue of $0.2 million and a decrease to revenue of $0.1 million, respectively, and an increase to revenue of approximately $0.01 million and $0.7 million, respectively, for the same periods in 2020. The changes in estimates recorded during the three and nine months ended September 30, 2021 and September 30, 2020, were primarily due to completion of the billing claims process for implants that occurred in 2020 or prior. Upon completion of the billing claims process, the Company concluded that it was probable that a significant reversal in the amount of revenue recognized would not occur.</w:t>
      </w:r>
    </w:p>
    <w:p>
      <w:pPr>
        <w:spacing w:after="0" w:line="206"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 xml:space="preserve">Additionally, potential credit risk exposure has been evaluated for the Company’s accounts receivable in accordance with </w:t>
      </w:r>
      <w:r>
        <w:rPr>
          <w:rFonts w:ascii="Arial" w:cs="Arial" w:eastAsia="Arial" w:hAnsi="Arial"/>
          <w:sz w:val="17"/>
          <w:szCs w:val="17"/>
          <w:i w:val="1"/>
          <w:iCs w:val="1"/>
          <w:color w:val="auto"/>
        </w:rPr>
        <w:t>ASC 326, 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w:t>
      </w:r>
      <w:r>
        <w:rPr>
          <w:rFonts w:ascii="Arial" w:cs="Arial" w:eastAsia="Arial" w:hAnsi="Arial"/>
          <w:sz w:val="17"/>
          <w:szCs w:val="17"/>
          <w:color w:val="auto"/>
        </w:rPr>
        <w:t>The loss percentage is calculated by pooling account receivables containing similar risk characteristics and applying collectability forecasts which are derived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current and historical economic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6"/>
          <w:szCs w:val="16"/>
          <w:color w:val="auto"/>
        </w:rPr>
        <w:t>financial information. The loss percentage calculated was applied to accounts receivables as of September 30, 2021 and December 31, 2020. The allowance related to the potential impacts of COVID-19 on accounts receivable from third-party insurers, government payers, hospitals and patients as of December 31, 2020 included approximately $0.1 million, and no additional allowance was recorded during the nine months ended September 30, 2021.</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Epicel</w:t>
      </w:r>
    </w:p>
    <w:p>
      <w:pPr>
        <w:spacing w:after="0" w:line="15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NexoBrid</w:t>
      </w:r>
    </w:p>
    <w:p>
      <w:pPr>
        <w:spacing w:after="0" w:line="158"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The Company entered into exclusive license and supply agreements with MediWound in May 2019, under which MediWound will manufacture and supply NexoBrid on a unit price basis, which may be increased pursuant to the terms of the agreement. The U.S. Biomedical Advanced Research and Development Authority (BARDA) committed to procure NexoBrid directly from MediWound, under an emergency use authorization. As a result, during 2020, BARDA accepted the first shipments of NexoBrid, per the agreement between BARDA and MediWound. The Company recognizes revenue based on a percentage of gross profits for sales of NexoBrid to BARDA upon delivery, at which time BARDA is in control of the product. As of September 30, 2021, the Company did not take title to the product or hold a direct contract or distribution agreement with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 w:name="page14"/>
    <w:bookmarkEnd w:id="13"/>
    <w:p>
      <w:pPr>
        <w:ind w:left="220"/>
        <w:spacing w:after="0"/>
        <w:rPr>
          <w:sz w:val="20"/>
          <w:szCs w:val="20"/>
          <w:color w:val="auto"/>
        </w:rPr>
      </w:pPr>
      <w:r>
        <w:rPr>
          <w:rFonts w:ascii="Arial" w:cs="Arial" w:eastAsia="Arial" w:hAnsi="Arial"/>
          <w:sz w:val="17"/>
          <w:szCs w:val="17"/>
          <w:i w:val="1"/>
          <w:iCs w:val="1"/>
          <w:color w:val="auto"/>
        </w:rPr>
        <w:t>Revenue by Product and Customer</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and description below shows the products from which the Company generated its revenue:</w:t>
      </w:r>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177"/>
        </w:trPr>
        <w:tc>
          <w:tcPr>
            <w:tcW w:w="5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Pr>
          <w:p>
            <w:pPr>
              <w:spacing w:after="0"/>
              <w:rPr>
                <w:sz w:val="15"/>
                <w:szCs w:val="15"/>
                <w:color w:val="auto"/>
              </w:rPr>
            </w:pPr>
          </w:p>
        </w:tc>
        <w:tc>
          <w:tcPr>
            <w:tcW w:w="232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w w:val="96"/>
              </w:rPr>
              <w:t>Nine Months Ended September 30,</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Revenue by product (in thousands)</w:t>
            </w: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MACI implants and kits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tcPr>
          <w:p>
            <w:pPr>
              <w:ind w:left="440"/>
              <w:spacing w:after="0"/>
              <w:rPr>
                <w:sz w:val="20"/>
                <w:szCs w:val="20"/>
                <w:color w:val="auto"/>
              </w:rPr>
            </w:pPr>
            <w:r>
              <w:rPr>
                <w:rFonts w:ascii="Arial" w:cs="Arial" w:eastAsia="Arial" w:hAnsi="Arial"/>
                <w:sz w:val="17"/>
                <w:szCs w:val="17"/>
                <w:color w:val="auto"/>
                <w:w w:val="93"/>
              </w:rPr>
              <w:t>Implants based on contracted rates sold through a specialty pharmacy (a)</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15,149</w:t>
            </w:r>
          </w:p>
        </w:tc>
        <w:tc>
          <w:tcPr>
            <w:tcW w:w="120" w:type="dxa"/>
            <w:vAlign w:val="bottom"/>
          </w:tcPr>
          <w:p>
            <w:pPr>
              <w:spacing w:after="0"/>
              <w:rPr>
                <w:sz w:val="18"/>
                <w:szCs w:val="18"/>
                <w:color w:val="auto"/>
              </w:rPr>
            </w:pP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14,897</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46,547</w:t>
            </w:r>
          </w:p>
        </w:tc>
        <w:tc>
          <w:tcPr>
            <w:tcW w:w="100" w:type="dxa"/>
            <w:vAlign w:val="bottom"/>
          </w:tcPr>
          <w:p>
            <w:pPr>
              <w:spacing w:after="0"/>
              <w:rPr>
                <w:sz w:val="18"/>
                <w:szCs w:val="18"/>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36,084</w:t>
            </w:r>
          </w:p>
        </w:tc>
        <w:tc>
          <w:tcPr>
            <w:tcW w:w="0" w:type="dxa"/>
            <w:vAlign w:val="bottom"/>
          </w:tcPr>
          <w:p>
            <w:pPr>
              <w:spacing w:after="0"/>
              <w:rPr>
                <w:sz w:val="1"/>
                <w:szCs w:val="1"/>
                <w:color w:val="auto"/>
              </w:rPr>
            </w:pPr>
          </w:p>
        </w:tc>
      </w:tr>
      <w:tr>
        <w:trPr>
          <w:trHeight w:val="164"/>
        </w:trPr>
        <w:tc>
          <w:tcPr>
            <w:tcW w:w="5640" w:type="dxa"/>
            <w:vAlign w:val="bottom"/>
            <w:shd w:val="clear" w:color="auto" w:fill="CCEEFF"/>
          </w:tcPr>
          <w:p>
            <w:pPr>
              <w:ind w:left="440"/>
              <w:spacing w:after="0" w:line="164" w:lineRule="exact"/>
              <w:rPr>
                <w:sz w:val="20"/>
                <w:szCs w:val="20"/>
                <w:color w:val="auto"/>
              </w:rPr>
            </w:pPr>
            <w:r>
              <w:rPr>
                <w:rFonts w:ascii="Arial" w:cs="Arial" w:eastAsia="Arial" w:hAnsi="Arial"/>
                <w:sz w:val="17"/>
                <w:szCs w:val="17"/>
                <w:color w:val="auto"/>
                <w:w w:val="98"/>
              </w:rPr>
              <w:t>Implants subject to third party reimbursement sold through a specialty</w:t>
            </w:r>
          </w:p>
        </w:tc>
        <w:tc>
          <w:tcPr>
            <w:tcW w:w="3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3,529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11,357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10,299</w:t>
            </w:r>
          </w:p>
        </w:tc>
        <w:tc>
          <w:tcPr>
            <w:tcW w:w="0" w:type="dxa"/>
            <w:vAlign w:val="bottom"/>
          </w:tcPr>
          <w:p>
            <w:pPr>
              <w:spacing w:after="0"/>
              <w:rPr>
                <w:sz w:val="1"/>
                <w:szCs w:val="1"/>
                <w:color w:val="auto"/>
              </w:rPr>
            </w:pPr>
          </w:p>
        </w:tc>
      </w:tr>
      <w:tr>
        <w:trPr>
          <w:trHeight w:val="214"/>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pharmacy (b)</w:t>
            </w:r>
          </w:p>
        </w:tc>
        <w:tc>
          <w:tcPr>
            <w:tcW w:w="3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tcPr>
          <w:p>
            <w:pPr>
              <w:ind w:left="440"/>
              <w:spacing w:after="0"/>
              <w:rPr>
                <w:sz w:val="20"/>
                <w:szCs w:val="20"/>
                <w:color w:val="auto"/>
              </w:rPr>
            </w:pPr>
            <w:r>
              <w:rPr>
                <w:rFonts w:ascii="Arial" w:cs="Arial" w:eastAsia="Arial" w:hAnsi="Arial"/>
                <w:sz w:val="17"/>
                <w:szCs w:val="17"/>
                <w:color w:val="auto"/>
              </w:rPr>
              <w:t>Implants sold direct based on contracted rates (c)</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9,528</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Implants sold direct subject to third party reimbursement (d)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14"/>
        </w:trPr>
        <w:tc>
          <w:tcPr>
            <w:tcW w:w="5640" w:type="dxa"/>
            <w:vAlign w:val="bottom"/>
          </w:tcPr>
          <w:p>
            <w:pPr>
              <w:ind w:left="440"/>
              <w:spacing w:after="0"/>
              <w:rPr>
                <w:sz w:val="20"/>
                <w:szCs w:val="20"/>
                <w:color w:val="auto"/>
              </w:rPr>
            </w:pPr>
            <w:r>
              <w:rPr>
                <w:rFonts w:ascii="Arial" w:cs="Arial" w:eastAsia="Arial" w:hAnsi="Arial"/>
                <w:sz w:val="17"/>
                <w:szCs w:val="17"/>
                <w:color w:val="auto"/>
              </w:rPr>
              <w:t>Biopsy kits - direct bill</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estimates related to prior periods (e)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4"/>
        </w:trPr>
        <w:tc>
          <w:tcPr>
            <w:tcW w:w="5640" w:type="dxa"/>
            <w:vAlign w:val="bottom"/>
          </w:tcPr>
          <w:p>
            <w:pPr>
              <w:ind w:left="260"/>
              <w:spacing w:after="0"/>
              <w:rPr>
                <w:sz w:val="20"/>
                <w:szCs w:val="20"/>
                <w:color w:val="auto"/>
              </w:rPr>
            </w:pPr>
            <w:r>
              <w:rPr>
                <w:rFonts w:ascii="Arial" w:cs="Arial" w:eastAsia="Arial" w:hAnsi="Arial"/>
                <w:sz w:val="17"/>
                <w:szCs w:val="17"/>
                <w:color w:val="auto"/>
              </w:rPr>
              <w:t>Epicel</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Direct bill (hospital)</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17,965</w:t>
            </w:r>
          </w:p>
        </w:tc>
        <w:tc>
          <w:tcPr>
            <w:tcW w:w="0" w:type="dxa"/>
            <w:vAlign w:val="bottom"/>
          </w:tcPr>
          <w:p>
            <w:pPr>
              <w:spacing w:after="0"/>
              <w:rPr>
                <w:sz w:val="1"/>
                <w:szCs w:val="1"/>
                <w:color w:val="auto"/>
              </w:rPr>
            </w:pPr>
          </w:p>
        </w:tc>
      </w:tr>
      <w:tr>
        <w:trPr>
          <w:trHeight w:val="207"/>
        </w:trPr>
        <w:tc>
          <w:tcPr>
            <w:tcW w:w="5640" w:type="dxa"/>
            <w:vAlign w:val="bottom"/>
          </w:tcPr>
          <w:p>
            <w:pPr>
              <w:ind w:left="360"/>
              <w:spacing w:after="0"/>
              <w:rPr>
                <w:sz w:val="20"/>
                <w:szCs w:val="20"/>
                <w:color w:val="auto"/>
              </w:rPr>
            </w:pPr>
            <w:r>
              <w:rPr>
                <w:rFonts w:ascii="Arial" w:cs="Arial" w:eastAsia="Arial" w:hAnsi="Arial"/>
                <w:sz w:val="17"/>
                <w:szCs w:val="17"/>
                <w:color w:val="auto"/>
              </w:rPr>
              <w:t>Total product revenue</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33,718</w:t>
            </w:r>
          </w:p>
        </w:tc>
        <w:tc>
          <w:tcPr>
            <w:tcW w:w="120" w:type="dxa"/>
            <w:vAlign w:val="bottom"/>
          </w:tcPr>
          <w:p>
            <w:pPr>
              <w:spacing w:after="0"/>
              <w:rPr>
                <w:sz w:val="17"/>
                <w:szCs w:val="17"/>
                <w:color w:val="auto"/>
              </w:rPr>
            </w:pP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31,020</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106,025</w:t>
            </w:r>
          </w:p>
        </w:tc>
        <w:tc>
          <w:tcPr>
            <w:tcW w:w="10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77,712</w:t>
            </w:r>
          </w:p>
        </w:tc>
        <w:tc>
          <w:tcPr>
            <w:tcW w:w="0" w:type="dxa"/>
            <w:vAlign w:val="bottom"/>
          </w:tcPr>
          <w:p>
            <w:pPr>
              <w:spacing w:after="0"/>
              <w:rPr>
                <w:sz w:val="1"/>
                <w:szCs w:val="1"/>
                <w:color w:val="auto"/>
              </w:rPr>
            </w:pPr>
          </w:p>
        </w:tc>
      </w:tr>
      <w:tr>
        <w:trPr>
          <w:trHeight w:val="214"/>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NexoBrid revenue (f)</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0" w:type="dxa"/>
            <w:vAlign w:val="bottom"/>
          </w:tcPr>
          <w:p>
            <w:pPr>
              <w:spacing w:after="0"/>
              <w:rPr>
                <w:sz w:val="1"/>
                <w:szCs w:val="1"/>
                <w:color w:val="auto"/>
              </w:rPr>
            </w:pPr>
          </w:p>
        </w:tc>
      </w:tr>
      <w:tr>
        <w:trPr>
          <w:trHeight w:val="207"/>
        </w:trPr>
        <w:tc>
          <w:tcPr>
            <w:tcW w:w="5640" w:type="dxa"/>
            <w:vAlign w:val="bottom"/>
          </w:tcPr>
          <w:p>
            <w:pPr>
              <w:ind w:left="360"/>
              <w:spacing w:after="0"/>
              <w:rPr>
                <w:sz w:val="20"/>
                <w:szCs w:val="20"/>
                <w:color w:val="auto"/>
              </w:rPr>
            </w:pPr>
            <w:r>
              <w:rPr>
                <w:rFonts w:ascii="Arial" w:cs="Arial" w:eastAsia="Arial" w:hAnsi="Arial"/>
                <w:sz w:val="17"/>
                <w:szCs w:val="17"/>
                <w:color w:val="auto"/>
              </w:rPr>
              <w:t>Total net revenue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32,258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108,593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78,950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112395</wp:posOffset>
            </wp:positionV>
            <wp:extent cx="7053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3580" cy="8255"/>
                    </a:xfrm>
                    <a:prstGeom prst="rect">
                      <a:avLst/>
                    </a:prstGeom>
                    <a:noFill/>
                  </pic:spPr>
                </pic:pic>
              </a:graphicData>
            </a:graphic>
          </wp:anchor>
        </w:drawing>
      </w:r>
    </w:p>
    <w:p>
      <w:pPr>
        <w:spacing w:after="0" w:line="169" w:lineRule="exact"/>
        <w:rPr>
          <w:sz w:val="20"/>
          <w:szCs w:val="20"/>
          <w:color w:val="auto"/>
        </w:rPr>
      </w:pPr>
    </w:p>
    <w:p>
      <w:pPr>
        <w:ind w:left="240" w:right="40" w:firstLine="231"/>
        <w:spacing w:after="0" w:line="231" w:lineRule="auto"/>
        <w:tabs>
          <w:tab w:leader="none" w:pos="703"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53" w:lineRule="exact"/>
        <w:rPr>
          <w:rFonts w:ascii="Arial" w:cs="Arial" w:eastAsia="Arial" w:hAnsi="Arial"/>
          <w:sz w:val="17"/>
          <w:szCs w:val="17"/>
          <w:color w:val="auto"/>
        </w:rPr>
      </w:pPr>
    </w:p>
    <w:p>
      <w:pPr>
        <w:ind w:left="240" w:right="20" w:firstLine="231"/>
        <w:spacing w:after="0" w:line="231" w:lineRule="auto"/>
        <w:tabs>
          <w:tab w:leader="none" w:pos="70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through Orsini and AllCare whereby such specialty pharmacies do not have a direct contract with the underlying payer. The amount of reimbursement is established based on a payer or state fee schedule and/or payer history.</w:t>
      </w:r>
    </w:p>
    <w:p>
      <w:pPr>
        <w:spacing w:after="0" w:line="153" w:lineRule="exact"/>
        <w:rPr>
          <w:rFonts w:ascii="Arial" w:cs="Arial" w:eastAsia="Arial" w:hAnsi="Arial"/>
          <w:sz w:val="17"/>
          <w:szCs w:val="17"/>
          <w:color w:val="auto"/>
        </w:rPr>
      </w:pPr>
    </w:p>
    <w:p>
      <w:pPr>
        <w:ind w:left="240" w:right="20" w:firstLine="231"/>
        <w:spacing w:after="0" w:line="231" w:lineRule="auto"/>
        <w:tabs>
          <w:tab w:leader="none" w:pos="72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Also represents direct sales under a contract to the specialty distributor DMS.</w:t>
      </w:r>
    </w:p>
    <w:p>
      <w:pPr>
        <w:spacing w:after="0" w:line="153" w:lineRule="exact"/>
        <w:rPr>
          <w:rFonts w:ascii="Arial" w:cs="Arial" w:eastAsia="Arial" w:hAnsi="Arial"/>
          <w:sz w:val="17"/>
          <w:szCs w:val="17"/>
          <w:color w:val="auto"/>
        </w:rPr>
      </w:pPr>
    </w:p>
    <w:p>
      <w:pPr>
        <w:ind w:left="240" w:right="20" w:firstLine="231"/>
        <w:spacing w:after="0" w:line="231" w:lineRule="auto"/>
        <w:tabs>
          <w:tab w:leader="none" w:pos="71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53" w:lineRule="exact"/>
        <w:rPr>
          <w:rFonts w:ascii="Arial" w:cs="Arial" w:eastAsia="Arial" w:hAnsi="Arial"/>
          <w:sz w:val="17"/>
          <w:szCs w:val="17"/>
          <w:color w:val="auto"/>
        </w:rPr>
      </w:pPr>
    </w:p>
    <w:p>
      <w:pPr>
        <w:jc w:val="both"/>
        <w:ind w:left="240" w:right="20" w:firstLine="231"/>
        <w:spacing w:after="0" w:line="221"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or actual cash collections received in the current period.</w:t>
      </w:r>
    </w:p>
    <w:p>
      <w:pPr>
        <w:spacing w:after="0" w:line="140" w:lineRule="exact"/>
        <w:rPr>
          <w:rFonts w:ascii="Arial" w:cs="Arial" w:eastAsia="Arial" w:hAnsi="Arial"/>
          <w:sz w:val="17"/>
          <w:szCs w:val="17"/>
          <w:color w:val="auto"/>
        </w:rPr>
      </w:pPr>
    </w:p>
    <w:p>
      <w:pPr>
        <w:ind w:left="240" w:right="40" w:firstLine="231"/>
        <w:spacing w:after="0" w:line="231" w:lineRule="auto"/>
        <w:tabs>
          <w:tab w:leader="none" w:pos="688"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revenue based on a percentage of gross profits for sales of NexoBrid to BARDA, pursuant to the license agreement between the Company and MediWound.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21" w:lineRule="exact"/>
        <w:rPr>
          <w:sz w:val="20"/>
          <w:szCs w:val="20"/>
          <w:color w:val="auto"/>
        </w:rPr>
      </w:pPr>
    </w:p>
    <w:p>
      <w:pPr>
        <w:jc w:val="both"/>
        <w:ind w:right="100" w:firstLine="227"/>
        <w:spacing w:after="0" w:line="228" w:lineRule="auto"/>
        <w:rPr>
          <w:sz w:val="20"/>
          <w:szCs w:val="20"/>
          <w:color w:val="auto"/>
        </w:rPr>
      </w:pPr>
      <w:r>
        <w:rPr>
          <w:rFonts w:ascii="Arial" w:cs="Arial" w:eastAsia="Arial" w:hAnsi="Arial"/>
          <w:sz w:val="17"/>
          <w:szCs w:val="17"/>
          <w:color w:val="auto"/>
        </w:rPr>
        <w:t>The Company's total Epicel revenue concentration from a customer for the three and nine months ended September 30, 2021 was 9% and 11%, respectively, and there were no customers with a concentration greater than 10% for the same periods in 2020. For the Company's total MACI revenue, and MACI and Epicel accounts receivable balances, there were no customers for the three and nine months ended September 30, 2021 or the comparable periods in 2020, with a concentration greater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99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5. Selected Balance Sheet Components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Inventory</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Inventory as of September 30, 2021 and December 31,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7"/>
              </w:rPr>
              <w:t>September 30, 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8,775</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Work-in-process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8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20"/>
              <w:spacing w:after="0"/>
              <w:rPr>
                <w:sz w:val="20"/>
                <w:szCs w:val="20"/>
                <w:color w:val="auto"/>
              </w:rPr>
            </w:pPr>
            <w:r>
              <w:rPr>
                <w:rFonts w:ascii="Arial" w:cs="Arial" w:eastAsia="Arial" w:hAnsi="Arial"/>
                <w:sz w:val="17"/>
                <w:szCs w:val="17"/>
                <w:i w:val="1"/>
                <w:iCs w:val="1"/>
                <w:color w:val="auto"/>
              </w:rPr>
              <w:t>Property and Equipment</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Property and Equipment, net as of September 30, 2021 and December 31, 2020:</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7"/>
              </w:rPr>
              <w:t>September 30, 2021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3,672</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Furniture, fixtures and office equipment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5,560</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Financing right-of-use lease</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property and equipment, gross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(11,386)</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Depreciation expense for the three and nine months ended September 30, 2021 was $0.7 million and $2.2 million, respectively, and $0.6 million and $1.6 million, respectively, for the same periods in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Expenses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Accrued Expenses as of September 30, 2021 and December 31, 2020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w w:val="95"/>
              </w:rPr>
              <w:t>September 30, 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97"/>
              </w:rPr>
              <w:t>December 31, 2020</w:t>
            </w:r>
          </w:p>
        </w:tc>
      </w:tr>
      <w:tr>
        <w:trPr>
          <w:trHeight w:val="21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Bonus related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w:t>
            </w:r>
          </w:p>
        </w:tc>
      </w:tr>
      <w:tr>
        <w:trPr>
          <w:trHeight w:val="214"/>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Employee related accruals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3,482</w:t>
            </w:r>
          </w:p>
        </w:tc>
      </w:tr>
      <w:tr>
        <w:trPr>
          <w:trHeight w:val="214"/>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w:t>
            </w:r>
          </w:p>
        </w:tc>
      </w:tr>
      <w:tr>
        <w:trPr>
          <w:trHeight w:val="207"/>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11,293</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6. Leases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present value of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right-of-use assets and liabilities, on a discounted basis on the balance sheet. Effective October 21, 2020 the Company entered into an agreement with one of its Cambridge, Massachusetts facility leases. The agreement extended the terms of the lease to expire on February 29, 2032, with monthly contractual lease payments ranging from $0.4 million to $0.6 million. The agreement also provides a tenant improvement allowance of approximately $4.3 million, available through December 31, 2023.</w:t>
      </w:r>
    </w:p>
    <w:p>
      <w:pPr>
        <w:spacing w:after="0" w:line="200"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 xml:space="preserve">Leases with an initial term of 12 months or less are not recorded on the balance sheet. For both the three and nine months ended September 30, 2021 and 2020, lease expense of less than $0.1 million was recorded for each of short-term leases and financing leases. During the nine months ended September 30, 2021, the Company recorded </w:t>
      </w:r>
      <w:r>
        <w:rPr>
          <w:rFonts w:ascii="Arial" w:cs="Arial" w:eastAsia="Arial" w:hAnsi="Arial"/>
          <w:sz w:val="16"/>
          <w:szCs w:val="16"/>
          <w:color w:val="222222"/>
        </w:rPr>
        <w:t>$0.4 million</w:t>
      </w:r>
      <w:r>
        <w:rPr>
          <w:rFonts w:ascii="Arial" w:cs="Arial" w:eastAsia="Arial" w:hAnsi="Arial"/>
          <w:sz w:val="16"/>
          <w:szCs w:val="16"/>
          <w:color w:val="auto"/>
        </w:rPr>
        <w:t xml:space="preserve"> of leasehold improvements funded by tenant improvement allowances available under the lease agreements. The </w:t>
      </w:r>
      <w:r>
        <w:rPr>
          <w:rFonts w:ascii="Arial" w:cs="Arial" w:eastAsia="Arial" w:hAnsi="Arial"/>
          <w:sz w:val="16"/>
          <w:szCs w:val="16"/>
          <w:color w:val="222222"/>
        </w:rPr>
        <w:t>contribution toward</w:t>
      </w:r>
      <w:r>
        <w:rPr>
          <w:rFonts w:ascii="Arial" w:cs="Arial" w:eastAsia="Arial" w:hAnsi="Arial"/>
          <w:sz w:val="16"/>
          <w:szCs w:val="16"/>
          <w:color w:val="auto"/>
        </w:rPr>
        <w:t xml:space="preserve"> </w:t>
      </w:r>
      <w:r>
        <w:rPr>
          <w:rFonts w:ascii="Arial" w:cs="Arial" w:eastAsia="Arial" w:hAnsi="Arial"/>
          <w:sz w:val="16"/>
          <w:szCs w:val="16"/>
          <w:color w:val="222222"/>
        </w:rPr>
        <w:t xml:space="preserve">the cost of tenant improvements is recorded as a reduction of the operating lease assets. For the three and nine months ended </w:t>
      </w:r>
      <w:r>
        <w:rPr>
          <w:rFonts w:ascii="Arial" w:cs="Arial" w:eastAsia="Arial" w:hAnsi="Arial"/>
          <w:sz w:val="16"/>
          <w:szCs w:val="16"/>
          <w:color w:val="000000"/>
        </w:rPr>
        <w:t>September 30, 2021</w:t>
      </w:r>
      <w:r>
        <w:rPr>
          <w:rFonts w:ascii="Arial" w:cs="Arial" w:eastAsia="Arial" w:hAnsi="Arial"/>
          <w:sz w:val="16"/>
          <w:szCs w:val="16"/>
          <w:color w:val="222222"/>
        </w:rPr>
        <w:t xml:space="preserve">, the Company recognized $1.8 million and $5.5 million, respectively, of operating lease expense and $1.6 million and $4.5 million, respectively for the same periods in 2020. The </w:t>
      </w:r>
      <w:r>
        <w:rPr>
          <w:rFonts w:ascii="Arial" w:cs="Arial" w:eastAsia="Arial" w:hAnsi="Arial"/>
          <w:sz w:val="16"/>
          <w:szCs w:val="16"/>
          <w:color w:val="000000"/>
        </w:rPr>
        <w:t>Company’s leases contain non-lease components and activities that do not transfer a good or service to the Company. The Company elected not to combine lease and non-lease components and therefore non-lease costs were not included in the net lease assets or lease liabilities.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leased assets and liabilities classified on the balance sheet, as of September 30, 2021 and December 31, 2020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Classification</w:t>
            </w: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2021</w:t>
            </w:r>
          </w:p>
        </w:tc>
        <w:tc>
          <w:tcPr>
            <w:tcW w:w="180" w:type="dxa"/>
            <w:vAlign w:val="bottom"/>
          </w:tcPr>
          <w:p>
            <w:pPr>
              <w:spacing w:after="0"/>
              <w:rPr>
                <w:sz w:val="15"/>
                <w:szCs w:val="15"/>
                <w:color w:val="auto"/>
              </w:rPr>
            </w:pPr>
          </w:p>
        </w:tc>
        <w:tc>
          <w:tcPr>
            <w:tcW w:w="1420" w:type="dxa"/>
            <w:vAlign w:val="bottom"/>
          </w:tcPr>
          <w:p>
            <w:pPr>
              <w:jc w:val="right"/>
              <w:ind w:right="178"/>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212"/>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0" w:type="dxa"/>
            <w:vAlign w:val="bottom"/>
            <w:gridSpan w:val="2"/>
          </w:tcPr>
          <w:p>
            <w:pPr>
              <w:ind w:left="140"/>
              <w:spacing w:after="0"/>
              <w:rPr>
                <w:sz w:val="20"/>
                <w:szCs w:val="20"/>
                <w:color w:val="auto"/>
              </w:rPr>
            </w:pPr>
            <w:r>
              <w:rPr>
                <w:rFonts w:ascii="Arial" w:cs="Arial" w:eastAsia="Arial" w:hAnsi="Arial"/>
                <w:sz w:val="17"/>
                <w:szCs w:val="17"/>
                <w:color w:val="auto"/>
              </w:rPr>
              <w:t>Operating</w:t>
            </w:r>
          </w:p>
        </w:tc>
        <w:tc>
          <w:tcPr>
            <w:tcW w:w="6100" w:type="dxa"/>
            <w:vAlign w:val="bottom"/>
            <w:gridSpan w:val="2"/>
          </w:tcPr>
          <w:p>
            <w:pPr>
              <w:spacing w:after="0"/>
              <w:rPr>
                <w:sz w:val="20"/>
                <w:szCs w:val="20"/>
                <w:color w:val="auto"/>
              </w:rPr>
            </w:pPr>
            <w:r>
              <w:rPr>
                <w:rFonts w:ascii="Arial" w:cs="Arial" w:eastAsia="Arial" w:hAnsi="Arial"/>
                <w:sz w:val="17"/>
                <w:szCs w:val="17"/>
                <w:color w:val="auto"/>
              </w:rPr>
              <w:t>Right-of-use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46,713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50,105</w:t>
            </w:r>
          </w:p>
        </w:tc>
        <w:tc>
          <w:tcPr>
            <w:tcW w:w="0" w:type="dxa"/>
            <w:vAlign w:val="bottom"/>
          </w:tcPr>
          <w:p>
            <w:pPr>
              <w:spacing w:after="0"/>
              <w:rPr>
                <w:sz w:val="1"/>
                <w:szCs w:val="1"/>
                <w:color w:val="auto"/>
              </w:rPr>
            </w:pPr>
          </w:p>
        </w:tc>
      </w:tr>
      <w:tr>
        <w:trPr>
          <w:trHeight w:val="214"/>
        </w:trPr>
        <w:tc>
          <w:tcPr>
            <w:tcW w:w="1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w:t>
            </w: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7"/>
        </w:trPr>
        <w:tc>
          <w:tcPr>
            <w:tcW w:w="1800" w:type="dxa"/>
            <w:vAlign w:val="bottom"/>
            <w:gridSpan w:val="2"/>
          </w:tcPr>
          <w:p>
            <w:pPr>
              <w:ind w:left="20"/>
              <w:spacing w:after="0"/>
              <w:rPr>
                <w:sz w:val="20"/>
                <w:szCs w:val="20"/>
                <w:color w:val="auto"/>
              </w:rPr>
            </w:pPr>
            <w:r>
              <w:rPr>
                <w:rFonts w:ascii="Arial" w:cs="Arial" w:eastAsia="Arial" w:hAnsi="Arial"/>
                <w:sz w:val="17"/>
                <w:szCs w:val="17"/>
                <w:color w:val="auto"/>
              </w:rPr>
              <w:t>Total leased assets</w:t>
            </w: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50,216</w:t>
            </w: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w:t>
            </w:r>
          </w:p>
        </w:tc>
        <w:tc>
          <w:tcPr>
            <w:tcW w:w="6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2"/>
          </w:tcPr>
          <w:p>
            <w:pPr>
              <w:ind w:left="140"/>
              <w:spacing w:after="0"/>
              <w:rPr>
                <w:sz w:val="20"/>
                <w:szCs w:val="20"/>
                <w:color w:val="auto"/>
              </w:rPr>
            </w:pPr>
            <w:r>
              <w:rPr>
                <w:rFonts w:ascii="Arial" w:cs="Arial" w:eastAsia="Arial" w:hAnsi="Arial"/>
                <w:sz w:val="17"/>
                <w:szCs w:val="17"/>
                <w:i w:val="1"/>
                <w:iCs w:val="1"/>
                <w:color w:val="auto"/>
              </w:rPr>
              <w:t>Current</w:t>
            </w: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w:t>
            </w: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portion of 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4"/>
        </w:trPr>
        <w:tc>
          <w:tcPr>
            <w:tcW w:w="1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Finance</w:t>
            </w: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2"/>
        </w:trPr>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4,435</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7"/>
                <w:szCs w:val="17"/>
                <w:i w:val="1"/>
                <w:iCs w:val="1"/>
                <w:color w:val="auto"/>
              </w:rPr>
              <w:t>Non-current</w:t>
            </w:r>
          </w:p>
        </w:tc>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00" w:type="dxa"/>
            <w:vAlign w:val="bottom"/>
            <w:gridSpan w:val="2"/>
            <w:vMerge w:val="continue"/>
          </w:tcPr>
          <w:p>
            <w:pPr>
              <w:spacing w:after="0"/>
              <w:rPr>
                <w:sz w:val="13"/>
                <w:szCs w:val="13"/>
                <w:color w:val="auto"/>
              </w:rPr>
            </w:pPr>
          </w:p>
        </w:tc>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w:t>
            </w: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48,789</w:t>
            </w:r>
          </w:p>
        </w:tc>
        <w:tc>
          <w:tcPr>
            <w:tcW w:w="0" w:type="dxa"/>
            <w:vAlign w:val="bottom"/>
          </w:tcPr>
          <w:p>
            <w:pPr>
              <w:spacing w:after="0"/>
              <w:rPr>
                <w:sz w:val="1"/>
                <w:szCs w:val="1"/>
                <w:color w:val="auto"/>
              </w:rPr>
            </w:pPr>
          </w:p>
        </w:tc>
      </w:tr>
      <w:tr>
        <w:trPr>
          <w:trHeight w:val="214"/>
        </w:trPr>
        <w:tc>
          <w:tcPr>
            <w:tcW w:w="1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Finance</w:t>
            </w:r>
          </w:p>
        </w:tc>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2"/>
        </w:trPr>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leased liabilities</w:t>
            </w:r>
          </w:p>
        </w:tc>
        <w:tc>
          <w:tcPr>
            <w:tcW w:w="6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48,865</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Restricted Stock Units and Equity Incentive Plans</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Options granted to employees and non-employees under these plans expire no later than ten years from the date of grant. Options and restricted stock units generally become exercisable or vest over a four-year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6" w:name="page17"/>
    <w:bookmarkEnd w:id="16"/>
    <w:p>
      <w:pPr>
        <w:jc w:val="both"/>
        <w:ind w:firstLine="227"/>
        <w:spacing w:after="0" w:line="270" w:lineRule="auto"/>
        <w:rPr>
          <w:sz w:val="20"/>
          <w:szCs w:val="20"/>
          <w:color w:val="auto"/>
        </w:rPr>
      </w:pPr>
      <w:r>
        <w:rPr>
          <w:rFonts w:ascii="Arial" w:cs="Arial" w:eastAsia="Arial" w:hAnsi="Arial"/>
          <w:sz w:val="16"/>
          <w:szCs w:val="16"/>
          <w:color w:val="auto"/>
        </w:rPr>
        <w:t>The Company's Amended and Restated 2019 Omnibus Incentive Plan (2019 Plan) was approved on April 29, 2020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of the 2019 Plan. However, the expiration or forfeiture of options previously granted under the Prior Plans will increase the number of shares available for issuance under the 2019 Plan.</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September 30, 2021, there were 2,730,746 shares available for future grant under the 2019 Plan.</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The ESPP allows for the issuance of an aggregate of 1,000,000 shares of common stock of which 736,375 shares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options at the grant date, which corresponds to the first day of each purchase period and is amortized over the purchase period. In October 2021, employees purchased 7,102 shares resulting in proceeds from the sale of common stock of $0.3 million under the ESPP for the third quarter of 2021.</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Service-Based Stock Options</w:t>
      </w:r>
    </w:p>
    <w:p>
      <w:pPr>
        <w:spacing w:after="0" w:line="208"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During the three and nine months ended September 30, 2021, the Company granted service-based options to purchase common stock of 189,882 and 1,663,954, respectively, and 28,000 and 1,324,890, respectively, for the same periods in 2020. The exercise price of the options is the fair market value per share of common stock on the grant date, and the options generally vest over four years (other than non-employee director options which may vest over one to three years from the grant date pursuant to the provisions of the Company's Amended and Restated Non-Employee Director Compensation Guidelines) and have a term of ten years. The Company issues new shares upon the exercise of stock options. The weighted average grant-date fair value of service-based options granted during the three and nine months ended September 30, 2021 was $35.65 and $33.03, respectively, and $10.81 and $8.70, respectively, for the same periods in 2020.</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3"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During the three and nine months ended September 30, 2021, the Company granted 22,310 and 263,364 service-based restricted stock units, respectively, and 0 and 196,836, respectively, for the same periods in 2020. The restricted stock units vest annually over four years in equal installments commencing on the first anniversary of the grant date (other than non-employee director awards which may vest over one to three years from the grant date pursuant to the provisions of the Company's Amended and Restated Non-Employee Director Compensation Guidelines). The Company issues new shares upon the vesting of restricted stock units. Restricted stock units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three and nine months ended September 30, 2021 was $54.35 and $52.19, respectively, and $11.41, for the nine months ended September 30, 2020. The aggregate fair value of restricted stock units granted in the three and nine months ended September 30, 2021 was $1.2 million and $13.7 million, respectively, and $2.2 million for the nine months ended September 30, 2020. There were no restricted stock units granted during the three months ended September 30, 2020.</w:t>
      </w:r>
    </w:p>
    <w:p>
      <w:pPr>
        <w:spacing w:after="0" w:line="197"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During the three and nine months ended September 30, 2021, 2,826 and 62,259 shares, respectively, of common stock were issued upon the vesting of restricted stock units. These amounts are net of 1,174 and 30,588 shares, respectively, that were withheld for payment of taxes on the behalf of employees. During the nine months ended September 30, 2020, 32,840 shares of common stock were issued upon the vesting of restricted stock units. This amount is net of 13,872 shares withheld for payment of taxes, as no shares are withheld at vesting for shares awarded to the members of the Company's Board of Directors.</w:t>
      </w:r>
    </w:p>
    <w:p>
      <w:pPr>
        <w:spacing w:after="0" w:line="188"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For the three and nine months ended September 30, 2021, the total fair value of restricted stock awards vested was $0.2 million and $5.1 million, respectively, and $0.0 million and $0.6 million, respectively, for the same periods in 2020. The total fair value of restricted stock units withheld for payment of taxes during the three and nine months ended September 30, 2021, was $0.1 million and $1.6 million, respectively. During the nine months ended September 30, 2020, the total fair value of</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restricted stock units withheld for payment of taxes was $0.2 million. No restricted stock units vested during the three months ended September 30, 2020.</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Compensation Expense</w:t>
      </w:r>
    </w:p>
    <w:p>
      <w:pPr>
        <w:spacing w:after="0" w:line="208" w:lineRule="exact"/>
        <w:rPr>
          <w:sz w:val="20"/>
          <w:szCs w:val="20"/>
          <w:color w:val="auto"/>
        </w:rPr>
      </w:pPr>
    </w:p>
    <w:p>
      <w:pPr>
        <w:jc w:val="both"/>
        <w:ind w:right="100" w:firstLine="227"/>
        <w:spacing w:after="0" w:line="270"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product sales,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79"/>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product sales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r>
      <w:tr>
        <w:trPr>
          <w:trHeight w:val="214"/>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1,455</w:t>
            </w:r>
          </w:p>
        </w:tc>
      </w:tr>
      <w:tr>
        <w:trPr>
          <w:trHeight w:val="215"/>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7,823</w:t>
            </w:r>
          </w:p>
        </w:tc>
      </w:tr>
      <w:tr>
        <w:trPr>
          <w:trHeight w:val="207"/>
        </w:trPr>
        <w:tc>
          <w:tcPr>
            <w:tcW w:w="526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Total non-cash stock-based compensation expense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10,819</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Investments</w:t>
      </w:r>
    </w:p>
    <w:p>
      <w:pPr>
        <w:spacing w:after="0" w:line="225" w:lineRule="exact"/>
        <w:rPr>
          <w:sz w:val="20"/>
          <w:szCs w:val="20"/>
          <w:color w:val="auto"/>
        </w:rPr>
      </w:pPr>
    </w:p>
    <w:p>
      <w:pPr>
        <w:jc w:val="both"/>
        <w:ind w:right="100" w:firstLine="227"/>
        <w:spacing w:after="0" w:line="231" w:lineRule="auto"/>
        <w:rPr>
          <w:sz w:val="20"/>
          <w:szCs w:val="20"/>
          <w:color w:val="auto"/>
        </w:rPr>
      </w:pPr>
      <w:r>
        <w:rPr>
          <w:rFonts w:ascii="Arial" w:cs="Arial" w:eastAsia="Arial" w:hAnsi="Arial"/>
          <w:sz w:val="17"/>
          <w:szCs w:val="17"/>
          <w:color w:val="auto"/>
        </w:rPr>
        <w:t xml:space="preserve">Marketable debt securities held by the Company are classified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and carried at fair value in the accompanying Condensed Consolidated Balance Sheets on a settlement date basis. The following tables summarize the gross unrealized gains and losses of the Company’s marketable securities as of September 30, 2021 and December 31, 2020:</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3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92"/>
              </w:rPr>
              <w:t>September 30, 2021</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w w:val="93"/>
              </w:rPr>
              <w:t>Gross Unrealized</w:t>
            </w: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Borders>
              <w:bottom w:val="single" w:sz="8" w:color="CCEEFF"/>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CCEEFF"/>
            </w:tcBorders>
            <w:gridSpan w:val="2"/>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5"/>
              </w:rPr>
              <w:t>Credit Losses</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97"/>
              </w:rPr>
              <w:t>Estimated Fair Val</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Commercial paper</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Corporate notes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4"/>
          </w:tcPr>
          <w:p>
            <w:pPr>
              <w:ind w:left="7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48,15</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4"/>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U.S. government agency bonds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6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color w:val="auto"/>
              </w:rPr>
              <w:t>Classified as: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Short-term investments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w:t>
            </w:r>
          </w:p>
        </w:tc>
        <w:tc>
          <w:tcPr>
            <w:tcW w:w="0" w:type="dxa"/>
            <w:vAlign w:val="bottom"/>
          </w:tcPr>
          <w:p>
            <w:pPr>
              <w:spacing w:after="0"/>
              <w:rPr>
                <w:sz w:val="1"/>
                <w:szCs w:val="1"/>
                <w:color w:val="auto"/>
              </w:rPr>
            </w:pPr>
          </w:p>
        </w:tc>
      </w:tr>
      <w:tr>
        <w:trPr>
          <w:trHeight w:val="214"/>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Long-term investments</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32"/>
        </w:trPr>
        <w:tc>
          <w:tcPr>
            <w:tcW w:w="3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5"/>
            <w:vMerge w:val="restart"/>
          </w:tcPr>
          <w:p>
            <w:pPr>
              <w:jc w:val="center"/>
              <w:ind w:right="240"/>
              <w:spacing w:after="0"/>
              <w:rPr>
                <w:sz w:val="20"/>
                <w:szCs w:val="20"/>
                <w:color w:val="auto"/>
              </w:rPr>
            </w:pPr>
            <w:r>
              <w:rPr>
                <w:rFonts w:ascii="Arial" w:cs="Arial" w:eastAsia="Arial" w:hAnsi="Arial"/>
                <w:sz w:val="13"/>
                <w:szCs w:val="13"/>
                <w:b w:val="1"/>
                <w:bCs w:val="1"/>
                <w:color w:val="auto"/>
                <w:w w:val="92"/>
              </w:rPr>
              <w:t>December 31, 2020</w:t>
            </w: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w w:val="97"/>
              </w:rPr>
              <w:t>Gross Unrealized</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w w:val="93"/>
              </w:rPr>
              <w:t>Credit Losses</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97"/>
              </w:rPr>
              <w:t>Estimated Fair Val</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Commercial paper</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Corporate notes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35,917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35,91</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U.S. government agency bonds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asset-backed securities</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66,272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ind w:right="222"/>
              <w:spacing w:after="0"/>
              <w:rPr>
                <w:sz w:val="20"/>
                <w:szCs w:val="20"/>
                <w:color w:val="auto"/>
              </w:rPr>
            </w:pPr>
            <w:r>
              <w:rPr>
                <w:rFonts w:ascii="Arial" w:cs="Arial" w:eastAsia="Arial" w:hAnsi="Arial"/>
                <w:sz w:val="17"/>
                <w:szCs w:val="17"/>
                <w:color w:val="auto"/>
              </w:rPr>
              <w:t>$</w:t>
            </w:r>
          </w:p>
        </w:tc>
        <w:tc>
          <w:tcPr>
            <w:tcW w:w="960" w:type="dxa"/>
            <w:vAlign w:val="bottom"/>
            <w:gridSpan w:val="4"/>
          </w:tcPr>
          <w:p>
            <w:pPr>
              <w:ind w:left="580"/>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66,28</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20" w:type="dxa"/>
            <w:vAlign w:val="bottom"/>
            <w:shd w:val="clear" w:color="auto" w:fill="CCEEFF"/>
          </w:tcPr>
          <w:p>
            <w:pPr>
              <w:ind w:left="260"/>
              <w:spacing w:after="0" w:line="180" w:lineRule="exact"/>
              <w:rPr>
                <w:sz w:val="20"/>
                <w:szCs w:val="20"/>
                <w:color w:val="auto"/>
              </w:rPr>
            </w:pPr>
            <w:r>
              <w:rPr>
                <w:rFonts w:ascii="Arial" w:cs="Arial" w:eastAsia="Arial" w:hAnsi="Arial"/>
                <w:sz w:val="17"/>
                <w:szCs w:val="17"/>
                <w:color w:val="auto"/>
              </w:rPr>
              <w:t>Classified as:</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42,18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Long-term investments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right="100" w:firstLine="227"/>
        <w:spacing w:after="0" w:line="276" w:lineRule="auto"/>
        <w:rPr>
          <w:sz w:val="20"/>
          <w:szCs w:val="20"/>
          <w:color w:val="auto"/>
        </w:rPr>
      </w:pPr>
      <w:r>
        <w:rPr>
          <w:rFonts w:ascii="Arial" w:cs="Arial" w:eastAsia="Arial" w:hAnsi="Arial"/>
          <w:sz w:val="16"/>
          <w:szCs w:val="16"/>
          <w:color w:val="auto"/>
        </w:rPr>
        <w:t>Investments classified as short-term have maturities of less than one year. Investments classified as long-term are those which: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September 30, 2021 and December 31, 2020, all marketable securities held by the Company had remaining contractual maturities of three years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846" w:right="239" w:bottom="1440" w:gutter="0" w:footer="0" w:header="0"/>
        </w:sectPr>
      </w:pPr>
    </w:p>
    <w:bookmarkStart w:id="18" w:name="page19"/>
    <w:bookmarkEnd w:id="18"/>
    <w:p>
      <w:pPr>
        <w:jc w:val="both"/>
        <w:ind w:right="100" w:firstLine="227"/>
        <w:spacing w:after="0" w:line="269" w:lineRule="auto"/>
        <w:rPr>
          <w:sz w:val="20"/>
          <w:szCs w:val="20"/>
          <w:color w:val="auto"/>
        </w:rPr>
      </w:pPr>
      <w:r>
        <w:rPr>
          <w:rFonts w:ascii="Arial" w:cs="Arial" w:eastAsia="Arial" w:hAnsi="Arial"/>
          <w:sz w:val="16"/>
          <w:szCs w:val="16"/>
          <w:color w:val="auto"/>
        </w:rPr>
        <w:t xml:space="preserve">Unrealized gains are included as a component of accumulated other comprehensive income in the Condensed Consolidated Balance Sheets and Statements of Shareholders’ Equity and a component of total comprehensive income (loss) in the Condensed Consolidated Statements of Comprehensive Loss, until realized. Unrealized losses are evaluated for impairment under </w:t>
      </w:r>
      <w:r>
        <w:rPr>
          <w:rFonts w:ascii="Arial" w:cs="Arial" w:eastAsia="Arial" w:hAnsi="Arial"/>
          <w:sz w:val="16"/>
          <w:szCs w:val="16"/>
          <w:i w:val="1"/>
          <w:iCs w:val="1"/>
          <w:color w:val="auto"/>
        </w:rPr>
        <w:t>ASC 326, Financial Instruments - Credit Losses</w:t>
      </w:r>
      <w:r>
        <w:rPr>
          <w:rFonts w:ascii="Arial" w:cs="Arial" w:eastAsia="Arial" w:hAnsi="Arial"/>
          <w:sz w:val="16"/>
          <w:szCs w:val="16"/>
          <w:color w:val="auto"/>
        </w:rPr>
        <w:t>, to determine if the impairment is credit-related or non-credit-related. Credit-related impairment is recognized as an allowance on the Condensed Consolidated Balance Sheet with a corresponding adjustment to earnings, and non-credit-related impairment is recognized in other comprehensive income (loss), net of taxes. There were no material realized losses on marketable securities during the three and nine months ended September 30, 2021. There have been no impairments of the Company’s assets measured and carried at fair value during the three and nine months ended September 30, 2021 or September 30,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fair value measurements are classified and disclosed in one of the following three categories:</w:t>
      </w:r>
    </w:p>
    <w:p>
      <w:pPr>
        <w:spacing w:after="0" w:line="208"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8" w:lineRule="exact"/>
        <w:rPr>
          <w:rFonts w:ascii="Arial" w:cs="Arial" w:eastAsia="Arial" w:hAnsi="Arial"/>
          <w:sz w:val="17"/>
          <w:szCs w:val="17"/>
          <w:color w:val="auto"/>
        </w:rPr>
      </w:pPr>
    </w:p>
    <w:p>
      <w:pPr>
        <w:ind w:left="600" w:right="100" w:hanging="297"/>
        <w:spacing w:after="0" w:line="247"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Quoted prices in markets that are not active, or inputs which are observable, either directly or indirectly, for substantially the full term of the asset or liability;</w:t>
      </w:r>
    </w:p>
    <w:p>
      <w:pPr>
        <w:spacing w:after="0" w:line="1" w:lineRule="exact"/>
        <w:rPr>
          <w:rFonts w:ascii="Arial" w:cs="Arial" w:eastAsia="Arial" w:hAnsi="Arial"/>
          <w:sz w:val="17"/>
          <w:szCs w:val="17"/>
          <w:color w:val="auto"/>
        </w:rPr>
      </w:pPr>
    </w:p>
    <w:p>
      <w:pPr>
        <w:ind w:left="600" w:right="100" w:hanging="297"/>
        <w:spacing w:after="0" w:line="255"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Prices or valuation techniques that require inputs that are both significant to the fair value measurement and unobservable (i.e., supported by little or no market activity).</w:t>
      </w:r>
    </w:p>
    <w:p>
      <w:pPr>
        <w:spacing w:after="0" w:line="178" w:lineRule="exact"/>
        <w:rPr>
          <w:sz w:val="20"/>
          <w:szCs w:val="20"/>
          <w:color w:val="auto"/>
        </w:rPr>
      </w:pPr>
    </w:p>
    <w:p>
      <w:pPr>
        <w:jc w:val="both"/>
        <w:ind w:right="100" w:firstLine="227"/>
        <w:spacing w:after="0" w:line="292" w:lineRule="auto"/>
        <w:rPr>
          <w:sz w:val="20"/>
          <w:szCs w:val="20"/>
          <w:color w:val="auto"/>
        </w:rPr>
      </w:pPr>
      <w:r>
        <w:rPr>
          <w:rFonts w:ascii="Arial" w:cs="Arial" w:eastAsia="Arial" w:hAnsi="Arial"/>
          <w:sz w:val="15"/>
          <w:szCs w:val="15"/>
          <w:color w:val="auto"/>
        </w:rPr>
        <w:t>There was no movement between Level 1 and Level 2 or between Level 2 and Level 3 from December 31, 2020 to September 30, 2021. 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September 30, 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gridSpan w:val="2"/>
          </w:tcPr>
          <w:p>
            <w:pPr>
              <w:ind w:left="320"/>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4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8"/>
        </w:trPr>
        <w:tc>
          <w:tcPr>
            <w:tcW w:w="12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Money</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6,146</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6,146</w:t>
            </w: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market funds</w:t>
            </w: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w w:val="99"/>
              </w:rPr>
              <w:t>Commercial</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paper</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Corporate</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48,156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48,156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notes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1,075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1,075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agency bonds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 asset-</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backed</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3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70,119</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6,146</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63,973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69,984</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7"/>
                <w:szCs w:val="17"/>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values of the cash equivalents and marketable securities are based on observable market prices.</w:t>
      </w:r>
    </w:p>
    <w:p>
      <w:pPr>
        <w:sectPr>
          <w:pgSz w:w="11900" w:h="16838" w:orient="portrait"/>
          <w:cols w:equalWidth="0" w:num="1">
            <w:col w:w="11340"/>
          </w:cols>
          <w:pgMar w:left="320" w:top="8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84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10. Net Income (Loss) Per Common Share</w:t>
      </w:r>
    </w:p>
    <w:p>
      <w:pPr>
        <w:spacing w:after="0" w:line="237"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following reflects the net income (loss) attributable to common shareholders and share data used in the basic and diluted earnings per share computations using the two class method: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318"/>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75"/>
        </w:trPr>
        <w:tc>
          <w:tcPr>
            <w:tcW w:w="52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(Amounts in thousands, except per share amounts)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2020</w:t>
            </w:r>
          </w:p>
        </w:tc>
      </w:tr>
      <w:tr>
        <w:trPr>
          <w:trHeight w:val="208"/>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(4,931)</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3,618</w:t>
            </w:r>
          </w:p>
        </w:tc>
        <w:tc>
          <w:tcPr>
            <w:tcW w:w="1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(12,006)</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(9,356)</w:t>
            </w: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Weighted-average common shares outstanding (Basic)</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45,272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45,112</w:t>
            </w:r>
          </w:p>
        </w:tc>
      </w:tr>
      <w:tr>
        <w:trPr>
          <w:trHeight w:val="214"/>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(Diluted)</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45,112</w:t>
            </w:r>
          </w:p>
        </w:tc>
      </w:tr>
      <w:tr>
        <w:trPr>
          <w:trHeight w:val="207"/>
        </w:trPr>
        <w:tc>
          <w:tcPr>
            <w:tcW w:w="5200" w:type="dxa"/>
            <w:vAlign w:val="bottom"/>
            <w:gridSpan w:val="2"/>
          </w:tcPr>
          <w:p>
            <w:pPr>
              <w:ind w:left="40"/>
              <w:spacing w:after="0"/>
              <w:rPr>
                <w:sz w:val="20"/>
                <w:szCs w:val="20"/>
                <w:color w:val="auto"/>
              </w:rPr>
            </w:pPr>
            <w:r>
              <w:rPr>
                <w:rFonts w:ascii="Arial" w:cs="Arial" w:eastAsia="Arial" w:hAnsi="Arial"/>
                <w:sz w:val="17"/>
                <w:szCs w:val="17"/>
                <w:color w:val="auto"/>
              </w:rPr>
              <w:t>Net income (loss) per common share (Basic and Diluted)</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64"/>
        </w:trPr>
        <w:tc>
          <w:tcPr>
            <w:tcW w:w="5200" w:type="dxa"/>
            <w:vAlign w:val="bottom"/>
            <w:gridSpan w:val="2"/>
          </w:tcPr>
          <w:p>
            <w:pPr>
              <w:ind w:left="20"/>
              <w:spacing w:after="0" w:line="164" w:lineRule="exact"/>
              <w:rPr>
                <w:sz w:val="20"/>
                <w:szCs w:val="20"/>
                <w:color w:val="auto"/>
              </w:rPr>
            </w:pPr>
            <w:r>
              <w:rPr>
                <w:rFonts w:ascii="Arial" w:cs="Arial" w:eastAsia="Arial" w:hAnsi="Arial"/>
                <w:sz w:val="17"/>
                <w:szCs w:val="17"/>
                <w:color w:val="auto"/>
                <w:w w:val="95"/>
              </w:rPr>
              <w:t>Anti-dilutive shares excluded from the calculation of diluted earnings per</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4"/>
        </w:trPr>
        <w:tc>
          <w:tcPr>
            <w:tcW w:w="5200" w:type="dxa"/>
            <w:vAlign w:val="bottom"/>
            <w:gridSpan w:val="2"/>
          </w:tcPr>
          <w:p>
            <w:pPr>
              <w:ind w:left="20"/>
              <w:spacing w:after="0" w:line="215" w:lineRule="exact"/>
              <w:rPr>
                <w:sz w:val="20"/>
                <w:szCs w:val="20"/>
                <w:color w:val="auto"/>
              </w:rPr>
            </w:pPr>
            <w:r>
              <w:rPr>
                <w:rFonts w:ascii="Arial" w:cs="Arial" w:eastAsia="Arial" w:hAnsi="Arial"/>
                <w:sz w:val="17"/>
                <w:szCs w:val="17"/>
                <w:color w:val="auto"/>
              </w:rPr>
              <w:t>share</w:t>
            </w:r>
            <w:r>
              <w:rPr>
                <w:rFonts w:ascii="Arial" w:cs="Arial" w:eastAsia="Arial" w:hAnsi="Arial"/>
                <w:sz w:val="21"/>
                <w:szCs w:val="21"/>
                <w:color w:val="auto"/>
                <w:vertAlign w:val="superscript"/>
              </w:rPr>
              <w:t>(a)</w:t>
            </w: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5,692</w:t>
            </w:r>
          </w:p>
        </w:tc>
      </w:tr>
      <w:tr>
        <w:trPr>
          <w:trHeight w:val="214"/>
        </w:trPr>
        <w:tc>
          <w:tcPr>
            <w:tcW w:w="5200" w:type="dxa"/>
            <w:vAlign w:val="bottom"/>
            <w:gridSpan w:val="2"/>
          </w:tcPr>
          <w:p>
            <w:pPr>
              <w:ind w:left="140"/>
              <w:spacing w:after="0"/>
              <w:rPr>
                <w:sz w:val="20"/>
                <w:szCs w:val="20"/>
                <w:color w:val="auto"/>
              </w:rPr>
            </w:pPr>
            <w:r>
              <w:rPr>
                <w:rFonts w:ascii="Arial" w:cs="Arial" w:eastAsia="Arial" w:hAnsi="Arial"/>
                <w:sz w:val="17"/>
                <w:szCs w:val="17"/>
                <w:color w:val="auto"/>
              </w:rPr>
              <w:t>Restricted stock units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9411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1185" cy="8255"/>
                    </a:xfrm>
                    <a:prstGeom prst="rect">
                      <a:avLst/>
                    </a:prstGeom>
                    <a:noFill/>
                  </pic:spPr>
                </pic:pic>
              </a:graphicData>
            </a:graphic>
          </wp:anchor>
        </w:drawing>
      </w:r>
    </w:p>
    <w:p>
      <w:pPr>
        <w:ind w:left="240" w:hanging="222"/>
        <w:spacing w:after="0"/>
        <w:tabs>
          <w:tab w:leader="none" w:pos="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Common equivalent shares are not included in the diluted per share calculation where the effect of their inclusion would be anti-dilutive.</w:t>
      </w:r>
    </w:p>
    <w:p>
      <w:pPr>
        <w:spacing w:after="0" w:line="304" w:lineRule="exact"/>
        <w:rPr>
          <w:rFonts w:ascii="Arial" w:cs="Arial" w:eastAsia="Arial" w:hAnsi="Arial"/>
          <w:sz w:val="17"/>
          <w:szCs w:val="17"/>
          <w:color w:val="auto"/>
        </w:rPr>
      </w:pPr>
    </w:p>
    <w:p>
      <w:pPr>
        <w:ind w:left="240" w:hanging="239"/>
        <w:spacing w:after="0"/>
        <w:tabs>
          <w:tab w:leader="none" w:pos="2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NexoBrid License and Supply Agreements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September 16, 2020, the Company announced acceptance of MediWound's submission of a biologics license application (BLA) for review by the U.S. Food and Drug Administration (FDA) to seek marketing approval for NexoBrid in the United States for the treatment of severe burns, and the FDA's assignment of a Prescription Drug User Fee Act (PDUFA) target date for the product of June 29, 2021. Subsequently, on June 29, 2021, the Company announced that MediWound received a complete response letter (CRL) from the FDA regarding the BLA, through which the FDA communicated to MediWound that it had completed its review of the BLA, as amended, and had determined that it cannot approve the BLA in its present form. The Company continues to work with MediWound, BARDA and the FDA to address the issues identified in the CRL, to prepare and submit a BLA resubmission to the FDA and to seek the potential approval of NexoBrid.</w:t>
      </w:r>
    </w:p>
    <w:p>
      <w:pPr>
        <w:spacing w:after="0" w:line="200"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Pursuant to the terms of the license agreement, if the BLA is approved, MediWound will transfer the BLA to the Company and the Company will market NexoBrid in the U.S. Both MediWound and the Company, under the supervision of a Central Steering Committee comprised of members of both companies will continue to guide the development of NexoBrid in North America. NexoBrid is approved in the European Union and other international markets and has been designated as an orphan biologic in the United States, European Union and other international markets.</w:t>
      </w:r>
    </w:p>
    <w:p>
      <w:pPr>
        <w:spacing w:after="0" w:line="203"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In May 2019, the Company paid MediWound $17.5 million in consideration for the license. The $17.5 million upfront payment was recorded to research and development expense during 2019, as the license was considered in process research and development. The Company is also obligated to pay MediWound $7.5 million, which is contingent upon U.S. regulatory approval of the BLA for NexoBrid and up to $125 million contingent upon meeting certain sales milestones, subsequent to approval. The first sales milestone of $7.5 million would be triggered when annual net sales of NexoBrid or improvements to it in North America exceed $75 million. As of September 30, 2021, the milestone payments were not yet probable and therefore, not considered a liability. The Company also will pay MediWound tiered royalties on net sales ranging from mid-high single-digit to mid-teen percentages, subject to customary reductions, following approval.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0" w:name="page21"/>
    <w:bookmarkEnd w:id="20"/>
    <w:p>
      <w:pPr>
        <w:jc w:val="both"/>
        <w:ind w:firstLine="227"/>
        <w:spacing w:after="0" w:line="251" w:lineRule="auto"/>
        <w:rPr>
          <w:sz w:val="20"/>
          <w:szCs w:val="20"/>
          <w:color w:val="auto"/>
        </w:rPr>
      </w:pPr>
      <w:r>
        <w:rPr>
          <w:rFonts w:ascii="Arial" w:cs="Arial" w:eastAsia="Arial" w:hAnsi="Arial"/>
          <w:sz w:val="17"/>
          <w:szCs w:val="17"/>
          <w:color w:val="auto"/>
        </w:rPr>
        <w:t>BARDA has committed to procure NexoBrid directly from MediWound under an emergency use authorization, and under such commitment the Company will receive a percentage of gross profit for sales directly to BARDA. If BARDA procures NexoBrid directly from the Company, the Company will pay a percentage of gross profits to MediWound on initial committed amounts and a royalty on any additional BARDA purchases of NexoBrid beyond the initial committed amount. As of September 30, 2021, the Company did not hold a direct contract or distribution agreement with BARDA. In the third quarter of 2020, BARDA accepted the first shipments of NexoBrid for emergency use preparedness per the agreement between BARDA and MediWound. During the three and nine months ended September 30, 2021, the Company recognized revenue related to the procurement of NexoBrid by BARDA of $0.8 million and $2.6 million, respectively, and $1.2 million during the three months ended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1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Company's purchase commitments consist of minimum purchase amounts of materials used in the Company's cell manufacturing process to manufacture its marketed cell therapy products. In addition, the Company also pays for usage of an offsite warehouse space. In February 2021, the terms of the warehouse operating agreement were extended through March 31, 2027. The Company records rent expense related to this agreement on a straight-line basis over the remaining term.</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Future minimum payments related to the Company's contractual obligations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 (in thousands)</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3"/>
              </w:rPr>
              <w:t>October 1, 2021 -</w:t>
            </w:r>
          </w:p>
        </w:tc>
        <w:tc>
          <w:tcPr>
            <w:tcW w:w="24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2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03"/>
              <w:spacing w:after="0" w:line="124"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5"/>
        </w:trPr>
        <w:tc>
          <w:tcPr>
            <w:tcW w:w="3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08"/>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Warehouse operating agreement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32"/>
        </w:trPr>
        <w:tc>
          <w:tcPr>
            <w:tcW w:w="350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7" w:lineRule="exact"/>
        <w:rPr>
          <w:sz w:val="20"/>
          <w:szCs w:val="20"/>
          <w:color w:val="auto"/>
        </w:rPr>
      </w:pPr>
    </w:p>
    <w:p>
      <w:pPr>
        <w:jc w:val="both"/>
        <w:ind w:firstLine="227"/>
        <w:spacing w:after="0" w:line="242"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We currently market two U.S. Food and Drug Administration (FDA)-approved autologous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autologous cellularized scaffold product indicated for the repair of symptomatic, single or multiple full-thickness cartilage defects of the knee with or without bone involvement in adults.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a registration-stage biological orphan product. In 2020, MediWound submitted to the FDA a biologics license application (BLA) seeking the approval of NexoBrid for eschar removal (debridement) in adults with deep partial-thickness and/or full-thickness thermal burns. The FDA subsequently accepted the BLA for filing and assigned a Prescription Drug User Fee Act (PDUFA) target date of June 29, 2021.</w:t>
      </w:r>
    </w:p>
    <w:p>
      <w:pPr>
        <w:spacing w:after="0" w:line="21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Subsequently, on June 29, 2021, we announced that MediWound received a complete response letter (CRL) from the FDA regarding the BLA for NexoBrid. The FDA communicated to MediWound that it had completed its review of the BLA, as amended, and had determined that it cannot approve the BLA in its present form. The FDA had identified issues related to the Chemistry, Manufacturing and Controls (CMC) section of the BLA and had requested that MediWound 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good clinical practice (GCP) inspections related to the DETECT study and requested that MediWound address questions regarding the impact of the observations on the study’s efficacy findings. The FDA also requested that MediWound provide a safety update as part of its BLA resubmission. The Company continues to work with MediWound, BARDA and the FDA to address the issues identified in the CRL, to prepare and submit a BLA resubmission to the FDA and to seek the potential approval of NexoBrid.</w:t>
      </w:r>
    </w:p>
    <w:p>
      <w:pPr>
        <w:spacing w:after="0" w:line="185" w:lineRule="exact"/>
        <w:rPr>
          <w:sz w:val="20"/>
          <w:szCs w:val="20"/>
          <w:color w:val="auto"/>
        </w:rPr>
      </w:pPr>
    </w:p>
    <w:p>
      <w:pPr>
        <w:ind w:right="240" w:firstLine="227"/>
        <w:spacing w:after="0" w:line="239" w:lineRule="auto"/>
        <w:rPr>
          <w:sz w:val="20"/>
          <w:szCs w:val="20"/>
          <w:color w:val="auto"/>
        </w:rPr>
      </w:pPr>
      <w:r>
        <w:rPr>
          <w:rFonts w:ascii="Arial" w:cs="Arial" w:eastAsia="Arial" w:hAnsi="Arial"/>
          <w:sz w:val="17"/>
          <w:szCs w:val="17"/>
          <w:color w:val="auto"/>
        </w:rPr>
        <w:t>See "Risk Factors - NexoBrid’s approval in the United States for the treatment of severe burns may be further delayed, and it may not be approved for use in the United States and other North American markets at all."</w:t>
      </w:r>
    </w:p>
    <w:p>
      <w:pPr>
        <w:spacing w:after="0" w:line="20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For patents related to MACI, we have one issued patent in the United States directed to a device related to MACI that is set to expire in November 2033, and one issued patent in the European Union set to expire in November 2034.</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33"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The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we have been exempted from government orders requiring the closure of workplaces and the cessation of business operations.</w:t>
      </w:r>
    </w:p>
    <w:p>
      <w:pPr>
        <w:spacing w:after="0" w:line="197"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Notwithstanding being an essential business, our business and operations have been, at times, adversely impacted by the effects of COVID-19. As a result of periodic restrictions placed on the performance of elective surgical procedures, we have experienced a significant increase in cancellations of scheduled MACI procedures as well as a slowdown in new MACI orders during March and April of 2020. The widespread suspension of surgical procedures impacted our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the pandemic’s direct and ancillary effects again began to cause some disruption to our MACI business. For example, following the cessation of COVID-19-related travel restrictions in many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5"/>
          <w:szCs w:val="15"/>
          <w:color w:val="auto"/>
        </w:rPr>
        <w:t>parts of the United States and the availability of vaccinations in May and June 2021 some MACI patients postponed or delayed treatment – opting instead to take vacation and/or travel. Further, a surge of new COVID-19 cases during the summer of 2021 caused by the spread of the “Delta” variant again caused disruptions to health care networks, the scheduling of elective surgeries and overall patient behavior. These effects were compounded by staffing shortages at many healthcare facilities across the United States during the same period. Consequently, and notwithstanding the widespread distribution of vaccines in the United States, these factors contributed to a slowdown of MACI procedures during the third quarter of 2021. Although hospitals are now better prepared for subsequent surges in COVID-19 patients, the risk remains that regional or local restrictions could again be placed on the performance of elective surgical procedures if the number of COVID-19 infections in the United States were to continue to rise, or if new or existing COVID-19 variants render current vaccine treatments ineffective.</w:t>
      </w:r>
    </w:p>
    <w:p>
      <w:pPr>
        <w:spacing w:after="0" w:line="180"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Because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 Epicel procedure volumes did experience a slow-down during the second quarter of 2020, however, the reduction was less pronounced than that observed with MACI. Further reductions could be observed in the future, based on the degree of restrictions imposed.</w:t>
      </w:r>
    </w:p>
    <w:p>
      <w:pPr>
        <w:spacing w:after="0" w:line="188"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At the outset of the pandemic, we put in place a comprehensive workplace protection plan, which instituted protective measures in response to COVID-19. Our workplace protection plan closely follows guidance issued by the Centers for Disease Control and Prevention (CDC) and complies with applicable federal and state law. Because vaccines designed to protect against COVID-19 have become readily available and the rates of COVID-19 infections, hospitalizations and deaths in the majority of the U.S. have generally declined since their height at the beginning of 2021, the CDC and the Occupational Safety and Health Administration (OSHA) have altered their guidance for Americans, and emergency orders and mandatory workplace protocols in Michigan and Massachusetts have either been rescinded or greatly reduced – to include the lifting of all capacity limitations on businesses in both states. Accordingly, we have begun a return to more normal workplace operations, but will continue to modify our workplace protection plan, and will reinstitute protective measures for our workforce as necessary.</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reviewing our policies and procedures regularly as the pandemic evolves and may take additional actions to the extent required.</w:t>
      </w:r>
    </w:p>
    <w:p>
      <w:pPr>
        <w:spacing w:after="0" w:line="233"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At this time, we are not aware of COVID-19-related impacts on our distributors, operations or third-party service providers’ ability to manage patient cases.</w:t>
      </w:r>
    </w:p>
    <w:p>
      <w:pPr>
        <w:spacing w:after="0" w:line="180"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We believe it is possible that we could continue to experience variable impacts on our business, should the current resurgence of COVID-19 in various areas of the United States continue for an extended period, or should a new resurgence occur in the future. Measures taken to limit the impact of COVID-19 at the international, national and local levels, including the availability and effectiveness of COVID-19 vaccines, shelter-in-place orders, social distancing measures, travel bans and restrictions, and business and government shutdowns, may again create significant negative economic impacts on a global basis. Given that uncertainty, we cannot reliably estimate the extent to which the COVID-19 pandemic may continue to impact utilization and revenue of our products for the remainder of 2021 and beyond.</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a discussion of additional risks associated with COVID-19, please see 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Product Portfolio</w:t>
      </w:r>
    </w:p>
    <w:p>
      <w:pPr>
        <w:spacing w:after="0" w:line="212"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North America, following regulatory approval. As previously mentioned, MediWound has submitted a BLA to the FDA seeking commercial approval of NexoBrid. On June 29, 2021, we announced that MediWound had received a CRL in response to the BLA and that the Company is committed to working with MediWound and the FDA to respond to the CRL to seek the potential approval of NexoBrid.</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MACI</w:t>
      </w:r>
    </w:p>
    <w:p>
      <w:pPr>
        <w:spacing w:after="0" w:line="21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MACI is a third-generation autologous chondrocyte implantation (ACI) product for the repair of symptomatic, single or multiple full-thickness cartilage defects of the knee with or without bone involvement in adults.</w:t>
      </w:r>
    </w:p>
    <w:p>
      <w:pPr>
        <w:spacing w:after="0" w:line="191"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Our target audience of U.S. physicians is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the date of this report, we currently have 76 MACI sales representatives to enable the sales force to reach our target audience.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 For the three and nine months ended, September 30, 2021, net revenue for MACI was $23.9 million and $74.2 million, respectively, and $24.4 million and $59.7 million, respectively, for the same periods in 2020.</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Epicel</w:t>
      </w:r>
    </w:p>
    <w:p>
      <w:pPr>
        <w:spacing w:after="0" w:line="212"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Epicel is a permanent skin replacement for deep dermal or full-thickness burns greater than or equal to 30% of TBSA. Epicel is regulated by the Center for Biologics Evaluation and Research, or CBER of the U.S. Food and Drug Administration under medical device authorities, and is the only FDA-approved cultured epidermal autograft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86"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2019. We currently have a thirteen-person field force comprised of seven (7) account managers and six (6) burn clinical specialists, led by a regional and a national sales director. For the three and nine months ended September 30, 2021, net revenue for Epicel was $9.8 million and $31.8 million, respectively, and $6.7 million and $18.0 million, respectively, for the same periods in 2020.</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NexoBrid</w:t>
      </w:r>
    </w:p>
    <w:p>
      <w:pPr>
        <w:spacing w:after="0" w:line="237"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Our portfolio also includes NexoBrid, a registration-stage, topically-administered biological product that enzymatically removes nonviable burn tissue, or eschar, in patients with deep partial and full-thickness thermal burns. On June 30, 2020, we announced MediWound's submission of a BLA to the FDA seeking the approval of NexoBrid. On June 29, 2021, the Company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7"/>
          <w:szCs w:val="17"/>
          <w:color w:val="auto"/>
        </w:rPr>
        <w:t>announced that MediWound received a CRL from the FDA regarding the BLA, through which the FDA communicated to MediWound that it had completed its review of the BLA, as amended, and had determined that it cannot approve the BLA in its present form. The Company announced further that it is committed to working with MediWound and the FDA on the next steps to address the issues identified in the CRL to seek the potential approval of NexoBrid. See "Risk Factors - NexoBrid’s approval in the United States for the treatment of severe burns may be further delayed, and it may not be approved for use in the United States and other North American markets at all."</w:t>
      </w:r>
    </w:p>
    <w:p>
      <w:pPr>
        <w:spacing w:after="0" w:line="205"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NexoBrid is approved in the European Union and other international markets and has been designated as an orphan biologic in the United States, European Union and other international markets. Pursuant to the terms of our existing license agreement, if the BLA is approved, MediWound will transfer the BLA to Vericel and Vericel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 For the three and nine months ended September 30, 2021, $0.8 million and $2.6 million, respectively, of net revenue associated with delivery of NexoBrid to BARDA was recorded, and $1.2 million during the three months ended September 30, 2020.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(loss)</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Our net loss for the three and nine months ended September 30, 2021 totaled $4.9 million and $12.0 million, respectively, and for the same periods of 2020, we had net income of $3.6 million and net loss of $9.4 million,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78"/>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r>
      <w:tr>
        <w:trPr>
          <w:trHeight w:val="208"/>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78,950</w:t>
            </w:r>
          </w:p>
        </w:tc>
      </w:tr>
      <w:tr>
        <w:trPr>
          <w:trHeight w:val="21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Cost of product sales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28,369</w:t>
            </w:r>
          </w:p>
        </w:tc>
      </w:tr>
      <w:tr>
        <w:trPr>
          <w:trHeight w:val="207"/>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50,581</w:t>
            </w:r>
          </w:p>
        </w:tc>
      </w:tr>
      <w:tr>
        <w:trPr>
          <w:trHeight w:val="214"/>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60,498</w:t>
            </w:r>
          </w:p>
        </w:tc>
      </w:tr>
      <w:tr>
        <w:trPr>
          <w:trHeight w:val="207"/>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(9,917)</w:t>
            </w:r>
          </w:p>
        </w:tc>
      </w:tr>
      <w:tr>
        <w:trPr>
          <w:trHeight w:val="214"/>
        </w:trPr>
        <w:tc>
          <w:tcPr>
            <w:tcW w:w="5240" w:type="dxa"/>
            <w:vAlign w:val="bottom"/>
          </w:tcPr>
          <w:p>
            <w:pPr>
              <w:ind w:left="120"/>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561</w:t>
            </w:r>
          </w:p>
        </w:tc>
      </w:tr>
      <w:tr>
        <w:trPr>
          <w:trHeight w:val="214"/>
        </w:trPr>
        <w:tc>
          <w:tcPr>
            <w:tcW w:w="5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expense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2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(12,006)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(9,356)</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net revenue increase for the three months ended September 30, 2021 compared to the same period in 2020, was driven by Epicel volume growth. The net revenue increase for the nine months ended September 30, 2021 compared to the same period in 2020, was driven by volume growth for both MACI and Epicel. Additionally, for the three and nine months ended September 30, 2021, we recorded $0.8 million and $2.6 million, respectively, of revenue associated with delivery of NexoBrid to BARDA for emergency response preparedness.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revenue by product for the three and nine months ended September 30, 2021 and 2020 are shown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2660" w:type="dxa"/>
            <w:vAlign w:val="bottom"/>
            <w:gridSpan w:val="4"/>
          </w:tcPr>
          <w:p>
            <w:pPr>
              <w:jc w:val="right"/>
              <w:ind w:right="399"/>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product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MACI</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74,205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59,747</w:t>
            </w: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7"/>
                <w:szCs w:val="17"/>
                <w:color w:val="auto"/>
              </w:rPr>
              <w:t>31,820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17,965</w:t>
            </w: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2,568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r>
      <w:tr>
        <w:trPr>
          <w:trHeight w:val="207"/>
        </w:trPr>
        <w:tc>
          <w:tcPr>
            <w:tcW w:w="520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Total Revenue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32,258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108,593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78,950</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282"/>
        <w:spacing w:after="0" w:line="276"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The effects of the COVID-19 pandemic has disrupted the normal seasonality of our MACI business at times over the past nineteen months. These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included, among others, the temporary limitation of elective surgical procedures throughout the country, the inability of our Clinical Account Specialists to call on surgeon customers and, we believe, a reduction in the number of patients seeking treatment for cartilage damage. In the four years preceding 2020, ACI sales volumes from the first through the fourth quarter on average represented 19% (16%-24% range), 23% (21%-25% range), 22%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5" w:name="page26"/>
    <w:bookmarkEnd w:id="25"/>
    <w:p>
      <w:pPr>
        <w:jc w:val="both"/>
        <w:spacing w:after="0" w:line="252" w:lineRule="auto"/>
        <w:rPr>
          <w:sz w:val="20"/>
          <w:szCs w:val="20"/>
          <w:color w:val="auto"/>
        </w:rPr>
      </w:pPr>
      <w:r>
        <w:rPr>
          <w:rFonts w:ascii="Arial" w:cs="Arial" w:eastAsia="Arial" w:hAnsi="Arial"/>
          <w:sz w:val="17"/>
          <w:szCs w:val="17"/>
          <w:color w:val="auto"/>
        </w:rPr>
        <w:t>(20%-23% range) and 36% (32%-38% range) respectively, of total annual volumes. MACI orders are consistently stronger in the fourth quarter due to several factors including insurance deductible limits and the time of year patients prefer to start rehabilitation. Due to COVID-19, the seasonality in 2020 did not follow our historical patterns, and seasonality in 2021 has been and could continue to be impacted by COVID-19 related factors, as well - such as patient behavior and vacations and the spread of the COVID-19 Delta variant. Due to the low incidence and variable occurrence of severe burns, Epicel revenue has inherent variability from quarter-to-quarter and does not exhibit significant seasonality. Over the past four years, Epicel revenue in a single quarter has ranged from as high as 38% to as low as 18% of annual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 and Gross Profit Ratio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5"/>
                <w:szCs w:val="15"/>
                <w:color w:val="auto"/>
              </w:rPr>
            </w:pPr>
          </w:p>
        </w:tc>
        <w:tc>
          <w:tcPr>
            <w:tcW w:w="2760" w:type="dxa"/>
            <w:vAlign w:val="bottom"/>
            <w:gridSpan w:val="4"/>
          </w:tcPr>
          <w:p>
            <w:pPr>
              <w:jc w:val="right"/>
              <w:ind w:right="462"/>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2020</w:t>
            </w:r>
          </w:p>
        </w:tc>
      </w:tr>
      <w:tr>
        <w:trPr>
          <w:trHeight w:val="20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rPr>
              <w:t>22,098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22,471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rPr>
              <w:t>71,993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50,581</w:t>
            </w: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Gross profit %</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64 %</w:t>
            </w:r>
          </w:p>
        </w:tc>
      </w:tr>
    </w:tbl>
    <w:p>
      <w:pPr>
        <w:spacing w:after="0" w:line="291"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Gross profit decreased for the three months ended September 30, 2021 compared to the same period in 2020 primarily due to higher stock-based compensation expense, an increase in manufacturing headcount and a decrease in MACI sales driven by the impact of MACI implant scheduling that occurred due to the Delta variant's spread and its disruption to healthcare systems. Gross profit increased for the nine months ended September 30, 2021, primarily due to continued growth of both products, the impacts of the COVID-19 pandemic in the prior year, and increased units of procured NexoBrid to BARDA that led to higher revenue related to NexoBrid, compared to the prior period in 2020.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costs</w:t>
            </w:r>
          </w:p>
        </w:tc>
        <w:tc>
          <w:tcPr>
            <w:tcW w:w="920" w:type="dxa"/>
            <w:vAlign w:val="bottom"/>
            <w:shd w:val="clear" w:color="auto" w:fill="CCEEFF"/>
          </w:tcPr>
          <w:p>
            <w:pPr>
              <w:jc w:val="right"/>
              <w:ind w:right="74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9,902</w:t>
            </w: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following table summarizes research and development expenses which include license fees, materials, professional fees and the approximate allocation of employee-related salary and fringe benefit costs for our research and development projects: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79"/>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ACI</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5,425</w:t>
            </w:r>
          </w:p>
        </w:tc>
      </w:tr>
      <w:tr>
        <w:trPr>
          <w:trHeight w:val="214"/>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2,397</w:t>
            </w:r>
          </w:p>
        </w:tc>
      </w:tr>
      <w:tr>
        <w:trPr>
          <w:trHeight w:val="21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2,080</w:t>
            </w:r>
          </w:p>
        </w:tc>
      </w:tr>
      <w:tr>
        <w:trPr>
          <w:trHeight w:val="207"/>
        </w:trPr>
        <w:tc>
          <w:tcPr>
            <w:tcW w:w="5260" w:type="dxa"/>
            <w:vAlign w:val="bottom"/>
            <w:gridSpan w:val="2"/>
          </w:tcPr>
          <w:p>
            <w:pPr>
              <w:ind w:left="140"/>
              <w:spacing w:after="0"/>
              <w:rPr>
                <w:sz w:val="20"/>
                <w:szCs w:val="20"/>
                <w:color w:val="auto"/>
              </w:rPr>
            </w:pPr>
            <w:r>
              <w:rPr>
                <w:rFonts w:ascii="Arial" w:cs="Arial" w:eastAsia="Arial" w:hAnsi="Arial"/>
                <w:sz w:val="17"/>
                <w:szCs w:val="17"/>
                <w:color w:val="auto"/>
              </w:rPr>
              <w:t>Total research and development costs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9,902</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Research and development expenses for the three months ended September 30, 2021 were $4.3 million, compared to $2.9 million for the same period in 2020. Research and development costs continue to be centered around process development and regulatory and medical affairs for MACI and Epicel. The increase is primarily due to an increase of $0.7 million in stock-based compensation expense compared to the same period a year ago.</w:t>
      </w:r>
    </w:p>
    <w:p>
      <w:pPr>
        <w:spacing w:after="0" w:line="184"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Research and development expenses for the nine months ended September 30, 2021 were $12.4 million, compared to $9.9 million for the same period in 2020. The increase is primarily due to an increase of $1.8 million in stock-based compensation expense compared to the same period a year ago.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384"/>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r>
      <w:tr>
        <w:trPr>
          <w:trHeight w:val="20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costs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50,596</w:t>
            </w:r>
          </w:p>
        </w:tc>
      </w:tr>
    </w:tbl>
    <w:p>
      <w:pPr>
        <w:spacing w:after="0" w:line="265" w:lineRule="exact"/>
        <w:rPr>
          <w:sz w:val="20"/>
          <w:szCs w:val="20"/>
          <w:color w:val="auto"/>
        </w:rPr>
      </w:pPr>
    </w:p>
    <w:p>
      <w:pPr>
        <w:ind w:firstLine="227"/>
        <w:spacing w:after="0" w:line="307" w:lineRule="auto"/>
        <w:rPr>
          <w:sz w:val="20"/>
          <w:szCs w:val="20"/>
          <w:color w:val="auto"/>
        </w:rPr>
      </w:pPr>
      <w:r>
        <w:rPr>
          <w:rFonts w:ascii="Arial" w:cs="Arial" w:eastAsia="Arial" w:hAnsi="Arial"/>
          <w:sz w:val="15"/>
          <w:szCs w:val="15"/>
          <w:color w:val="auto"/>
        </w:rPr>
        <w:t>Selling, general and administrative expenses for the three months ended September 30, 2021 were $22.8 million compared to $16.0 million for the same period in 2020. The increase in selling, general and administrative expenses during the three months ended September 30, 2021, compared to the same period in 2020, is</w:t>
      </w:r>
    </w:p>
    <w:p>
      <w:pPr>
        <w:spacing w:after="0"/>
        <w:rPr>
          <w:sz w:val="20"/>
          <w:szCs w:val="20"/>
          <w:color w:val="auto"/>
        </w:rPr>
      </w:pPr>
      <w:r>
        <w:rPr>
          <w:rFonts w:ascii="Arial" w:cs="Arial" w:eastAsia="Arial" w:hAnsi="Arial"/>
          <w:sz w:val="17"/>
          <w:szCs w:val="17"/>
          <w:color w:val="auto"/>
        </w:rPr>
        <w:t>primarily due to a $4.6 million increase in stock-based compensation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jc w:val="both"/>
        <w:ind w:firstLine="227"/>
        <w:spacing w:after="0" w:line="253" w:lineRule="auto"/>
        <w:rPr>
          <w:sz w:val="20"/>
          <w:szCs w:val="20"/>
          <w:color w:val="auto"/>
        </w:rPr>
      </w:pPr>
      <w:r>
        <w:rPr>
          <w:rFonts w:ascii="Arial" w:cs="Arial" w:eastAsia="Arial" w:hAnsi="Arial"/>
          <w:sz w:val="17"/>
          <w:szCs w:val="17"/>
          <w:color w:val="auto"/>
        </w:rPr>
        <w:t>Selling, general and administrative expenses for the nine months ended September 30, 2021 were $71.6 million, compared to $50.6 million for the same period in 2020. The increase in selling, general and administrative expenses during the nine months ended September 30, 2021, compared to the same period in 2020, is primarily due to a $12.1 million increase in stock-based compensation expenses, a $1.0 million increase in MACI expenses driven by the sales force expansion in 2020, a $1.2 million increase in patient reimbursement support services as a result of higher MACI volume, an increase in headcount and a recovery of marketing activities that were partially reduced during 2020, because of COVID-19.</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r>
      <w:tr>
        <w:trPr>
          <w:trHeight w:val="20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783"/>
              <w:spacing w:after="0"/>
              <w:rPr>
                <w:sz w:val="20"/>
                <w:szCs w:val="20"/>
                <w:color w:val="auto"/>
              </w:rPr>
            </w:pPr>
            <w:r>
              <w:rPr>
                <w:rFonts w:ascii="Arial" w:cs="Arial" w:eastAsia="Arial" w:hAnsi="Arial"/>
                <w:sz w:val="17"/>
                <w:szCs w:val="17"/>
                <w:color w:val="auto"/>
                <w:w w:val="84"/>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r>
      <w:tr>
        <w:trPr>
          <w:trHeight w:val="214"/>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743"/>
              <w:spacing w:after="0"/>
              <w:rPr>
                <w:sz w:val="20"/>
                <w:szCs w:val="20"/>
                <w:color w:val="auto"/>
              </w:rPr>
            </w:pPr>
            <w:r>
              <w:rPr>
                <w:rFonts w:ascii="Arial" w:cs="Arial" w:eastAsia="Arial" w:hAnsi="Arial"/>
                <w:sz w:val="17"/>
                <w:szCs w:val="17"/>
                <w:color w:val="auto"/>
                <w:w w:val="92"/>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9"/>
              </w:rPr>
              <w:t>(18)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32"/>
        </w:trPr>
        <w:tc>
          <w:tcPr>
            <w:tcW w:w="5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other income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783"/>
              <w:spacing w:after="0"/>
              <w:rPr>
                <w:sz w:val="20"/>
                <w:szCs w:val="20"/>
                <w:color w:val="auto"/>
              </w:rPr>
            </w:pPr>
            <w:r>
              <w:rPr>
                <w:rFonts w:ascii="Arial" w:cs="Arial" w:eastAsia="Arial" w:hAnsi="Arial"/>
                <w:sz w:val="17"/>
                <w:szCs w:val="17"/>
                <w:color w:val="auto"/>
                <w:w w:val="84"/>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101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decrease in other income for the three and nine months ended September 30, 2021, compared to the same periods in 2020 is due primarily to the decreasing rates of return on our investments in various marketable debt securities compared to the prior period.</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Stock Compensation</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Non-cash stock-based compensation expense included in cost of product sales,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640" w:type="dxa"/>
            <w:vAlign w:val="bottom"/>
            <w:gridSpan w:val="4"/>
          </w:tcPr>
          <w:p>
            <w:pPr>
              <w:jc w:val="right"/>
              <w:ind w:right="379"/>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r>
      <w:tr>
        <w:trPr>
          <w:trHeight w:val="20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product sales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r>
      <w:tr>
        <w:trPr>
          <w:trHeight w:val="214"/>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7"/>
                <w:szCs w:val="17"/>
                <w:color w:val="auto"/>
              </w:rPr>
              <w:t>1,126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1,455</w:t>
            </w:r>
          </w:p>
        </w:tc>
      </w:tr>
      <w:tr>
        <w:trPr>
          <w:trHeight w:val="21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6,356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7,823</w:t>
            </w:r>
          </w:p>
        </w:tc>
      </w:tr>
      <w:tr>
        <w:trPr>
          <w:trHeight w:val="207"/>
        </w:trPr>
        <w:tc>
          <w:tcPr>
            <w:tcW w:w="52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Total non-cash stock-based compensation expense</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8,596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10,819</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338" w:lineRule="auto"/>
        <w:rPr>
          <w:sz w:val="20"/>
          <w:szCs w:val="20"/>
          <w:color w:val="auto"/>
        </w:rPr>
      </w:pPr>
      <w:r>
        <w:rPr>
          <w:rFonts w:ascii="Arial" w:cs="Arial" w:eastAsia="Arial" w:hAnsi="Arial"/>
          <w:sz w:val="15"/>
          <w:szCs w:val="15"/>
          <w:color w:val="auto"/>
        </w:rPr>
        <w:t>The increase in stock-based compensation expense for the three and nine months ended September 30, 2021 compared to the same periods in 2020, is due primarily to increases in stock prices which impact the fair value of the options and restricted stock units awarded and the expense recognized in the period.</w:t>
      </w:r>
    </w:p>
    <w:p>
      <w:pPr>
        <w:spacing w:after="0" w:line="145"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September 30, 2021, there was approximately $43.5 million of total unrecognized compensation cost related to non-vested service-based stock options granted under the 2019 Plan and the Prior Plans, compared to $13.1 million as of December 31, 2020. That cost is expected to be recognized over a weighted-average period of 3.2 years.</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September 30, 2021, there was approximately $10.6 million of total unrecognized compensation cost related to non-vested restricted stock units granted under the 2019 Plan and Prior Plans, compared to $2.1 million as of December 31, 2020. That cost is expected to be recognized over a weighted-average period of 3.1 years. The estimated unrecognized compensation cost is not reduced by expected forfeitures.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and product candidates. To date, we have financed our operations primarily through cash received through Epicel and MACI sales, debt and public and private sales of our equity securities. We generated $18.5 million in operating cash flows during the nine months ended September 30, 2021, and we may finance our operations through the sales of equity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3"/>
                <w:szCs w:val="13"/>
                <w:b w:val="1"/>
                <w:bCs w:val="1"/>
                <w:color w:val="auto"/>
              </w:rPr>
              <w:t>Nine Months Ended September 30,</w:t>
            </w:r>
          </w:p>
        </w:tc>
      </w:tr>
      <w:tr>
        <w:trPr>
          <w:trHeight w:val="175"/>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208"/>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6,235</w:t>
            </w:r>
          </w:p>
        </w:tc>
      </w:tr>
      <w:tr>
        <w:trPr>
          <w:trHeight w:val="214"/>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Cash provided by (used for) investing activities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8,518</w:t>
            </w:r>
          </w:p>
        </w:tc>
      </w:tr>
      <w:tr>
        <w:trPr>
          <w:trHeight w:val="214"/>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r>
      <w:tr>
        <w:trPr>
          <w:trHeight w:val="207"/>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Net increase in cash, cash equivalents and restricted cash</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16,740</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Our cash and cash equivalents totaled $54.6 million, short-term investments totaled $43.7 million and long-term investments totaled $20.2 million as of September 30, 2021. The $18.5 million of cash provided by operations during the nine months ended September 30, 2021 was primarily the result of non-cash charges of $26.5 million related to stock compensation expense, $3.4 million of operating lease amortization and $2.2 million in depreciation and amortization expense, which offset our $12.0 million net loss. Additionally, there was a decrease in accounts receivable of $5.6 million and an increase in inventory of $3.7 million primarily to meet increased production needs.</w:t>
      </w:r>
    </w:p>
    <w:p>
      <w:pPr>
        <w:spacing w:after="0" w:line="205"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Our cash and cash equivalents totaled $43.6 million and short-term investments totaled $42.0 million as of September 30, 2020. The $6.2 million of cash provided by operations during the nine months ended September 30, 2020 was the primarily the result of non-cash charges of $10.8 million in stock compensation expense and $1.6 million in depreciation and amortization expense, which offset our $9.4 million net loss. Additionally, there was a decrease in accounts receivable of $6.0 million.</w:t>
      </w:r>
    </w:p>
    <w:p>
      <w:pPr>
        <w:spacing w:after="0" w:line="166"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The change in cash used in investing activities during the nine months ended September 30, 2021 was the result of $50.9 million of investment sales and maturities offset by $49.4 million in investment purchases and property and equipment purchases of $6.9 million primarily for manufacturing upgrades through September 30, 2021. The cash provided by investing activities for the nine months ended September 30, 2020 was the result of $39.1 million of investment sales and maturities offset by $29.0 million in short term investment purchases, and property plant and equipment purchases of $1.6 million primarily for manufacturing upgrades and leasehold improvements.</w:t>
      </w:r>
    </w:p>
    <w:p>
      <w:pPr>
        <w:spacing w:after="0" w:line="205"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The change in cash provided by financing activities was the result of net proceeds from the exercise of stock options and the employee stock purchase plan of $9.7 million, partially offset by the payment of employee withholding taxes related to the vesting of restricted stock units of $1.6 million during the nine months ended September 30, 2021. The change in cash provided from financing activities during the nine months ended September 30, 2020 was the result of proceeds from the exercise of stock options and the employee stock purchase plan of $2.2 million, slightly offset by the payment of employee withholding taxes related to the vesting of restricted stock units of $0.2 million.</w:t>
      </w:r>
    </w:p>
    <w:p>
      <w:pPr>
        <w:spacing w:after="0" w:line="205"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We believe that our current cash on hand, cash equivalents and investments will be sufficient to support our current operations through at least 12 months from the issuance of these Condensed Consolidated Financial Statements. However, the ongoing effects of the COVID-19 pandemic continue to evolve and may result in irrecoverable losses from customers.</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6"/>
          <w:szCs w:val="16"/>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September 30, 2021, we have sold no shares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8" w:name="page29"/>
    <w:bookmarkEnd w:id="28"/>
    <w:p>
      <w:pPr>
        <w:jc w:val="both"/>
        <w:ind w:firstLine="227"/>
        <w:spacing w:after="0" w:line="252" w:lineRule="auto"/>
        <w:rPr>
          <w:sz w:val="20"/>
          <w:szCs w:val="20"/>
          <w:color w:val="auto"/>
        </w:rPr>
      </w:pPr>
      <w:r>
        <w:rPr>
          <w:rFonts w:ascii="Arial" w:cs="Arial" w:eastAsia="Arial" w:hAnsi="Arial"/>
          <w:sz w:val="17"/>
          <w:szCs w:val="17"/>
          <w:color w:val="auto"/>
        </w:rPr>
        <w:t>If revenue declines for a sustained period, we may need to access additional capital; however, we may not be able to obtain financing on acceptable terms or at all. Market volatility could also adversely impact our ability to access financing when needed. The terms of any financing may adversely affect the holdings or the rights of our shareholders. Actual cash requirements may differ from projections and will depend on many factors, including any future impacts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September 30, 2021, we were not party to any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2"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are prepared in accordance with accounting principles generally accepted in the United States. The preparation of these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w:t>
      </w:r>
      <w:r>
        <w:rPr>
          <w:rFonts w:ascii="Arial" w:cs="Arial" w:eastAsia="Arial" w:hAnsi="Arial"/>
          <w:sz w:val="16"/>
          <w:szCs w:val="16"/>
          <w:color w:val="222222"/>
        </w:rPr>
        <w:t>Condensed Consolidated Financial Statements</w:t>
      </w:r>
      <w:r>
        <w:rPr>
          <w:rFonts w:ascii="Arial" w:cs="Arial" w:eastAsia="Arial" w:hAnsi="Arial"/>
          <w:sz w:val="16"/>
          <w:szCs w:val="16"/>
          <w:color w:val="auto"/>
        </w:rPr>
        <w:t xml:space="preserve"> and disclosures based on varying assumptions. The accounting policies discussed in our Annual Report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nine months ended September 30, 2021.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This report, including the documents incorporated by reference herein, contain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197"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 These forward-looking statements include statements regarding:</w:t>
      </w:r>
    </w:p>
    <w:p>
      <w:pPr>
        <w:spacing w:after="0" w:line="155" w:lineRule="exact"/>
        <w:rPr>
          <w:sz w:val="20"/>
          <w:szCs w:val="20"/>
          <w:color w:val="auto"/>
        </w:rPr>
      </w:pPr>
    </w:p>
    <w:p>
      <w:pPr>
        <w:ind w:left="1200" w:hanging="29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manufacturing and facility capabilities;</w:t>
      </w:r>
    </w:p>
    <w:p>
      <w:pPr>
        <w:spacing w:after="0" w:line="18" w:lineRule="exact"/>
        <w:rPr>
          <w:rFonts w:ascii="Arial" w:cs="Arial" w:eastAsia="Arial" w:hAnsi="Arial"/>
          <w:sz w:val="17"/>
          <w:szCs w:val="17"/>
          <w:color w:val="auto"/>
        </w:rPr>
      </w:pPr>
    </w:p>
    <w:p>
      <w:pPr>
        <w:ind w:left="1200" w:hanging="29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strategic collaborations with others;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capital needs and financing sources;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adequacy of existing capital to support operations for a specified time;</w:t>
      </w:r>
    </w:p>
    <w:p>
      <w:pPr>
        <w:spacing w:after="0" w:line="6" w:lineRule="exact"/>
        <w:rPr>
          <w:rFonts w:ascii="Arial" w:cs="Arial" w:eastAsia="Arial" w:hAnsi="Arial"/>
          <w:sz w:val="17"/>
          <w:szCs w:val="17"/>
          <w:color w:val="auto"/>
        </w:rPr>
      </w:pPr>
    </w:p>
    <w:p>
      <w:pPr>
        <w:ind w:left="1200" w:hanging="291"/>
        <w:spacing w:after="0" w:line="234"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reimbursement for our products;</w:t>
      </w:r>
    </w:p>
    <w:p>
      <w:pPr>
        <w:ind w:left="1200" w:hanging="29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a response to the FDA’s CRL regarding the NexoBrid BLA;</w:t>
      </w:r>
    </w:p>
    <w:p>
      <w:pPr>
        <w:spacing w:after="0" w:line="4" w:lineRule="exact"/>
        <w:rPr>
          <w:rFonts w:ascii="Arial" w:cs="Arial" w:eastAsia="Arial" w:hAnsi="Arial"/>
          <w:sz w:val="17"/>
          <w:szCs w:val="17"/>
          <w:color w:val="auto"/>
        </w:rPr>
      </w:pPr>
    </w:p>
    <w:p>
      <w:pPr>
        <w:ind w:left="1200" w:hanging="291"/>
        <w:spacing w:after="0" w:line="236"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17"/>
          <w:szCs w:val="17"/>
          <w:color w:val="auto"/>
        </w:rPr>
        <w:t>the timing of the FDA’s review of any resubmission of the NexoBrid BLA;</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expectations regarding approval by the FDA of the NexoBrid BLA;</w:t>
      </w:r>
    </w:p>
    <w:p>
      <w:pPr>
        <w:spacing w:after="0" w:line="18"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development and marketing plans;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features and successes of our therapies;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clinical trial plans, including publication thereof;</w:t>
      </w:r>
    </w:p>
    <w:p>
      <w:pPr>
        <w:spacing w:after="0" w:line="6" w:lineRule="exact"/>
        <w:rPr>
          <w:rFonts w:ascii="Arial" w:cs="Arial" w:eastAsia="Arial" w:hAnsi="Arial"/>
          <w:sz w:val="17"/>
          <w:szCs w:val="17"/>
          <w:color w:val="auto"/>
        </w:rPr>
      </w:pPr>
    </w:p>
    <w:p>
      <w:pPr>
        <w:ind w:left="1220" w:right="140" w:hanging="311"/>
        <w:spacing w:after="0" w:line="247"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effects of the COVID-19 pandemic on our business, including economic slowdowns or recessions, impact to our operations or to the healthcare industry generally, which could reduce demand for our products;</w:t>
      </w:r>
    </w:p>
    <w:p>
      <w:pPr>
        <w:spacing w:after="0" w:line="1"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anticipation of future losses;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replacement of manufacturing sources;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commercialization plans; or</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revenue expectations and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As of September 30, 2021, we held marketable debt securities, which are classified as available-for-sale and carried at fair value in the accompanying Condensed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$0.4 million and $0.5 million decrease in the fair value of our investment portfolio as of September 30, 2021 and December 31, 2020, respectively.</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 xml:space="preserve">We have evaluated the potential credit risk exposure for our accounts receivable and available-for sale investment securities in accordance with </w:t>
      </w:r>
      <w:r>
        <w:rPr>
          <w:rFonts w:ascii="Arial" w:cs="Arial" w:eastAsia="Arial" w:hAnsi="Arial"/>
          <w:sz w:val="17"/>
          <w:szCs w:val="17"/>
          <w:i w:val="1"/>
          <w:iCs w:val="1"/>
          <w:color w:val="auto"/>
        </w:rPr>
        <w:t>ASC 326,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w:t>
      </w:r>
      <w:r>
        <w:rPr>
          <w:rFonts w:ascii="Arial" w:cs="Arial" w:eastAsia="Arial" w:hAnsi="Arial"/>
          <w:sz w:val="17"/>
          <w:szCs w:val="17"/>
          <w:color w:val="auto"/>
        </w:rPr>
        <w:t>See note 4 and note 8, for further discussion.</w:t>
      </w:r>
    </w:p>
    <w:p>
      <w:pPr>
        <w:spacing w:after="0" w:line="191"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7"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2021, the Company’s Certifying Officers concluded that the Company’s disclosure controls and procedures were effective.</w:t>
      </w:r>
    </w:p>
    <w:p>
      <w:pPr>
        <w:spacing w:after="0" w:line="184"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7"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During the three months ended September 30, 2021,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are currently not party to any material legal proceedings, although from time to time we may become involved in disputes in connection with the operation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7" w:lineRule="exact"/>
        <w:rPr>
          <w:sz w:val="20"/>
          <w:szCs w:val="20"/>
          <w:color w:val="auto"/>
        </w:rPr>
      </w:pPr>
    </w:p>
    <w:p>
      <w:pPr>
        <w:jc w:val="both"/>
        <w:ind w:firstLine="278"/>
        <w:spacing w:after="0" w:line="286" w:lineRule="auto"/>
        <w:rPr>
          <w:sz w:val="20"/>
          <w:szCs w:val="20"/>
          <w:color w:val="auto"/>
        </w:rPr>
      </w:pPr>
      <w:r>
        <w:rPr>
          <w:rFonts w:ascii="Arial" w:cs="Arial" w:eastAsia="Arial" w:hAnsi="Arial"/>
          <w:sz w:val="15"/>
          <w:szCs w:val="15"/>
          <w:color w:val="auto"/>
        </w:rPr>
        <w:t>Certain risks described below update the risk factors discussed in Part I, Item 1A, “Risk Factors,” of our Annual Report on Form 10-K for the fiscal year ended December 31, 2020, as well as the Risk Factors discussed in Part II, Item 1A, “Risk Factors,” of our Quarterly Report on Form 10-Q for the quarter ended March 31, 2021 and June 30, 2021, and expound upon and amend the specific risks resulting from the COVID-19 pandemic, as well as the specific risks related to the U.S. Food</w:t>
      </w:r>
    </w:p>
    <w:p>
      <w:pPr>
        <w:spacing w:after="0" w:line="1" w:lineRule="exact"/>
        <w:rPr>
          <w:sz w:val="20"/>
          <w:szCs w:val="20"/>
          <w:color w:val="auto"/>
        </w:rPr>
      </w:pPr>
    </w:p>
    <w:p>
      <w:pPr>
        <w:jc w:val="both"/>
        <w:ind w:firstLine="1"/>
        <w:spacing w:after="0" w:line="250" w:lineRule="auto"/>
        <w:tabs>
          <w:tab w:leader="none" w:pos="18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Drug Administration’s review of any resubmission of the NexoBrid BLA for the approval of NexoBrid in the United States.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The current and ongoing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02"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Broad-based business or economic disruptions could adversely affect our ongoing or planned research, development and commercialization activities. For example, the COVID-19 pandemic has created significant disruptions to the U.S. and global economy and has contributed, at times, to significant volatility in financial markets.</w:t>
      </w:r>
    </w:p>
    <w:p>
      <w:pPr>
        <w:jc w:val="both"/>
        <w:spacing w:after="0" w:line="290" w:lineRule="auto"/>
        <w:rPr>
          <w:sz w:val="20"/>
          <w:szCs w:val="20"/>
          <w:color w:val="auto"/>
        </w:rPr>
      </w:pPr>
      <w:r>
        <w:rPr>
          <w:rFonts w:ascii="Arial" w:cs="Arial" w:eastAsia="Arial" w:hAnsi="Arial"/>
          <w:sz w:val="15"/>
          <w:szCs w:val="15"/>
          <w:color w:val="auto"/>
        </w:rPr>
        <w:t>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 as they have existed from time-to-time during the pandemic.</w:t>
      </w:r>
    </w:p>
    <w:p>
      <w:pPr>
        <w:spacing w:after="0" w:line="180"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Even though widespread distribution of vaccines designed to protect against COVID-19 infection began in the United States and other countries throughout the world in early 2021, the pandemic remains unpredictable and the number of COVID-19 infections has fluctuated significantly in various geographies during 2020 and throughout 2021 and could continue to do so, particularly in light of emerging variant strains. As such, some state and local governments have re-instituted restrictions on businesses, travel, and personal activities from time-to-time and additional such measures may occur in the future as the pandemic evolves.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At the outset of the pandemic, the Company put in place a comprehensive workplace protection plan, which instituted protective measures in response to COVID-</w:t>
      </w:r>
    </w:p>
    <w:p>
      <w:pPr>
        <w:spacing w:after="0" w:line="41" w:lineRule="exact"/>
        <w:rPr>
          <w:sz w:val="20"/>
          <w:szCs w:val="20"/>
          <w:color w:val="auto"/>
        </w:rPr>
      </w:pPr>
    </w:p>
    <w:p>
      <w:pPr>
        <w:jc w:val="both"/>
        <w:ind w:firstLine="1"/>
        <w:spacing w:after="0" w:line="286" w:lineRule="auto"/>
        <w:tabs>
          <w:tab w:leader="none" w:pos="26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Company’s workplace protection plan closely followed guidance issued by the CDC and, at all times, has complied with applicable federal and state law. Because vaccines designed to protect against COVID-19 have become readily available in the United States and the rates of COVID-19 infections, hospitalizations and deaths in the majority of the U.S. have generally declined since their height at the beginning of 2021, the CDC and the OSHA have altered their guidance for Americans, and emergency orders and mandatory workplace protocols in Michigan and Massachusetts have either been rescinded or greatly reduced – to include the lifting of all capacity limitations on businesses in both states. Accordingly, Vericel has begun a return to more normal workplace operations, but will continue to modify its workplace protection plan and will reinstitute protective measures for its workforce as necessary. The Company is reviewing its policies and procedures</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regularly, including the Company's workplace protection plan, as the pandemic evolves and may take additional actions to the extent required. Both these and any future actions we take may result in disruption to our business.</w:t>
      </w:r>
    </w:p>
    <w:p>
      <w:pPr>
        <w:spacing w:after="0" w:line="191"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1" w:name="page32"/>
    <w:bookmarkEnd w:id="31"/>
    <w:p>
      <w:pPr>
        <w:jc w:val="both"/>
        <w:spacing w:after="0" w:line="258" w:lineRule="auto"/>
        <w:rPr>
          <w:sz w:val="20"/>
          <w:szCs w:val="20"/>
          <w:color w:val="auto"/>
        </w:rPr>
      </w:pPr>
      <w:r>
        <w:rPr>
          <w:rFonts w:ascii="Arial" w:cs="Arial" w:eastAsia="Arial" w:hAnsi="Arial"/>
          <w:sz w:val="17"/>
          <w:szCs w:val="17"/>
          <w:color w:val="auto"/>
        </w:rPr>
        <w:t>of the pandemic and containment measures, among others. The rapid development and uncertainty of this situation precludes any prediction as to the full adverse impact of the COVID-19 pandemic. Nevertheless, the COVID-19 pandemic has and could continue to adversely affect our business, financial condition and results of operations, and it may have the effect of heightening many of the risks described herein, including the below.</w:t>
      </w:r>
    </w:p>
    <w:p>
      <w:pPr>
        <w:spacing w:after="0" w:line="189" w:lineRule="exact"/>
        <w:rPr>
          <w:sz w:val="20"/>
          <w:szCs w:val="20"/>
          <w:color w:val="auto"/>
        </w:rPr>
      </w:pPr>
    </w:p>
    <w:p>
      <w:pPr>
        <w:ind w:left="600" w:hanging="297"/>
        <w:spacing w:after="0" w:line="248" w:lineRule="auto"/>
        <w:tabs>
          <w:tab w:leader="none" w:pos="596" w:val="left"/>
        </w:tabs>
        <w:numPr>
          <w:ilvl w:val="0"/>
          <w:numId w:val="12"/>
        </w:numPr>
        <w:rPr>
          <w:rFonts w:ascii="Arial" w:cs="Arial" w:eastAsia="Arial" w:hAnsi="Arial"/>
          <w:sz w:val="15"/>
          <w:szCs w:val="15"/>
          <w:color w:val="auto"/>
        </w:rPr>
      </w:pPr>
      <w:r>
        <w:rPr>
          <w:rFonts w:ascii="Arial" w:cs="Arial" w:eastAsia="Arial" w:hAnsi="Arial"/>
          <w:sz w:val="15"/>
          <w:szCs w:val="15"/>
          <w:color w:val="auto"/>
        </w:rPr>
        <w:t>Hospitals, health systems and surgeons minimized, postponed, or canceled electively scheduled surgeries during the initial wave of the pandemic in the spring of 2020. These actions were followed by numerous state-level executive orders either restricting or partially restricting elective surgeries. Because MACI is an elective surgical procedure, as a result of these restrictions the Company experienced a significant increase in cancellations of scheduled MACI procedures as well as a slowdown in new MACI orders during March and April of 2020, which negatively impacted the Company’s business and results of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During the summer of 2021, however, some patients postponed or delayed treatment with MACI in order to take vacation and/or travel following the lifting of COVID-19-related restrictions that had been in place in many parts of the country for more than a year. Additionally, the surge of new COVID-19 infections seen throughout the United States during the summer of 2021, resulting from the spread of the “Delta” variant again caused disruptions to health care networks, the scheduling of elective surgeries, like MACI, and overall patient behavior. These effects were compounded by staffing shortages at many healthcare facilities across the United States during the same period. Consequently, and notwithstanding the widespread distribution of vaccines in the United States, these factors contributed to a slowdown of MACI procedures during the third quarter of 2021. The risk remains that regional or local restrictions could again be placed on the performance of elective surgical procedures if the number of COVID-19 infections in the United States were to rise again, or if new or existing COVID-19 variants render current vaccine treatments ineffective. We believe our MACI business will be negatively impacted if elective surgical procedures are again restricted. Further, renewed and material disruption to the operations of our employees, distributors, suppliers or customers will impact our sales and operating results and could lead to potential impairments to inventory and accounts receivable. Although Epicel has been less directly impacted by the pandemic given the critical nature of severe burn injuries, it is difficult to ascertain the current or future impact of COVID-19 on the treatment of severe burns.</w:t>
      </w:r>
    </w:p>
    <w:p>
      <w:pPr>
        <w:spacing w:after="0" w:line="208" w:lineRule="exact"/>
        <w:rPr>
          <w:rFonts w:ascii="Arial" w:cs="Arial" w:eastAsia="Arial" w:hAnsi="Arial"/>
          <w:sz w:val="15"/>
          <w:szCs w:val="15"/>
          <w:color w:val="auto"/>
        </w:rPr>
      </w:pPr>
    </w:p>
    <w:p>
      <w:pPr>
        <w:jc w:val="both"/>
        <w:ind w:left="600" w:hanging="297"/>
        <w:spacing w:after="0" w:line="266"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Two (2) such sites have currently paused enrollment of new PEAK patients as a result of the effects of the pandemic, and the PEAK Study experienced a slow-down in its traditional rate of patient enrollment during 2020 and throughout 2021. Furthermore, the PEAK Study or another of our clinical trials may in the future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 future outbreak may also affect employees of third-party contract research organizations located in affected geographies that we rely upon to carry out our clinical trials.</w:t>
      </w:r>
    </w:p>
    <w:p>
      <w:pPr>
        <w:spacing w:after="0" w:line="200" w:lineRule="exact"/>
        <w:rPr>
          <w:rFonts w:ascii="Arial" w:cs="Arial" w:eastAsia="Arial" w:hAnsi="Arial"/>
          <w:sz w:val="16"/>
          <w:szCs w:val="16"/>
          <w:color w:val="auto"/>
        </w:rPr>
      </w:pPr>
    </w:p>
    <w:p>
      <w:pPr>
        <w:jc w:val="both"/>
        <w:ind w:left="600" w:hanging="297"/>
        <w:spacing w:after="0" w:line="267"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continue to manufacture MACI and Epicel and we maintain a significant safety back-up of all key raw materials. We do not currently expect that supply chain interruptions will impact our ongoing manufacturing operations. However, we currently rely on both domestic and international third parties to, among other things, manufacture and supply raw materials, which are used to produce our products, and supply other goods and services to run our business. If any such third parties in our supply chain are adversely impacted by current or future restrictions or executive orders resulting from the COVID-19 pandemic for an extended period of time, including staffing shortages, production slowdowns, disruptions in delivery systems, or federal, state or foreign orders requiring the diversion of key supplies for use in the production or manufacturing of vaccines designed to inoculate individuals against COVID-19,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six (6) days and established shipping shelf life of three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2" w:name="page33"/>
    <w:bookmarkEnd w:id="32"/>
    <w:p>
      <w:pPr>
        <w:jc w:val="both"/>
        <w:ind w:left="300"/>
        <w:spacing w:after="0" w:line="258" w:lineRule="auto"/>
        <w:rPr>
          <w:sz w:val="20"/>
          <w:szCs w:val="20"/>
          <w:color w:val="auto"/>
        </w:rPr>
      </w:pPr>
      <w:r>
        <w:rPr>
          <w:rFonts w:ascii="Arial" w:cs="Arial" w:eastAsia="Arial" w:hAnsi="Arial"/>
          <w:sz w:val="17"/>
          <w:szCs w:val="17"/>
          <w:color w:val="auto"/>
        </w:rPr>
        <w:t>have not experienced material shipping delays or increased costs to date, significant disruption of air travel in the future could result in the inability to deliver MACI or Epicel final products to customer sites within appropriate timeframes, which would have a material adverse effect on our business and results of operations.</w:t>
      </w:r>
    </w:p>
    <w:p>
      <w:pPr>
        <w:spacing w:after="0" w:line="202" w:lineRule="exact"/>
        <w:rPr>
          <w:sz w:val="20"/>
          <w:szCs w:val="20"/>
          <w:color w:val="auto"/>
        </w:rPr>
      </w:pPr>
    </w:p>
    <w:p>
      <w:pPr>
        <w:ind w:left="300" w:hanging="297"/>
        <w:spacing w:after="0" w:line="270" w:lineRule="auto"/>
        <w:tabs>
          <w:tab w:leader="none" w:pos="2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documented and ongoing world-wide supply chain disruptions may adversely impact our ability or the ability of others, including hospitals, to utilize MACI or Epicel.</w:t>
      </w:r>
    </w:p>
    <w:p>
      <w:pPr>
        <w:spacing w:after="0" w:line="190" w:lineRule="exact"/>
        <w:rPr>
          <w:rFonts w:ascii="Arial" w:cs="Arial" w:eastAsia="Arial" w:hAnsi="Arial"/>
          <w:sz w:val="17"/>
          <w:szCs w:val="17"/>
          <w:color w:val="auto"/>
        </w:rPr>
      </w:pPr>
    </w:p>
    <w:p>
      <w:pPr>
        <w:jc w:val="both"/>
        <w:ind w:left="300" w:hanging="297"/>
        <w:spacing w:after="0" w:line="266"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Throughout much of the pandemic, we generally restricted on-site staff in our facilities to only those personnel and contractors who are required to perform essential activities related to the manufacture, production and delivery of our products. We encouraged the majority of our remaining employees to work remotely. Since early 2021, vaccines designed to protect against COVID-19 infection have become readily available in the United States and the rates of COVID-19 infections, hospitalizations and deaths in the U.S. have generally declined from their height in early 2021. The CDC and OSHA have altered their guidance for Americans, and emergency orders and mandatory workplace protocols in Michigan and Massachusetts have either been rescinded or greatly reduced – to include the lifting of all capacity limitations on businesses in both states. Accordingly, Vericel has begun a return to more normal workplace operations but will continue to modify its workplace protection plan and will reinstitute protective measures for its workforce as necessary. We expect that some of our employees will continue to work remotely from time to time. A resurgence of COVID-19, COVID-19 variants, or similar infectious diseases in the U.S., however, may lead to future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00" w:lineRule="exact"/>
        <w:rPr>
          <w:rFonts w:ascii="Arial" w:cs="Arial" w:eastAsia="Arial" w:hAnsi="Arial"/>
          <w:sz w:val="16"/>
          <w:szCs w:val="16"/>
          <w:color w:val="auto"/>
        </w:rPr>
      </w:pPr>
    </w:p>
    <w:p>
      <w:pPr>
        <w:jc w:val="both"/>
        <w:ind w:left="300" w:hanging="297"/>
        <w:spacing w:after="0" w:line="267"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partial reliance on certain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third-party contractors and suppliers, clinical trial sites and other important agencies and contractors. Our business operations may be further disrupted if any of our employees, officers or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 A resurgence of COVID-19 or COVID-19 variants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As a result, this could delay timely completion of ongoing clinical trials or preclinical activities, and our ability to select future development candidates.</w:t>
      </w:r>
    </w:p>
    <w:p>
      <w:pPr>
        <w:spacing w:after="0" w:line="194" w:lineRule="exact"/>
        <w:rPr>
          <w:rFonts w:ascii="Arial" w:cs="Arial" w:eastAsia="Arial" w:hAnsi="Arial"/>
          <w:sz w:val="16"/>
          <w:szCs w:val="16"/>
          <w:color w:val="auto"/>
        </w:rPr>
      </w:pPr>
    </w:p>
    <w:p>
      <w:pPr>
        <w:jc w:val="both"/>
        <w:ind w:left="300" w:hanging="297"/>
        <w:spacing w:after="0" w:line="265"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NexoBrid is currently a pre-commercial product in North America. On June 29, 2021, we announced that MediWound had received a CRL regarding the BLA and that the FDA communicated to MediWound that it had completed its review of the BLA, as amended, and had determined that it cannot approve the BLA in its present form. We announced further that we are working with MediWound and the FDA to address the issues identified in the CRL to seek potential approval of NexoBrid. Health regulatory agencies, including the FDA, have experienced and may continue to experience disruptions in their operations as a result of the continued spread or resurgence of the COVID-19 pandemic. For instance, the COVID-19 pandemic may impact the FDA’s response times to regulatory submissions, like a BLA resubmission in response to the CRL, and its ability to monitor our clinical trials. Additionally, in many instances across the industry, the FDA has postponed, or has been unable to conduct certain inspections of domestic and international manufacturing facilities in connection with its regulatory review of product applications as a result of travel and other restrictions caused by the pandemic. As part of its review of the BLA, and any BLA resubmission, the FDA has communicated to MediWound that physical Current Good Manufacturing Practice (cGMP) inspections of manufacturing facilities in Israel and Taiwan are required before the BLA can be approved, as the FDA must assess the ability of those facilities to conduct certain manufacturing operations in compliance with cGMP. The FDA indicated that because of restrictions on travel caused by the COVID-19 pandemic, the agency was unable to conduct the required inspections of those facilities during the original BLA review cycle. Should continued restrictions prevent or delay the FDA in conducting necessary reviews or physical inspections of the manufacturing facilities involved in the production of NexoBrid, or should other events impact the FDA’s response times, the timeline for approval of NexoBrid could be materially and further delayed, which could materially affect the development, study and ultimate commercialization of the product.</w:t>
      </w:r>
    </w:p>
    <w:p>
      <w:pPr>
        <w:spacing w:after="0" w:line="200" w:lineRule="exact"/>
        <w:rPr>
          <w:sz w:val="20"/>
          <w:szCs w:val="20"/>
          <w:color w:val="auto"/>
        </w:rPr>
      </w:pPr>
    </w:p>
    <w:p>
      <w:pPr>
        <w:spacing w:after="0" w:line="29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40"/>
          </w:cols>
          <w:pgMar w:left="620" w:top="846" w:right="339" w:bottom="1440" w:gutter="0" w:footer="0" w:header="0"/>
        </w:sectPr>
      </w:pPr>
    </w:p>
    <w:bookmarkStart w:id="33" w:name="page34"/>
    <w:bookmarkEnd w:id="33"/>
    <w:p>
      <w:pPr>
        <w:jc w:val="both"/>
        <w:ind w:left="600" w:hanging="297"/>
        <w:spacing w:after="0" w:line="255"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trading prices of our common stock and that of other biopharmaceutical companies have been highly volatile during the COVID-19 pandemic. As a result, we may face difficulties raising capital through sales of our common stock or such sales may be on unfavorable terms. In addition, a recession, depression or other sustained adverse market event resulting from the continued spread or a resurgence of the COVID-19 pandemic could materially and adversely affect our business and the value of our common stock.</w:t>
      </w:r>
    </w:p>
    <w:p>
      <w:pPr>
        <w:spacing w:after="0" w:line="203" w:lineRule="exact"/>
        <w:rPr>
          <w:rFonts w:ascii="Arial" w:cs="Arial" w:eastAsia="Arial" w:hAnsi="Arial"/>
          <w:sz w:val="17"/>
          <w:szCs w:val="17"/>
          <w:color w:val="auto"/>
        </w:rPr>
      </w:pPr>
    </w:p>
    <w:p>
      <w:pPr>
        <w:jc w:val="both"/>
        <w:ind w:left="600" w:hanging="297"/>
        <w:spacing w:after="0" w:line="284" w:lineRule="auto"/>
        <w:tabs>
          <w:tab w:leader="none" w:pos="59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negative economic effects of the pandemic have, at times, caused increased unemployment in the U.S. resulting in many individuals losing their employer-based insurance coverage. Although the economy has begun to recover from the pandemic’s initial effects, the continued or future unemployment of our potential patients may adversely affect our ability to commercialize our products. In addition, market disruption or rising unemployment caused by a resurgence of the COVID-19 pandemic or a variant strain thereof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continued outbreak or a worsening of COVID-19 may also negatively impact our commercialization strategy for our products and product candidates, if approved. At times during the pandemic, hospitals and other medical institutions have reduced and diverted staffing, diverted resources to patients suffering from COVID-19 and limited hospital access for non-patients, which has included our sales personnel. Hospitals may continue or increase these and similar measures in the future should the COVID-19 virus continue to spread or surge in certain areas. In addition, COVID-19 levels in the United States and/or specific regions of the United States may cause customers or patients to postpone or cancel previously scheduled surgeries or to decline to schedule surgeries utilizing our products, which would negatively impact our operations and financial results. Although many face-to-face interactions are again resuming, our sales personnel, at times, have conducted, and may continue to have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191"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NexoBrid’s approval in the United States for the treatment of severe burns may be further delayed, or it may not be approved for use in the United States and other North American markets at all.</w:t>
      </w:r>
    </w:p>
    <w:p>
      <w:pPr>
        <w:spacing w:after="0" w:line="191"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On September 16, 2020, we announced that the FDA had accepted for review MediWound’s BLA seeking marketing approval for NexoBrid in the United States for the treatment of severe burns, and had assigned a PDUFA target date for the product of June 29, 2021. The BLA submission is based in large part on data derived from a U.S. Phase 3 pivotal study. MediWound is conducting twelve and twenty-four month safety follow-ups for cosmesis, function, quality of life and other safety measurements. Data from MediWound’s twelve-month follow-up has been compiled and is being evaluated by the FDA, while data from the twenty-four month follow-up will be submitted to the agency as a safety update - either in connection with a BLA resubmission or as part of a post-approval commitment, if the BLA is approved. While this and previous studies evaluating NexoBrid have met their primary endpoints, we cannot predict the outcome of the planned safety follow-ups or whether the FDA will approve the BLA based on the available preclinical and clinical data and the submitted manufacturing processes, and the cGMP data.</w:t>
      </w:r>
    </w:p>
    <w:p>
      <w:pPr>
        <w:spacing w:after="0" w:line="218"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 xml:space="preserve">Subsequently, on June 29, 2021, we announced that MediWound received a CRL from the FDA regarding the BLA for NexoBrid. The FDA communicated to MediWound that it had completed its review of the BLA, as amended, and had determined that it cannot approve the BLA in its present form. </w:t>
      </w:r>
      <w:r>
        <w:rPr>
          <w:rFonts w:ascii="Arial" w:cs="Arial" w:eastAsia="Arial" w:hAnsi="Arial"/>
          <w:sz w:val="17"/>
          <w:szCs w:val="17"/>
          <w:color w:val="212529"/>
        </w:rPr>
        <w:t>The FDA identified</w:t>
      </w:r>
      <w:r>
        <w:rPr>
          <w:rFonts w:ascii="Arial" w:cs="Arial" w:eastAsia="Arial" w:hAnsi="Arial"/>
          <w:sz w:val="17"/>
          <w:szCs w:val="17"/>
          <w:color w:val="auto"/>
        </w:rPr>
        <w:t xml:space="preserve"> </w:t>
      </w:r>
      <w:r>
        <w:rPr>
          <w:rFonts w:ascii="Arial" w:cs="Arial" w:eastAsia="Arial" w:hAnsi="Arial"/>
          <w:sz w:val="17"/>
          <w:szCs w:val="17"/>
          <w:color w:val="212529"/>
        </w:rPr>
        <w:t>issues related to the CMC section of the BLA and had requested that MediWound provide additional CMC information. The FDA stated that it had not reviewed several amendments submitted by MediWound in response to the CMC information requests related to the BLA.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GCP inspections related to the DETECT study and requested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212529"/>
        </w:rPr>
        <w:t>that MediWound address questions regarding the impact of the observations on the study’s efficacy findings. The FDA also requested that MediWound provide a safety update as part of a BLA resubmission.</w:t>
      </w:r>
    </w:p>
    <w:p>
      <w:pPr>
        <w:spacing w:after="0" w:line="19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While we intend to work with MediWound and the FDA to address the issues identified in the CRL to seek the potential approval of NexoBrid, we cannot predict how long it will take for MediWound and/or the Company to respond to the CRL. We also cannot predict whether the FDA will accept any such resubmission for</w:t>
      </w:r>
    </w:p>
    <w:p>
      <w:pPr>
        <w:spacing w:after="0"/>
        <w:rPr>
          <w:sz w:val="20"/>
          <w:szCs w:val="20"/>
          <w:color w:val="auto"/>
        </w:rPr>
      </w:pPr>
      <w:r>
        <w:rPr>
          <w:rFonts w:ascii="Arial" w:cs="Arial" w:eastAsia="Arial" w:hAnsi="Arial"/>
          <w:sz w:val="16"/>
          <w:szCs w:val="16"/>
          <w:color w:val="auto"/>
        </w:rPr>
        <w:t>review, and, if such resubmission is accepted for review, the length of time of any subsequent FDA review. We also cannot predict whether FDA will ultimately</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approve the NexoBrid BLA.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United States may have a material adverse impact on our business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6. Exhibits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listed in the Exhibit Index are filed as a part of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560" w:type="dxa"/>
            <w:vAlign w:val="bottom"/>
            <w:gridSpan w:val="6"/>
          </w:tcPr>
          <w:p>
            <w:pPr>
              <w:ind w:left="42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87"/>
        </w:trPr>
        <w:tc>
          <w:tcPr>
            <w:tcW w:w="17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Exhibit No.</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389"/>
        </w:trPr>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31.1**</w:t>
            </w:r>
          </w:p>
        </w:tc>
        <w:tc>
          <w:tcPr>
            <w:tcW w:w="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8"/>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31.2**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8"/>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0"/>
              </w:rPr>
            </w:pPr>
            <w:hyperlink w:anchor="page41">
              <w:r>
                <w:rPr>
                  <w:rFonts w:ascii="Arial" w:cs="Arial" w:eastAsia="Arial" w:hAnsi="Arial"/>
                  <w:sz w:val="17"/>
                  <w:szCs w:val="17"/>
                  <w:color w:val="0000FF"/>
                  <w:w w:val="90"/>
                </w:rPr>
                <w:t>Certification of Chief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2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20" w:type="dxa"/>
            <w:vAlign w:val="bottom"/>
          </w:tcPr>
          <w:p>
            <w:pPr>
              <w:jc w:val="center"/>
              <w:spacing w:after="0"/>
              <w:rPr>
                <w:sz w:val="20"/>
                <w:szCs w:val="20"/>
                <w:color w:val="auto"/>
              </w:rPr>
            </w:pPr>
            <w:r>
              <w:rPr>
                <w:rFonts w:ascii="Arial" w:cs="Arial" w:eastAsia="Arial" w:hAnsi="Arial"/>
                <w:sz w:val="17"/>
                <w:szCs w:val="17"/>
                <w:color w:val="auto"/>
                <w:w w:val="99"/>
              </w:rPr>
              <w:t>32.3**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8"/>
          </w:tcPr>
          <w:p>
            <w:pPr>
              <w:spacing w:after="0"/>
              <w:rPr>
                <w:rFonts w:ascii="Arial" w:cs="Arial" w:eastAsia="Arial" w:hAnsi="Arial"/>
                <w:sz w:val="17"/>
                <w:szCs w:val="17"/>
                <w:color w:val="0000FF"/>
                <w:w w:val="90"/>
              </w:rPr>
            </w:pPr>
            <w:hyperlink w:anchor="page42">
              <w:r>
                <w:rPr>
                  <w:rFonts w:ascii="Arial" w:cs="Arial" w:eastAsia="Arial" w:hAnsi="Arial"/>
                  <w:sz w:val="17"/>
                  <w:szCs w:val="17"/>
                  <w:color w:val="0000FF"/>
                  <w:w w:val="90"/>
                </w:rPr>
                <w:t>Second Amendment to the Dispensing Agreement between AllCare Plus Pharmacy, Inc. and the Company, dated September 20th, 2021.</w:t>
              </w:r>
            </w:hyperlink>
          </w:p>
        </w:tc>
        <w:tc>
          <w:tcPr>
            <w:tcW w:w="0" w:type="dxa"/>
            <w:vAlign w:val="bottom"/>
          </w:tcPr>
          <w:p>
            <w:pPr>
              <w:spacing w:after="0"/>
              <w:rPr>
                <w:sz w:val="1"/>
                <w:szCs w:val="1"/>
                <w:color w:val="auto"/>
              </w:rPr>
            </w:pPr>
          </w:p>
        </w:tc>
      </w:tr>
      <w:tr>
        <w:trPr>
          <w:trHeight w:val="446"/>
        </w:trPr>
        <w:tc>
          <w:tcPr>
            <w:tcW w:w="1320" w:type="dxa"/>
            <w:vAlign w:val="bottom"/>
            <w:vMerge w:val="restart"/>
          </w:tcPr>
          <w:p>
            <w:pPr>
              <w:jc w:val="center"/>
              <w:spacing w:after="0"/>
              <w:rPr>
                <w:sz w:val="20"/>
                <w:szCs w:val="20"/>
                <w:color w:val="auto"/>
              </w:rPr>
            </w:pPr>
            <w:r>
              <w:rPr>
                <w:rFonts w:ascii="Arial" w:cs="Arial" w:eastAsia="Arial" w:hAnsi="Arial"/>
                <w:sz w:val="17"/>
                <w:szCs w:val="17"/>
                <w:color w:val="auto"/>
                <w:w w:val="99"/>
              </w:rPr>
              <w:t>32.4**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89"/>
              </w:rPr>
            </w:pPr>
            <w:hyperlink w:anchor="page43">
              <w:r>
                <w:rPr>
                  <w:rFonts w:ascii="Arial" w:cs="Arial" w:eastAsia="Arial" w:hAnsi="Arial"/>
                  <w:sz w:val="17"/>
                  <w:szCs w:val="17"/>
                  <w:color w:val="0000FF"/>
                  <w:w w:val="89"/>
                </w:rPr>
                <w:t>Seventh Amendment to the Distribution Agreement between Orsini Pharmaceutical Services, Inc. and the Company, dated October 1,</w:t>
              </w:r>
            </w:hyperlink>
          </w:p>
        </w:tc>
        <w:tc>
          <w:tcPr>
            <w:tcW w:w="160" w:type="dxa"/>
            <w:vAlign w:val="bottom"/>
            <w:tcBorders>
              <w:top w:val="single" w:sz="8" w:color="0000FF"/>
            </w:tcBorders>
          </w:tcPr>
          <w:p>
            <w:pPr>
              <w:spacing w:after="0"/>
              <w:rPr>
                <w:sz w:val="24"/>
                <w:szCs w:val="24"/>
                <w:color w:val="auto"/>
              </w:rPr>
            </w:pP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gridSpan w:val="2"/>
            <w:vMerge w:val="restart"/>
          </w:tcPr>
          <w:p>
            <w:pPr>
              <w:ind w:left="20"/>
              <w:spacing w:after="0" w:line="144" w:lineRule="exact"/>
              <w:rPr>
                <w:rFonts w:ascii="Arial" w:cs="Arial" w:eastAsia="Arial" w:hAnsi="Arial"/>
                <w:sz w:val="16"/>
                <w:szCs w:val="16"/>
                <w:color w:val="0000FF"/>
                <w:w w:val="89"/>
              </w:rPr>
            </w:pPr>
            <w:hyperlink w:anchor="page43">
              <w:r>
                <w:rPr>
                  <w:rFonts w:ascii="Arial" w:cs="Arial" w:eastAsia="Arial" w:hAnsi="Arial"/>
                  <w:sz w:val="16"/>
                  <w:szCs w:val="16"/>
                  <w:color w:val="0000FF"/>
                  <w:w w:val="89"/>
                </w:rPr>
                <w:t>2021.</w:t>
              </w:r>
            </w:hyperlink>
          </w:p>
        </w:tc>
        <w:tc>
          <w:tcPr>
            <w:tcW w:w="2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4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7"/>
          </w:tcPr>
          <w:p>
            <w:pPr>
              <w:spacing w:after="0"/>
              <w:rPr>
                <w:rFonts w:ascii="Arial" w:cs="Arial" w:eastAsia="Arial" w:hAnsi="Arial"/>
                <w:sz w:val="17"/>
                <w:szCs w:val="17"/>
                <w:color w:val="0000FF"/>
                <w:w w:val="89"/>
              </w:rPr>
            </w:pPr>
            <w:hyperlink r:id="rId50">
              <w:r>
                <w:rPr>
                  <w:rFonts w:ascii="Arial" w:cs="Arial" w:eastAsia="Arial" w:hAnsi="Arial"/>
                  <w:sz w:val="17"/>
                  <w:szCs w:val="17"/>
                  <w:color w:val="0000FF"/>
                  <w:w w:val="89"/>
                </w:rPr>
                <w:t>Consulting Agreement, dated July 2, 2021, by and between the Company and Sandra Pennell (incorporated herein by reference to Exhibit</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20" w:type="dxa"/>
            <w:vAlign w:val="bottom"/>
          </w:tcPr>
          <w:p>
            <w:pPr>
              <w:jc w:val="center"/>
              <w:spacing w:after="0" w:line="157" w:lineRule="exact"/>
              <w:rPr>
                <w:sz w:val="20"/>
                <w:szCs w:val="20"/>
                <w:color w:val="auto"/>
              </w:rPr>
            </w:pPr>
            <w:r>
              <w:rPr>
                <w:rFonts w:ascii="Arial" w:cs="Arial" w:eastAsia="Arial" w:hAnsi="Arial"/>
                <w:sz w:val="17"/>
                <w:szCs w:val="17"/>
                <w:color w:val="auto"/>
                <w:w w:val="90"/>
              </w:rPr>
              <w:t>32.5</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bottom w:val="single" w:sz="8" w:color="0000FF"/>
            </w:tcBorders>
            <w:gridSpan w:val="2"/>
          </w:tcPr>
          <w:p>
            <w:pPr>
              <w:spacing w:after="0" w:line="157" w:lineRule="exact"/>
              <w:rPr>
                <w:rFonts w:ascii="Arial" w:cs="Arial" w:eastAsia="Arial" w:hAnsi="Arial"/>
                <w:sz w:val="17"/>
                <w:szCs w:val="17"/>
                <w:color w:val="0000FF"/>
                <w:w w:val="90"/>
              </w:rPr>
            </w:pPr>
            <w:hyperlink r:id="rId50">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4</w:t>
              </w:r>
              <w:r>
                <w:rPr>
                  <w:rFonts w:ascii="Arial" w:cs="Arial" w:eastAsia="Arial" w:hAnsi="Arial"/>
                  <w:sz w:val="17"/>
                  <w:szCs w:val="17"/>
                  <w:color w:val="0000FF"/>
                  <w:w w:val="90"/>
                </w:rPr>
                <w:t xml:space="preserve"> on Form 10-Q filed August 4, 2021).</w:t>
              </w:r>
            </w:hyperlink>
          </w:p>
        </w:tc>
        <w:tc>
          <w:tcPr>
            <w:tcW w:w="65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723"/>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6"/>
              </w:rPr>
              <w:t>101.INS**</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7"/>
              </w:rPr>
              <w:t>101.SCH**</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466"/>
        </w:trPr>
        <w:tc>
          <w:tcPr>
            <w:tcW w:w="172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101.PRE**</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66"/>
        </w:trPr>
        <w:tc>
          <w:tcPr>
            <w:tcW w:w="1720" w:type="dxa"/>
            <w:vAlign w:val="bottom"/>
            <w:gridSpan w:val="2"/>
          </w:tcPr>
          <w:p>
            <w:pPr>
              <w:jc w:val="center"/>
              <w:ind w:right="420"/>
              <w:spacing w:after="0"/>
              <w:rPr>
                <w:sz w:val="20"/>
                <w:szCs w:val="20"/>
                <w:color w:val="auto"/>
              </w:rPr>
            </w:pPr>
            <w:r>
              <w:rPr>
                <w:rFonts w:ascii="Arial" w:cs="Arial" w:eastAsia="Arial" w:hAnsi="Arial"/>
                <w:sz w:val="17"/>
                <w:szCs w:val="17"/>
                <w:color w:val="auto"/>
                <w:w w:val="97"/>
              </w:rPr>
              <w:t>101.DEF**</w:t>
            </w:r>
          </w:p>
        </w:tc>
        <w:tc>
          <w:tcPr>
            <w:tcW w:w="2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740" w:hanging="1210"/>
        <w:spacing w:after="0"/>
        <w:tabs>
          <w:tab w:leader="none" w:pos="1740" w:val="left"/>
        </w:tabs>
        <w:numPr>
          <w:ilvl w:val="1"/>
          <w:numId w:val="15"/>
        </w:numPr>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Cover Page Interactive Data File (formatted as Inline XBRL and contained in Exhibit 101).</w:t>
        </w:r>
      </w:hyperlink>
    </w:p>
    <w:p>
      <w:pPr>
        <w:spacing w:after="0" w:line="283" w:lineRule="exact"/>
        <w:rPr>
          <w:rFonts w:ascii="Arial" w:cs="Arial" w:eastAsia="Arial" w:hAnsi="Arial"/>
          <w:sz w:val="17"/>
          <w:szCs w:val="17"/>
          <w:u w:val="single" w:color="auto"/>
          <w:color w:val="0000FF"/>
        </w:rPr>
      </w:pPr>
    </w:p>
    <w:p>
      <w:pPr>
        <w:ind w:left="220" w:hanging="219"/>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20"/>
          </w:cols>
          <w:pgMar w:left="320" w:top="842" w:right="459" w:bottom="1440" w:gutter="0" w:footer="0" w:header="0"/>
        </w:sectPr>
      </w:pPr>
    </w:p>
    <w:bookmarkStart w:id="36" w:name="page37"/>
    <w:bookmarkEnd w:id="36"/>
    <w:p>
      <w:pPr>
        <w:jc w:val="center"/>
        <w:ind w:right="-519"/>
        <w:spacing w:after="0"/>
        <w:rPr>
          <w:sz w:val="20"/>
          <w:szCs w:val="20"/>
          <w:color w:val="auto"/>
        </w:rPr>
      </w:pPr>
      <w:r>
        <w:rPr>
          <w:rFonts w:ascii="Arial" w:cs="Arial" w:eastAsia="Arial" w:hAnsi="Arial"/>
          <w:sz w:val="17"/>
          <w:szCs w:val="17"/>
          <w:b w:val="1"/>
          <w:bCs w:val="1"/>
          <w:color w:val="auto"/>
        </w:rPr>
        <w:t>SIGNATURES</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VERICEL CORPORATION</w:t>
      </w:r>
    </w:p>
    <w:p>
      <w:pPr>
        <w:spacing w:after="0" w:line="200" w:lineRule="exact"/>
        <w:rPr>
          <w:sz w:val="20"/>
          <w:szCs w:val="20"/>
          <w:color w:val="auto"/>
        </w:rPr>
      </w:pPr>
    </w:p>
    <w:p>
      <w:pPr>
        <w:spacing w:after="0" w:line="24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48"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20"/>
          </w:cols>
          <w:pgMar w:left="320" w:top="1069" w:right="85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Dominick C. Colangelo, certify that:</w:t>
      </w:r>
    </w:p>
    <w:p>
      <w:pPr>
        <w:spacing w:after="0" w:line="208" w:lineRule="exact"/>
        <w:rPr>
          <w:sz w:val="20"/>
          <w:szCs w:val="20"/>
          <w:color w:val="auto"/>
        </w:rPr>
      </w:pPr>
    </w:p>
    <w:p>
      <w:pPr>
        <w:ind w:left="760" w:hanging="457"/>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Vericel Corporation;</w:t>
      </w:r>
    </w:p>
    <w:p>
      <w:pPr>
        <w:spacing w:after="0" w:line="207" w:lineRule="exact"/>
        <w:rPr>
          <w:rFonts w:ascii="Arial" w:cs="Arial" w:eastAsia="Arial" w:hAnsi="Arial"/>
          <w:sz w:val="17"/>
          <w:szCs w:val="17"/>
          <w:color w:val="auto"/>
        </w:rPr>
      </w:pPr>
    </w:p>
    <w:p>
      <w:pPr>
        <w:ind w:right="700" w:firstLine="303"/>
        <w:spacing w:after="0" w:line="338" w:lineRule="auto"/>
        <w:tabs>
          <w:tab w:leader="none" w:pos="76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40" w:firstLine="303"/>
        <w:spacing w:after="0" w:line="270"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180" w:firstLine="303"/>
        <w:spacing w:after="0" w:line="258"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right="380" w:firstLine="1098"/>
        <w:spacing w:after="0" w:line="258" w:lineRule="auto"/>
        <w:tabs>
          <w:tab w:leader="none" w:pos="132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600" w:firstLine="1098"/>
        <w:spacing w:after="0" w:line="258" w:lineRule="auto"/>
        <w:tabs>
          <w:tab w:leader="none" w:pos="13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860" w:firstLine="1098"/>
        <w:spacing w:after="0" w:line="301" w:lineRule="auto"/>
        <w:tabs>
          <w:tab w:leader="none" w:pos="13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360" w:firstLine="1098"/>
        <w:spacing w:after="0" w:line="258" w:lineRule="auto"/>
        <w:tabs>
          <w:tab w:leader="none" w:pos="13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600" w:firstLine="303"/>
        <w:spacing w:after="0" w:line="301" w:lineRule="auto"/>
        <w:tabs>
          <w:tab w:leader="none" w:pos="7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00" w:firstLine="1098"/>
        <w:spacing w:after="0" w:line="270" w:lineRule="auto"/>
        <w:tabs>
          <w:tab w:leader="none" w:pos="13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240" w:firstLine="1098"/>
        <w:spacing w:after="0" w:line="270" w:lineRule="auto"/>
        <w:tabs>
          <w:tab w:leader="none" w:pos="132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November 9, 2021</w:t>
      </w:r>
    </w:p>
    <w:p>
      <w:pPr>
        <w:spacing w:after="0" w:line="33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2"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Joseph A. Mara, certify that:</w:t>
      </w:r>
    </w:p>
    <w:p>
      <w:pPr>
        <w:spacing w:after="0" w:line="208" w:lineRule="exact"/>
        <w:rPr>
          <w:sz w:val="20"/>
          <w:szCs w:val="20"/>
          <w:color w:val="auto"/>
        </w:rPr>
      </w:pPr>
    </w:p>
    <w:p>
      <w:pPr>
        <w:ind w:left="400" w:hanging="17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Vericel Corporation;</w:t>
      </w:r>
    </w:p>
    <w:p>
      <w:pPr>
        <w:spacing w:after="0" w:line="207" w:lineRule="exact"/>
        <w:rPr>
          <w:rFonts w:ascii="Arial" w:cs="Arial" w:eastAsia="Arial" w:hAnsi="Arial"/>
          <w:sz w:val="17"/>
          <w:szCs w:val="17"/>
          <w:color w:val="auto"/>
        </w:rPr>
      </w:pPr>
    </w:p>
    <w:p>
      <w:pPr>
        <w:ind w:right="320" w:firstLine="228"/>
        <w:spacing w:after="0" w:line="301" w:lineRule="auto"/>
        <w:tabs>
          <w:tab w:leader="none" w:pos="3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400" w:firstLine="228"/>
        <w:spacing w:after="0" w:line="270" w:lineRule="auto"/>
        <w:tabs>
          <w:tab w:leader="none" w:pos="3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80" w:firstLine="228"/>
        <w:spacing w:after="0" w:line="338" w:lineRule="auto"/>
        <w:tabs>
          <w:tab w:leader="none" w:pos="395"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5"/>
          <w:szCs w:val="15"/>
          <w:color w:val="auto"/>
        </w:rPr>
      </w:pPr>
    </w:p>
    <w:p>
      <w:pPr>
        <w:ind w:right="220" w:firstLine="493"/>
        <w:spacing w:after="0" w:line="258"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320" w:firstLine="493"/>
        <w:spacing w:after="0" w:line="25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20" w:firstLine="493"/>
        <w:spacing w:after="0" w:line="270"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right="40" w:firstLine="493"/>
        <w:spacing w:after="0" w:line="258" w:lineRule="auto"/>
        <w:tabs>
          <w:tab w:leader="none" w:pos="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firstLine="228"/>
        <w:spacing w:after="0" w:line="270" w:lineRule="auto"/>
        <w:tabs>
          <w:tab w:leader="none" w:pos="3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right="300" w:firstLine="493"/>
        <w:spacing w:after="0" w:line="270" w:lineRule="auto"/>
        <w:tabs>
          <w:tab w:leader="none" w:pos="7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20" w:firstLine="493"/>
        <w:spacing w:after="0" w:line="270" w:lineRule="auto"/>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November 9, 2021</w:t>
      </w:r>
    </w:p>
    <w:p>
      <w:pPr>
        <w:spacing w:after="0" w:line="334"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jc w:val="both"/>
        <w:ind w:right="400" w:firstLine="340"/>
        <w:spacing w:after="0" w:line="258" w:lineRule="auto"/>
        <w:rPr>
          <w:sz w:val="20"/>
          <w:szCs w:val="20"/>
          <w:color w:val="auto"/>
        </w:rPr>
      </w:pPr>
      <w:r>
        <w:rPr>
          <w:rFonts w:ascii="Arial" w:cs="Arial" w:eastAsia="Arial" w:hAnsi="Arial"/>
          <w:sz w:val="17"/>
          <w:szCs w:val="17"/>
          <w:color w:val="auto"/>
        </w:rPr>
        <w:t>In connection with the Quarterly Report of Vericel Corporation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7" w:lineRule="exact"/>
        <w:rPr>
          <w:sz w:val="20"/>
          <w:szCs w:val="20"/>
          <w:color w:val="auto"/>
        </w:rPr>
      </w:pPr>
    </w:p>
    <w:p>
      <w:pPr>
        <w:ind w:left="640" w:hanging="337"/>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and 15(d) of the Securities Exchange Act of 1934; and</w:t>
      </w:r>
    </w:p>
    <w:p>
      <w:pPr>
        <w:spacing w:after="0" w:line="207" w:lineRule="exact"/>
        <w:rPr>
          <w:rFonts w:ascii="Arial" w:cs="Arial" w:eastAsia="Arial" w:hAnsi="Arial"/>
          <w:sz w:val="17"/>
          <w:szCs w:val="17"/>
          <w:color w:val="auto"/>
        </w:rPr>
      </w:pPr>
    </w:p>
    <w:p>
      <w:pPr>
        <w:ind w:right="840" w:firstLine="303"/>
        <w:spacing w:after="0" w:line="517" w:lineRule="auto"/>
        <w:tabs>
          <w:tab w:leader="none" w:pos="6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9, 2021</w:t>
      </w:r>
    </w:p>
    <w:p>
      <w:pPr>
        <w:spacing w:after="0" w:line="9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Executive Officer)</w:t>
      </w:r>
    </w:p>
    <w:p>
      <w:pPr>
        <w:spacing w:after="0" w:line="2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4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jc w:val="both"/>
        <w:ind w:right="400" w:firstLine="340"/>
        <w:spacing w:after="0" w:line="258" w:lineRule="auto"/>
        <w:rPr>
          <w:sz w:val="20"/>
          <w:szCs w:val="20"/>
          <w:color w:val="auto"/>
        </w:rPr>
      </w:pPr>
      <w:r>
        <w:rPr>
          <w:rFonts w:ascii="Arial" w:cs="Arial" w:eastAsia="Arial" w:hAnsi="Arial"/>
          <w:sz w:val="17"/>
          <w:szCs w:val="17"/>
          <w:color w:val="auto"/>
        </w:rPr>
        <w:t>In connection with the Quarterly Report of Vericel Corporation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7" w:lineRule="exact"/>
        <w:rPr>
          <w:sz w:val="20"/>
          <w:szCs w:val="20"/>
          <w:color w:val="auto"/>
        </w:rPr>
      </w:pPr>
    </w:p>
    <w:p>
      <w:pPr>
        <w:ind w:left="640" w:hanging="337"/>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and 15(d) of the Securities Exchange Act of 1934; and</w:t>
      </w:r>
    </w:p>
    <w:p>
      <w:pPr>
        <w:spacing w:after="0" w:line="207" w:lineRule="exact"/>
        <w:rPr>
          <w:rFonts w:ascii="Arial" w:cs="Arial" w:eastAsia="Arial" w:hAnsi="Arial"/>
          <w:sz w:val="17"/>
          <w:szCs w:val="17"/>
          <w:color w:val="auto"/>
        </w:rPr>
      </w:pPr>
    </w:p>
    <w:p>
      <w:pPr>
        <w:ind w:right="840" w:firstLine="303"/>
        <w:spacing w:after="0" w:line="517" w:lineRule="auto"/>
        <w:tabs>
          <w:tab w:leader="none" w:pos="6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9, 2021</w:t>
      </w:r>
    </w:p>
    <w:p>
      <w:pPr>
        <w:spacing w:after="0" w:line="9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12065</wp:posOffset>
            </wp:positionV>
            <wp:extent cx="3554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Joseph A. Mara</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7"/>
          <w:szCs w:val="17"/>
          <w:i w:val="1"/>
          <w:iCs w:val="1"/>
          <w:color w:val="auto"/>
        </w:rPr>
        <w:t>(Principal Financial Officer)</w:t>
      </w:r>
    </w:p>
    <w:p>
      <w:pPr>
        <w:spacing w:after="0" w:line="2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4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Second Amendment to Dispensing Agreement</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Second Amendment to the July 26, 2018 Dispensing Agreement ("Agreement") between Vericel Corporation and AllCare Plus Pharmacy ("AllCare") shall be effective as of September 20</w:t>
      </w:r>
      <w:r>
        <w:rPr>
          <w:rFonts w:ascii="Arial" w:cs="Arial" w:eastAsia="Arial" w:hAnsi="Arial"/>
          <w:sz w:val="21"/>
          <w:szCs w:val="21"/>
          <w:color w:val="auto"/>
          <w:vertAlign w:val="superscript"/>
        </w:rPr>
        <w:t>th</w:t>
      </w:r>
      <w:r>
        <w:rPr>
          <w:rFonts w:ascii="Arial" w:cs="Arial" w:eastAsia="Arial" w:hAnsi="Arial"/>
          <w:sz w:val="17"/>
          <w:szCs w:val="17"/>
          <w:color w:val="auto"/>
        </w:rPr>
        <w:t>, 2021 ("Effective Date").</w:t>
      </w:r>
    </w:p>
    <w:p>
      <w:pPr>
        <w:spacing w:after="0" w:line="106"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RECITALS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WHEREAS, Vericel and AllCare are Parties to the Agreement;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WHEREAS, the Parties desire to amend the Agreement;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good and valuable consideration, the Parties hereby agree to modify the Agreement as follows</w:t>
      </w:r>
    </w:p>
    <w:p>
      <w:pPr>
        <w:spacing w:after="0" w:line="204" w:lineRule="exact"/>
        <w:rPr>
          <w:sz w:val="20"/>
          <w:szCs w:val="20"/>
          <w:color w:val="auto"/>
        </w:rPr>
      </w:pPr>
    </w:p>
    <w:p>
      <w:pPr>
        <w:ind w:left="600" w:hanging="37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Section 1 of Exhibit A - Payment Terms and Pricing. </w:t>
      </w:r>
      <w:r>
        <w:rPr>
          <w:rFonts w:ascii="Arial" w:cs="Arial" w:eastAsia="Arial" w:hAnsi="Arial"/>
          <w:sz w:val="17"/>
          <w:szCs w:val="17"/>
          <w:color w:val="auto"/>
        </w:rPr>
        <w:t>Section 1 of Exhibit A shall be deleted and replaced with the following:</w:t>
      </w:r>
    </w:p>
    <w:p>
      <w:pPr>
        <w:spacing w:after="0" w:line="207"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b w:val="1"/>
          <w:bCs w:val="1"/>
          <w:color w:val="auto"/>
        </w:rPr>
        <w:t>Product.</w:t>
      </w:r>
    </w:p>
    <w:p>
      <w:pPr>
        <w:spacing w:after="0" w:line="21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Product, under this Agreement is defined as:</w:t>
      </w:r>
    </w:p>
    <w:p>
      <w:pPr>
        <w:spacing w:after="0" w:line="238" w:lineRule="exact"/>
        <w:rPr>
          <w:sz w:val="20"/>
          <w:szCs w:val="20"/>
          <w:color w:val="auto"/>
        </w:rPr>
      </w:pPr>
    </w:p>
    <w:tbl>
      <w:tblPr>
        <w:tblLayout w:type="fixed"/>
        <w:tblInd w:w="1590" w:type="dxa"/>
        <w:tblCellMar>
          <w:top w:w="0" w:type="dxa"/>
          <w:left w:w="0" w:type="dxa"/>
          <w:bottom w:w="0" w:type="dxa"/>
          <w:right w:w="0" w:type="dxa"/>
        </w:tblCellMar>
      </w:tblPr>
      <w:tr>
        <w:trPr>
          <w:trHeight w:val="177"/>
        </w:trPr>
        <w:tc>
          <w:tcPr>
            <w:tcW w:w="800" w:type="dxa"/>
            <w:vAlign w:val="bottom"/>
            <w:tcBorders>
              <w:top w:val="single" w:sz="8" w:color="auto"/>
              <w:left w:val="single" w:sz="8" w:color="auto"/>
            </w:tcBorders>
          </w:tcPr>
          <w:p>
            <w:pPr>
              <w:spacing w:after="0"/>
              <w:rPr>
                <w:sz w:val="15"/>
                <w:szCs w:val="15"/>
                <w:color w:val="auto"/>
              </w:rPr>
            </w:pPr>
          </w:p>
        </w:tc>
        <w:tc>
          <w:tcPr>
            <w:tcW w:w="1260" w:type="dxa"/>
            <w:vAlign w:val="bottom"/>
            <w:tcBorders>
              <w:top w:val="single" w:sz="8" w:color="auto"/>
              <w:right w:val="single" w:sz="8" w:color="auto"/>
            </w:tcBorders>
            <w:gridSpan w:val="2"/>
          </w:tcPr>
          <w:p>
            <w:pPr>
              <w:jc w:val="center"/>
              <w:ind w:right="700"/>
              <w:spacing w:after="0" w:line="176" w:lineRule="exact"/>
              <w:rPr>
                <w:sz w:val="20"/>
                <w:szCs w:val="20"/>
                <w:color w:val="auto"/>
              </w:rPr>
            </w:pPr>
            <w:r>
              <w:rPr>
                <w:rFonts w:ascii="Arial" w:cs="Arial" w:eastAsia="Arial" w:hAnsi="Arial"/>
                <w:sz w:val="17"/>
                <w:szCs w:val="17"/>
                <w:b w:val="1"/>
                <w:bCs w:val="1"/>
                <w:color w:val="auto"/>
                <w:w w:val="87"/>
              </w:rPr>
              <w:t>Product</w:t>
            </w:r>
          </w:p>
        </w:tc>
        <w:tc>
          <w:tcPr>
            <w:tcW w:w="880" w:type="dxa"/>
            <w:vAlign w:val="bottom"/>
            <w:tcBorders>
              <w:top w:val="single" w:sz="8" w:color="auto"/>
            </w:tcBorders>
          </w:tcPr>
          <w:p>
            <w:pPr>
              <w:spacing w:after="0"/>
              <w:rPr>
                <w:sz w:val="15"/>
                <w:szCs w:val="15"/>
                <w:color w:val="auto"/>
              </w:rPr>
            </w:pPr>
          </w:p>
        </w:tc>
        <w:tc>
          <w:tcPr>
            <w:tcW w:w="1900" w:type="dxa"/>
            <w:vAlign w:val="bottom"/>
            <w:tcBorders>
              <w:top w:val="single" w:sz="8" w:color="auto"/>
              <w:right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NDC Number</w:t>
            </w:r>
          </w:p>
        </w:tc>
      </w:tr>
      <w:tr>
        <w:trPr>
          <w:trHeight w:val="20"/>
        </w:trPr>
        <w:tc>
          <w:tcPr>
            <w:tcW w:w="80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180"/>
        </w:trPr>
        <w:tc>
          <w:tcPr>
            <w:tcW w:w="2060" w:type="dxa"/>
            <w:vAlign w:val="bottom"/>
            <w:tcBorders>
              <w:left w:val="single" w:sz="8" w:color="auto"/>
              <w:bottom w:val="single" w:sz="8" w:color="auto"/>
              <w:right w:val="single" w:sz="8" w:color="auto"/>
            </w:tcBorders>
            <w:gridSpan w:val="3"/>
          </w:tcPr>
          <w:p>
            <w:pPr>
              <w:jc w:val="center"/>
              <w:ind w:left="36"/>
              <w:spacing w:after="0" w:line="180" w:lineRule="exact"/>
              <w:rPr>
                <w:sz w:val="20"/>
                <w:szCs w:val="20"/>
                <w:color w:val="auto"/>
              </w:rPr>
            </w:pPr>
            <w:r>
              <w:rPr>
                <w:rFonts w:ascii="Arial" w:cs="Arial" w:eastAsia="Arial" w:hAnsi="Arial"/>
                <w:sz w:val="17"/>
                <w:szCs w:val="17"/>
                <w:color w:val="auto"/>
                <w:w w:val="93"/>
              </w:rPr>
              <w:t>MACI 1 Membrane</w:t>
            </w:r>
          </w:p>
        </w:tc>
        <w:tc>
          <w:tcPr>
            <w:tcW w:w="2780" w:type="dxa"/>
            <w:vAlign w:val="bottom"/>
            <w:tcBorders>
              <w:bottom w:val="single" w:sz="8" w:color="auto"/>
              <w:right w:val="single" w:sz="8" w:color="auto"/>
            </w:tcBorders>
            <w:gridSpan w:val="3"/>
          </w:tcPr>
          <w:p>
            <w:pPr>
              <w:ind w:left="860"/>
              <w:spacing w:after="0" w:line="180" w:lineRule="exact"/>
              <w:rPr>
                <w:sz w:val="20"/>
                <w:szCs w:val="20"/>
                <w:color w:val="auto"/>
              </w:rPr>
            </w:pPr>
            <w:r>
              <w:rPr>
                <w:rFonts w:ascii="Arial" w:cs="Arial" w:eastAsia="Arial" w:hAnsi="Arial"/>
                <w:sz w:val="17"/>
                <w:szCs w:val="17"/>
                <w:color w:val="auto"/>
              </w:rPr>
              <w:t>69866-1030-05</w:t>
            </w:r>
          </w:p>
        </w:tc>
      </w:tr>
      <w:tr>
        <w:trPr>
          <w:trHeight w:val="194"/>
        </w:trPr>
        <w:tc>
          <w:tcPr>
            <w:tcW w:w="2060" w:type="dxa"/>
            <w:vAlign w:val="bottom"/>
            <w:tcBorders>
              <w:left w:val="single" w:sz="8" w:color="auto"/>
              <w:bottom w:val="single" w:sz="8" w:color="auto"/>
              <w:right w:val="single" w:sz="8" w:color="auto"/>
            </w:tcBorders>
            <w:gridSpan w:val="3"/>
          </w:tcPr>
          <w:p>
            <w:pPr>
              <w:jc w:val="center"/>
              <w:ind w:left="36"/>
              <w:spacing w:after="0" w:line="194" w:lineRule="exact"/>
              <w:rPr>
                <w:sz w:val="20"/>
                <w:szCs w:val="20"/>
                <w:color w:val="auto"/>
              </w:rPr>
            </w:pPr>
            <w:r>
              <w:rPr>
                <w:rFonts w:ascii="Arial" w:cs="Arial" w:eastAsia="Arial" w:hAnsi="Arial"/>
                <w:sz w:val="17"/>
                <w:szCs w:val="17"/>
                <w:color w:val="auto"/>
                <w:w w:val="93"/>
              </w:rPr>
              <w:t>MACI 2 Membranes</w:t>
            </w:r>
          </w:p>
        </w:tc>
        <w:tc>
          <w:tcPr>
            <w:tcW w:w="2780" w:type="dxa"/>
            <w:vAlign w:val="bottom"/>
            <w:tcBorders>
              <w:bottom w:val="single" w:sz="8" w:color="auto"/>
              <w:right w:val="single" w:sz="8" w:color="auto"/>
            </w:tcBorders>
            <w:gridSpan w:val="3"/>
          </w:tcPr>
          <w:p>
            <w:pPr>
              <w:ind w:left="860"/>
              <w:spacing w:after="0" w:line="194" w:lineRule="exact"/>
              <w:rPr>
                <w:sz w:val="20"/>
                <w:szCs w:val="20"/>
                <w:color w:val="auto"/>
              </w:rPr>
            </w:pPr>
            <w:r>
              <w:rPr>
                <w:rFonts w:ascii="Arial" w:cs="Arial" w:eastAsia="Arial" w:hAnsi="Arial"/>
                <w:sz w:val="17"/>
                <w:szCs w:val="17"/>
                <w:color w:val="auto"/>
              </w:rPr>
              <w:t>69866-1030-08</w:t>
            </w:r>
          </w:p>
        </w:tc>
      </w:tr>
    </w:tbl>
    <w:p>
      <w:pPr>
        <w:spacing w:after="0" w:line="290" w:lineRule="exact"/>
        <w:rPr>
          <w:sz w:val="20"/>
          <w:szCs w:val="20"/>
          <w:color w:val="auto"/>
        </w:rPr>
      </w:pPr>
    </w:p>
    <w:p>
      <w:pPr>
        <w:ind w:left="600" w:right="180" w:hanging="372"/>
        <w:spacing w:after="0" w:line="239" w:lineRule="auto"/>
        <w:tabs>
          <w:tab w:leader="none" w:pos="5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Parties agree that all other conditions of the Agreement shall remain in force and that such terms shall prevail in the event of a conflict with this Second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Amendment, by their duly authorized representatives, as of the Effective Date.</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0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Vericel Corporation</w:t>
            </w:r>
          </w:p>
        </w:tc>
        <w:tc>
          <w:tcPr>
            <w:tcW w:w="57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AllCare Plus Pharmacy</w:t>
            </w:r>
          </w:p>
        </w:tc>
      </w:tr>
      <w:tr>
        <w:trPr>
          <w:trHeight w:val="446"/>
        </w:trPr>
        <w:tc>
          <w:tcPr>
            <w:tcW w:w="8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By.</w:t>
            </w:r>
          </w:p>
        </w:tc>
        <w:tc>
          <w:tcPr>
            <w:tcW w:w="428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/s/ Roland DeAngelis</w:t>
            </w:r>
          </w:p>
        </w:tc>
        <w:tc>
          <w:tcPr>
            <w:tcW w:w="780" w:type="dxa"/>
            <w:vAlign w:val="bottom"/>
          </w:tcPr>
          <w:p>
            <w:pPr>
              <w:ind w:left="20"/>
              <w:spacing w:after="0"/>
              <w:rPr>
                <w:sz w:val="20"/>
                <w:szCs w:val="20"/>
                <w:color w:val="auto"/>
              </w:rPr>
            </w:pPr>
            <w:r>
              <w:rPr>
                <w:rFonts w:ascii="Arial" w:cs="Arial" w:eastAsia="Arial" w:hAnsi="Arial"/>
                <w:sz w:val="17"/>
                <w:szCs w:val="17"/>
                <w:color w:val="auto"/>
              </w:rPr>
              <w:t>By.</w:t>
            </w:r>
          </w:p>
        </w:tc>
        <w:tc>
          <w:tcPr>
            <w:tcW w:w="500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/s/ Dan Apelian</w:t>
            </w:r>
          </w:p>
        </w:tc>
      </w:tr>
      <w:tr>
        <w:trPr>
          <w:trHeight w:val="214"/>
        </w:trPr>
        <w:tc>
          <w:tcPr>
            <w:tcW w:w="8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Name:</w:t>
            </w:r>
          </w:p>
        </w:tc>
        <w:tc>
          <w:tcPr>
            <w:tcW w:w="428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Roland DeAngelis</w:t>
            </w: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500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Dan Apelian</w:t>
            </w:r>
          </w:p>
        </w:tc>
      </w:tr>
      <w:tr>
        <w:trPr>
          <w:trHeight w:val="214"/>
        </w:trPr>
        <w:tc>
          <w:tcPr>
            <w:tcW w:w="8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Title:</w:t>
            </w:r>
          </w:p>
        </w:tc>
        <w:tc>
          <w:tcPr>
            <w:tcW w:w="428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Senior VP, Commercial Operations</w:t>
            </w: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500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VP &amp; GM</w:t>
            </w:r>
          </w:p>
        </w:tc>
      </w:tr>
      <w:tr>
        <w:trPr>
          <w:trHeight w:val="215"/>
        </w:trPr>
        <w:tc>
          <w:tcPr>
            <w:tcW w:w="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Date:</w:t>
            </w:r>
          </w:p>
        </w:tc>
        <w:tc>
          <w:tcPr>
            <w:tcW w:w="42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August 5, 2021</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Date:</w:t>
            </w:r>
          </w:p>
        </w:tc>
        <w:tc>
          <w:tcPr>
            <w:tcW w:w="50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7"/>
                <w:szCs w:val="17"/>
                <w:color w:val="auto"/>
              </w:rPr>
              <w:t>August 5, 2021</w:t>
            </w:r>
          </w:p>
        </w:tc>
      </w:tr>
    </w:tbl>
    <w:p>
      <w:pPr>
        <w:sectPr>
          <w:pgSz w:w="11900" w:h="16838" w:orient="portrait"/>
          <w:cols w:equalWidth="0" w:num="1">
            <w:col w:w="11240"/>
          </w:cols>
          <w:pgMar w:left="320" w:top="132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SEVENTH AMENDMENT TO DISTRIBUTION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This Seventh Amendment to the Distribution Agreement ("Seventh Amendment") is between Vericel Corporation ("Vericel") and Orsini Pharmaceutical Services,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(“Orsini"). This Seventh Amendment is effective as of October 1, 2021 ("Effective Date").</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Vericel and Orsini are parties to a Distribution Agreement dated May 15, 2017 (as amended, the "Agreement"), under which Vericel appointed Orsini as a</w:t>
      </w:r>
      <w:r>
        <w:rPr>
          <w:rFonts w:ascii="Arial" w:cs="Arial" w:eastAsia="Arial" w:hAnsi="Arial"/>
          <w:sz w:val="17"/>
          <w:szCs w:val="17"/>
          <w:b w:val="1"/>
          <w:bCs w:val="1"/>
          <w:color w:val="auto"/>
        </w:rPr>
        <w:t xml:space="preserve"> </w:t>
      </w:r>
      <w:r>
        <w:rPr>
          <w:rFonts w:ascii="Arial" w:cs="Arial" w:eastAsia="Arial" w:hAnsi="Arial"/>
          <w:sz w:val="17"/>
          <w:szCs w:val="17"/>
          <w:color w:val="auto"/>
        </w:rPr>
        <w:t>specialty pharmacy distributor for MACI</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First Amendment to the Agreement effective August 10, 2017;</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Second Amendment to the Agreement effective October 13, 2017;</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Third Amendment to the Agreement effective November 14, 2017;</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Fourth Amendment to the Agreement effective July 25, 2018;</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Fifth Amendment to the Agreement effective August 10, 2018;</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the Sixth Amendment to the Agreement effective April 18, 2019;</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desire to modify the Agreement to update the definition of Product;</w:t>
      </w:r>
    </w:p>
    <w:p>
      <w:pPr>
        <w:spacing w:after="0" w:line="195" w:lineRule="exact"/>
        <w:rPr>
          <w:sz w:val="20"/>
          <w:szCs w:val="20"/>
          <w:color w:val="auto"/>
        </w:rPr>
      </w:pPr>
    </w:p>
    <w:p>
      <w:pPr>
        <w:ind w:right="480"/>
        <w:spacing w:after="0" w:line="244"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agree to amend the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83" w:lineRule="exact"/>
        <w:rPr>
          <w:sz w:val="20"/>
          <w:szCs w:val="20"/>
          <w:color w:val="auto"/>
        </w:rPr>
      </w:pPr>
    </w:p>
    <w:p>
      <w:pPr>
        <w:ind w:left="600" w:hanging="297"/>
        <w:spacing w:after="0"/>
        <w:tabs>
          <w:tab w:leader="none" w:pos="60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Section 1 of Exhibit A – Payment Terms and Pricing. </w:t>
      </w:r>
      <w:r>
        <w:rPr>
          <w:rFonts w:ascii="Arial" w:cs="Arial" w:eastAsia="Arial" w:hAnsi="Arial"/>
          <w:sz w:val="17"/>
          <w:szCs w:val="17"/>
          <w:color w:val="auto"/>
        </w:rPr>
        <w:t>Section 1 of Exhibit A shall be deleted and replaced with the following:</w:t>
      </w:r>
    </w:p>
    <w:p>
      <w:pPr>
        <w:spacing w:after="0" w:line="207" w:lineRule="exact"/>
        <w:rPr>
          <w:rFonts w:ascii="Arial" w:cs="Arial" w:eastAsia="Arial" w:hAnsi="Arial"/>
          <w:sz w:val="17"/>
          <w:szCs w:val="17"/>
          <w:color w:val="auto"/>
        </w:rPr>
      </w:pPr>
    </w:p>
    <w:p>
      <w:pPr>
        <w:ind w:left="400" w:hanging="172"/>
        <w:spacing w:after="0"/>
        <w:tabs>
          <w:tab w:leader="none" w:pos="4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Product.</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Product, under this Agreement is defined as:</w:t>
      </w:r>
    </w:p>
    <w:p>
      <w:pPr>
        <w:spacing w:after="0" w:line="238" w:lineRule="exact"/>
        <w:rPr>
          <w:sz w:val="20"/>
          <w:szCs w:val="20"/>
          <w:color w:val="auto"/>
        </w:rPr>
      </w:pPr>
    </w:p>
    <w:tbl>
      <w:tblPr>
        <w:tblLayout w:type="fixed"/>
        <w:tblInd w:w="145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tcBorders>
          </w:tcPr>
          <w:p>
            <w:pPr>
              <w:spacing w:after="0"/>
              <w:rPr>
                <w:sz w:val="16"/>
                <w:szCs w:val="16"/>
                <w:color w:val="auto"/>
              </w:rPr>
            </w:pPr>
          </w:p>
        </w:tc>
        <w:tc>
          <w:tcPr>
            <w:tcW w:w="1420" w:type="dxa"/>
            <w:vAlign w:val="bottom"/>
            <w:tcBorders>
              <w:top w:val="single" w:sz="8" w:color="auto"/>
              <w:right w:val="single" w:sz="8" w:color="auto"/>
            </w:tcBorders>
            <w:gridSpan w:val="2"/>
          </w:tcPr>
          <w:p>
            <w:pPr>
              <w:jc w:val="center"/>
              <w:ind w:right="860"/>
              <w:spacing w:after="0" w:line="189" w:lineRule="exact"/>
              <w:rPr>
                <w:sz w:val="20"/>
                <w:szCs w:val="20"/>
                <w:color w:val="auto"/>
              </w:rPr>
            </w:pPr>
            <w:r>
              <w:rPr>
                <w:rFonts w:ascii="Arial" w:cs="Arial" w:eastAsia="Arial" w:hAnsi="Arial"/>
                <w:sz w:val="17"/>
                <w:szCs w:val="17"/>
                <w:b w:val="1"/>
                <w:bCs w:val="1"/>
                <w:color w:val="auto"/>
                <w:w w:val="87"/>
              </w:rPr>
              <w:t>Product</w:t>
            </w:r>
          </w:p>
        </w:tc>
        <w:tc>
          <w:tcPr>
            <w:tcW w:w="3120" w:type="dxa"/>
            <w:vAlign w:val="bottom"/>
            <w:tcBorders>
              <w:top w:val="single" w:sz="8" w:color="auto"/>
              <w:right w:val="single" w:sz="8" w:color="auto"/>
            </w:tcBorders>
            <w:gridSpan w:val="3"/>
          </w:tcPr>
          <w:p>
            <w:pPr>
              <w:ind w:left="1040"/>
              <w:spacing w:after="0" w:line="189" w:lineRule="exact"/>
              <w:rPr>
                <w:sz w:val="20"/>
                <w:szCs w:val="20"/>
                <w:color w:val="auto"/>
              </w:rPr>
            </w:pPr>
            <w:r>
              <w:rPr>
                <w:rFonts w:ascii="Arial" w:cs="Arial" w:eastAsia="Arial" w:hAnsi="Arial"/>
                <w:sz w:val="17"/>
                <w:szCs w:val="17"/>
                <w:b w:val="1"/>
                <w:bCs w:val="1"/>
                <w:color w:val="auto"/>
              </w:rPr>
              <w:t>NDC Number</w:t>
            </w:r>
          </w:p>
        </w:tc>
      </w:tr>
      <w:tr>
        <w:trPr>
          <w:trHeight w:val="30"/>
        </w:trPr>
        <w:tc>
          <w:tcPr>
            <w:tcW w:w="860" w:type="dxa"/>
            <w:vAlign w:val="bottom"/>
            <w:tcBorders>
              <w:left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13"/>
        </w:trPr>
        <w:tc>
          <w:tcPr>
            <w:tcW w:w="2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color w:val="auto"/>
                <w:w w:val="93"/>
              </w:rPr>
              <w:t>MACI 1 Membrane</w:t>
            </w:r>
          </w:p>
        </w:tc>
        <w:tc>
          <w:tcPr>
            <w:tcW w:w="3120" w:type="dxa"/>
            <w:vAlign w:val="bottom"/>
            <w:tcBorders>
              <w:bottom w:val="single" w:sz="8" w:color="auto"/>
              <w:right w:val="single" w:sz="8" w:color="auto"/>
            </w:tcBorders>
            <w:gridSpan w:val="3"/>
          </w:tcPr>
          <w:p>
            <w:pPr>
              <w:ind w:left="1040"/>
              <w:spacing w:after="0"/>
              <w:rPr>
                <w:sz w:val="20"/>
                <w:szCs w:val="20"/>
                <w:color w:val="auto"/>
              </w:rPr>
            </w:pPr>
            <w:r>
              <w:rPr>
                <w:rFonts w:ascii="Arial" w:cs="Arial" w:eastAsia="Arial" w:hAnsi="Arial"/>
                <w:sz w:val="17"/>
                <w:szCs w:val="17"/>
                <w:color w:val="auto"/>
              </w:rPr>
              <w:t>69866-1030-05</w:t>
            </w:r>
          </w:p>
        </w:tc>
      </w:tr>
      <w:tr>
        <w:trPr>
          <w:trHeight w:val="220"/>
        </w:trPr>
        <w:tc>
          <w:tcPr>
            <w:tcW w:w="2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color w:val="auto"/>
                <w:w w:val="92"/>
              </w:rPr>
              <w:t>MACI 2 Membranes</w:t>
            </w:r>
          </w:p>
        </w:tc>
        <w:tc>
          <w:tcPr>
            <w:tcW w:w="3120" w:type="dxa"/>
            <w:vAlign w:val="bottom"/>
            <w:tcBorders>
              <w:bottom w:val="single" w:sz="8" w:color="auto"/>
              <w:right w:val="single" w:sz="8" w:color="auto"/>
            </w:tcBorders>
            <w:gridSpan w:val="3"/>
          </w:tcPr>
          <w:p>
            <w:pPr>
              <w:ind w:left="1040"/>
              <w:spacing w:after="0"/>
              <w:rPr>
                <w:sz w:val="20"/>
                <w:szCs w:val="20"/>
                <w:color w:val="auto"/>
              </w:rPr>
            </w:pPr>
            <w:r>
              <w:rPr>
                <w:rFonts w:ascii="Arial" w:cs="Arial" w:eastAsia="Arial" w:hAnsi="Arial"/>
                <w:sz w:val="17"/>
                <w:szCs w:val="17"/>
                <w:color w:val="auto"/>
              </w:rPr>
              <w:t>69866-1030-08</w:t>
            </w:r>
          </w:p>
        </w:tc>
      </w:tr>
    </w:tbl>
    <w:p>
      <w:pPr>
        <w:spacing w:after="0" w:line="200" w:lineRule="exact"/>
        <w:rPr>
          <w:sz w:val="20"/>
          <w:szCs w:val="20"/>
          <w:color w:val="auto"/>
        </w:rPr>
      </w:pPr>
    </w:p>
    <w:p>
      <w:pPr>
        <w:spacing w:after="0" w:line="313" w:lineRule="exact"/>
        <w:rPr>
          <w:sz w:val="20"/>
          <w:szCs w:val="20"/>
          <w:color w:val="auto"/>
        </w:rPr>
      </w:pPr>
    </w:p>
    <w:p>
      <w:pPr>
        <w:jc w:val="both"/>
        <w:ind w:left="600" w:hanging="297"/>
        <w:spacing w:after="0" w:line="233" w:lineRule="auto"/>
        <w:tabs>
          <w:tab w:leader="none" w:pos="608"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Other Changes</w:t>
      </w:r>
      <w:r>
        <w:rPr>
          <w:rFonts w:ascii="Arial" w:cs="Arial" w:eastAsia="Arial" w:hAnsi="Arial"/>
          <w:sz w:val="17"/>
          <w:szCs w:val="17"/>
          <w:color w:val="auto"/>
        </w:rPr>
        <w:t>. To the extent terms in the Seventh Amendment conflict with the Agreement and/or any of the amendments to the Agreement,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Seventh Amendment shall prevail. Except as provided in this Seventh Amendment, the terms and conditions of the Agreement will continue in full force.</w:t>
      </w:r>
    </w:p>
    <w:p>
      <w:pPr>
        <w:spacing w:after="0" w:line="187" w:lineRule="exact"/>
        <w:rPr>
          <w:rFonts w:ascii="Arial" w:cs="Arial" w:eastAsia="Arial" w:hAnsi="Arial"/>
          <w:sz w:val="17"/>
          <w:szCs w:val="17"/>
          <w:color w:val="auto"/>
        </w:rPr>
      </w:pPr>
    </w:p>
    <w:p>
      <w:pPr>
        <w:ind w:left="600" w:right="40" w:hanging="297"/>
        <w:spacing w:after="0" w:line="229" w:lineRule="auto"/>
        <w:tabs>
          <w:tab w:leader="none" w:pos="46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Counterparts/Signatures</w:t>
      </w:r>
      <w:r>
        <w:rPr>
          <w:rFonts w:ascii="Arial" w:cs="Arial" w:eastAsia="Arial" w:hAnsi="Arial"/>
          <w:sz w:val="17"/>
          <w:szCs w:val="17"/>
          <w:color w:val="auto"/>
        </w:rPr>
        <w:t>. This Seventh Amendment may be executed in multiple counterparts, each of which constitutes an original, and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constitute only one agreement. The signatures of the parties need not appear on the same counterpart, and delivery of an executed counterpart signature page by facsimile or other form of electronic transmission shall be as effective as executing and delivering this Seventh Amendment in the presence of the other parties to this Seventh Amendment.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executed this Seventh Amendment as of its Effective Date.</w:t>
      </w:r>
    </w:p>
    <w:p>
      <w:pPr>
        <w:sectPr>
          <w:pgSz w:w="11900" w:h="16838" w:orient="portrait"/>
          <w:cols w:equalWidth="0" w:num="1">
            <w:col w:w="11240"/>
          </w:cols>
          <w:pgMar w:left="320" w:top="1325"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27"/>
        </w:trPr>
        <w:tc>
          <w:tcPr>
            <w:tcW w:w="480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Vericel Corporation</w:t>
            </w:r>
          </w:p>
        </w:tc>
        <w:tc>
          <w:tcPr>
            <w:tcW w:w="40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Orsini Pharmaceutical Services, Inc.</w:t>
            </w:r>
          </w:p>
        </w:tc>
      </w:tr>
      <w:tr>
        <w:trPr>
          <w:trHeight w:val="446"/>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By.</w:t>
            </w:r>
          </w:p>
        </w:tc>
        <w:tc>
          <w:tcPr>
            <w:tcW w:w="406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/s/ Roland DeAngelis</w:t>
            </w:r>
          </w:p>
        </w:tc>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38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/s/ David Frobel</w:t>
            </w:r>
          </w:p>
        </w:tc>
      </w:tr>
      <w:tr>
        <w:trPr>
          <w:trHeight w:val="214"/>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Name:</w:t>
            </w:r>
          </w:p>
        </w:tc>
        <w:tc>
          <w:tcPr>
            <w:tcW w:w="406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Roland DeAngelis</w:t>
            </w:r>
          </w:p>
        </w:tc>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38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David Frobel</w:t>
            </w:r>
          </w:p>
        </w:tc>
      </w:tr>
      <w:tr>
        <w:trPr>
          <w:trHeight w:val="214"/>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Title:</w:t>
            </w:r>
          </w:p>
        </w:tc>
        <w:tc>
          <w:tcPr>
            <w:tcW w:w="406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Senior VP, Commercial Operations</w:t>
            </w:r>
          </w:p>
        </w:tc>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38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SVP- Trade Relations</w:t>
            </w:r>
          </w:p>
        </w:tc>
      </w:tr>
      <w:tr>
        <w:trPr>
          <w:trHeight w:val="215"/>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Date:</w:t>
            </w:r>
          </w:p>
        </w:tc>
        <w:tc>
          <w:tcPr>
            <w:tcW w:w="40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September 14, 2021</w:t>
            </w:r>
          </w:p>
        </w:tc>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Date:</w:t>
            </w:r>
          </w:p>
        </w:tc>
        <w:tc>
          <w:tcPr>
            <w:tcW w:w="33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September 20, 2021</w:t>
            </w:r>
          </w:p>
        </w:tc>
      </w:tr>
    </w:tbl>
    <w:p>
      <w:pPr>
        <w:spacing w:after="0" w:line="1" w:lineRule="exact"/>
        <w:rPr>
          <w:sz w:val="20"/>
          <w:szCs w:val="20"/>
          <w:color w:val="auto"/>
        </w:rPr>
      </w:pPr>
    </w:p>
    <w:sectPr>
      <w:pgSz w:w="11900" w:h="16838" w:orient="portrait"/>
      <w:cols w:equalWidth="0" w:num="1">
        <w:col w:w="9539"/>
      </w:cols>
      <w:pgMar w:left="920" w:top="1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11"/>
    </w:lvl>
    <w:lvl w:ilvl="1">
      <w:lvlJc w:val="left"/>
      <w:lvlText w:val="%2"/>
      <w:numFmt w:val="low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amp;"/>
      <w:numFmt w:val="bullet"/>
      <w:start w:val="1"/>
    </w:lvl>
  </w:abstractNum>
  <w:abstractNum w:abstractNumId="10">
    <w:nsid w:val="519B500D"/>
    <w:multiLevelType w:val="hybridMultilevel"/>
    <w:lvl w:ilvl="0">
      <w:lvlJc w:val="left"/>
      <w:lvlText w:val="%1."/>
      <w:numFmt w:val="decimal"/>
      <w:start w:val="19"/>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2"/>
      <w:numFmt w:val="decimal"/>
      <w:start w:val="104"/>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2"/>
    </w:lvl>
  </w:abstractNum>
  <w:abstractNum w:abstractNumId="21">
    <w:nsid w:val="2D1D5AE9"/>
    <w:multiLevelType w:val="hybridMultilevel"/>
    <w:lvl w:ilvl="0">
      <w:lvlJc w:val="left"/>
      <w:lvlText w:val="%1"/>
      <w:numFmt w:val="decimal"/>
      <w:start w:val="1"/>
    </w:lvl>
    <w:lvl w:ilvl="1">
      <w:lvlJc w:val="left"/>
      <w:lvlText w:val="%2."/>
      <w:numFmt w:val="decimal"/>
      <w:start w:val="1"/>
    </w:lvl>
  </w:abstractNum>
  <w:abstractNum w:abstractNumId="22">
    <w:nsid w:val="6763845E"/>
    <w:multiLevelType w:val="hybridMultilevel"/>
    <w:lvl w:ilvl="0">
      <w:lvlJc w:val="left"/>
      <w:lvlText w:val="%1."/>
      <w:numFmt w:val="decimal"/>
      <w:start w:val="1"/>
    </w:lvl>
    <w:lvl w:ilvl="1">
      <w:lvlJc w:val="left"/>
      <w:lvlText w:val="%2"/>
      <w:numFmt w:val="decimal"/>
      <w:start w:val="1"/>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0" Type="http://schemas.openxmlformats.org/officeDocument/2006/relationships/hyperlink" Target="https://www.sec.gov/Archives/edgar/data/887359/000162828021015540/sandrapennellconsulting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2021-11-09T08:17:35Z</dcterms:created>
  <dcterms:modified xsi:type="dcterms:W3CDTF">2021-11-09T08:17:35Z</dcterms:modified>
</cp:coreProperties>
</file>