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60" w:hanging="328"/>
        <w:spacing w:after="0" w:line="256" w:lineRule="auto"/>
        <w:tabs>
          <w:tab w:leader="none" w:pos="5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57" w:lineRule="exact"/>
        <w:rPr>
          <w:sz w:val="24"/>
          <w:szCs w:val="24"/>
          <w:color w:val="auto"/>
        </w:rPr>
      </w:pPr>
    </w:p>
    <w:p>
      <w:pPr>
        <w:ind w:left="660" w:right="40" w:hanging="328"/>
        <w:spacing w:after="0" w:line="269" w:lineRule="auto"/>
        <w:tabs>
          <w:tab w:leader="none" w:pos="61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233" w:right="199" w:bottom="0" w:gutter="0" w:footer="0" w:header="0"/>
        </w:sectPr>
      </w:pPr>
    </w:p>
    <w:p>
      <w:pPr>
        <w:spacing w:after="0" w:line="158"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740" w:space="540"/>
            <w:col w:w="4180"/>
          </w:cols>
          <w:pgMar w:left="240" w:top="233" w:right="199" w:bottom="0" w:gutter="0" w:footer="0" w:header="0"/>
          <w:type w:val="continuous"/>
        </w:sectPr>
      </w:pP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0-22025</w:t>
      </w:r>
    </w:p>
    <w:p>
      <w:pPr>
        <w:sectPr>
          <w:pgSz w:w="11900" w:h="16838" w:orient="portrait"/>
          <w:cols w:equalWidth="0" w:num="1">
            <w:col w:w="11460"/>
          </w:cols>
          <w:pgMar w:left="240" w:top="233" w:right="199" w:bottom="0" w:gutter="0" w:footer="0" w:header="0"/>
          <w:type w:val="continuous"/>
        </w:sect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AASTROM BIOSCIENCES,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4"/>
              </w:rPr>
              <w:t>Michigan</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94-3096597</w:t>
            </w:r>
          </w:p>
        </w:tc>
      </w:tr>
      <w:tr>
        <w:trPr>
          <w:trHeight w:val="216"/>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2"/>
              </w:rPr>
              <w:t>(I.R.S. employer</w:t>
            </w:r>
          </w:p>
        </w:tc>
      </w:tr>
      <w:tr>
        <w:trPr>
          <w:trHeight w:val="230"/>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4"/>
              </w:rPr>
              <w:t>24 Frank Lloyd Wright Dr. – Lobby K</w:t>
            </w:r>
          </w:p>
        </w:tc>
        <w:tc>
          <w:tcPr>
            <w:tcW w:w="1460" w:type="dxa"/>
            <w:vAlign w:val="bottom"/>
          </w:tcPr>
          <w:p>
            <w:pPr>
              <w:spacing w:after="0"/>
              <w:rPr>
                <w:sz w:val="24"/>
                <w:szCs w:val="24"/>
                <w:color w:val="auto"/>
              </w:rPr>
            </w:pPr>
          </w:p>
        </w:tc>
      </w:tr>
      <w:tr>
        <w:trPr>
          <w:trHeight w:val="220"/>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Ann Arbor, Michigan</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48105</w:t>
            </w:r>
          </w:p>
        </w:tc>
      </w:tr>
      <w:tr>
        <w:trPr>
          <w:trHeight w:val="230"/>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3"/>
              </w:rPr>
              <w:t>(Zip code)</w:t>
            </w:r>
          </w:p>
        </w:tc>
      </w:tr>
      <w:tr>
        <w:trPr>
          <w:trHeight w:val="418"/>
        </w:trPr>
        <w:tc>
          <w:tcPr>
            <w:tcW w:w="6460" w:type="dxa"/>
            <w:vAlign w:val="bottom"/>
          </w:tcPr>
          <w:p>
            <w:pPr>
              <w:jc w:val="right"/>
              <w:ind w:right="1430"/>
              <w:spacing w:after="0"/>
              <w:rPr>
                <w:sz w:val="20"/>
                <w:szCs w:val="20"/>
                <w:color w:val="auto"/>
              </w:rPr>
            </w:pPr>
            <w:r>
              <w:rPr>
                <w:rFonts w:ascii="Arial" w:cs="Arial" w:eastAsia="Arial" w:hAnsi="Arial"/>
                <w:sz w:val="18"/>
                <w:szCs w:val="18"/>
                <w:b w:val="1"/>
                <w:bCs w:val="1"/>
                <w:color w:val="auto"/>
              </w:rPr>
              <w:t>(800) 556-0311</w:t>
            </w:r>
          </w:p>
        </w:tc>
        <w:tc>
          <w:tcPr>
            <w:tcW w:w="1460" w:type="dxa"/>
            <w:vAlign w:val="bottom"/>
          </w:tcPr>
          <w:p>
            <w:pPr>
              <w:spacing w:after="0"/>
              <w:rPr>
                <w:sz w:val="24"/>
                <w:szCs w:val="24"/>
                <w:color w:val="auto"/>
              </w:rPr>
            </w:pPr>
          </w:p>
        </w:tc>
      </w:tr>
      <w:tr>
        <w:trPr>
          <w:trHeight w:val="230"/>
        </w:trPr>
        <w:tc>
          <w:tcPr>
            <w:tcW w:w="646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81"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211"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o</w:t>
      </w:r>
    </w:p>
    <w:p>
      <w:pPr>
        <w:spacing w:after="0" w:line="200" w:lineRule="exact"/>
        <w:rPr>
          <w:sz w:val="24"/>
          <w:szCs w:val="24"/>
          <w:color w:val="auto"/>
        </w:rPr>
      </w:pPr>
    </w:p>
    <w:p>
      <w:pPr>
        <w:sectPr>
          <w:pgSz w:w="11900" w:h="16838" w:orient="portrait"/>
          <w:cols w:equalWidth="0" w:num="2">
            <w:col w:w="7180" w:space="720"/>
            <w:col w:w="3560"/>
          </w:cols>
          <w:pgMar w:left="240" w:top="233" w:right="19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x</w:t>
      </w:r>
    </w:p>
    <w:p>
      <w:pPr>
        <w:spacing w:after="0" w:line="430" w:lineRule="exact"/>
        <w:rPr>
          <w:sz w:val="24"/>
          <w:szCs w:val="24"/>
          <w:color w:val="auto"/>
        </w:rPr>
      </w:pPr>
    </w:p>
    <w:p>
      <w:pPr>
        <w:sectPr>
          <w:pgSz w:w="11900" w:h="16838" w:orient="portrait"/>
          <w:cols w:equalWidth="0" w:num="2">
            <w:col w:w="6800" w:space="720"/>
            <w:col w:w="3940"/>
          </w:cols>
          <w:pgMar w:left="240" w:top="233"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94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COMMON STOCK, NO PAR VALUE</w:t>
            </w:r>
          </w:p>
        </w:tc>
        <w:tc>
          <w:tcPr>
            <w:tcW w:w="5480" w:type="dxa"/>
            <w:vAlign w:val="bottom"/>
          </w:tcPr>
          <w:p>
            <w:pPr>
              <w:jc w:val="right"/>
              <w:ind w:right="2350"/>
              <w:spacing w:after="0"/>
              <w:rPr>
                <w:sz w:val="20"/>
                <w:szCs w:val="20"/>
                <w:color w:val="auto"/>
              </w:rPr>
            </w:pPr>
            <w:r>
              <w:rPr>
                <w:rFonts w:ascii="Arial" w:cs="Arial" w:eastAsia="Arial" w:hAnsi="Arial"/>
                <w:sz w:val="18"/>
                <w:szCs w:val="18"/>
                <w:b w:val="1"/>
                <w:bCs w:val="1"/>
                <w:color w:val="auto"/>
              </w:rPr>
              <w:t>8,001,340</w:t>
            </w:r>
          </w:p>
        </w:tc>
        <w:tc>
          <w:tcPr>
            <w:tcW w:w="40" w:type="dxa"/>
            <w:vAlign w:val="bottom"/>
          </w:tcPr>
          <w:p>
            <w:pPr>
              <w:spacing w:after="0"/>
              <w:rPr>
                <w:sz w:val="19"/>
                <w:szCs w:val="19"/>
                <w:color w:val="auto"/>
              </w:rPr>
            </w:pPr>
          </w:p>
        </w:tc>
      </w:tr>
      <w:tr>
        <w:trPr>
          <w:trHeight w:val="230"/>
        </w:trPr>
        <w:tc>
          <w:tcPr>
            <w:tcW w:w="5940" w:type="dxa"/>
            <w:vAlign w:val="bottom"/>
          </w:tcPr>
          <w:p>
            <w:pPr>
              <w:jc w:val="center"/>
              <w:ind w:right="230"/>
              <w:spacing w:after="0"/>
              <w:rPr>
                <w:sz w:val="20"/>
                <w:szCs w:val="20"/>
                <w:color w:val="auto"/>
              </w:rPr>
            </w:pPr>
            <w:r>
              <w:rPr>
                <w:rFonts w:ascii="Arial" w:cs="Arial" w:eastAsia="Arial" w:hAnsi="Arial"/>
                <w:sz w:val="18"/>
                <w:szCs w:val="18"/>
                <w:color w:val="auto"/>
                <w:w w:val="87"/>
              </w:rPr>
              <w:t>(Class)</w:t>
            </w: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0"/>
              </w:rPr>
              <w:t>Outstanding at July 31, 2014</w:t>
            </w:r>
          </w:p>
        </w:tc>
        <w:tc>
          <w:tcPr>
            <w:tcW w:w="40" w:type="dxa"/>
            <w:vAlign w:val="bottom"/>
          </w:tcPr>
          <w:p>
            <w:pPr>
              <w:spacing w:after="0"/>
              <w:rPr>
                <w:sz w:val="20"/>
                <w:szCs w:val="20"/>
                <w:color w:val="auto"/>
              </w:rPr>
            </w:pPr>
          </w:p>
        </w:tc>
      </w:tr>
      <w:tr>
        <w:trPr>
          <w:trHeight w:val="216"/>
        </w:trPr>
        <w:tc>
          <w:tcPr>
            <w:tcW w:w="594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594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94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AASTROM BIOSCIENCES,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gridSpan w:val="1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7600" w:type="dxa"/>
            <w:vAlign w:val="bottom"/>
            <w:gridSpan w:val="9"/>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260" w:type="dxa"/>
            <w:vAlign w:val="bottom"/>
            <w:tcBorders>
              <w:bottom w:val="single" w:sz="8" w:color="0000EE"/>
            </w:tcBorders>
            <w:gridSpan w:val="11"/>
            <w:vMerge w:val="continue"/>
          </w:tcPr>
          <w:p>
            <w:pPr>
              <w:spacing w:after="0"/>
              <w:rPr>
                <w:sz w:val="13"/>
                <w:szCs w:val="13"/>
                <w:color w:val="auto"/>
              </w:rPr>
            </w:pPr>
          </w:p>
        </w:tc>
        <w:tc>
          <w:tcPr>
            <w:tcW w:w="760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24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Financial Statements (Unaudited):</w:t>
              </w:r>
            </w:hyperlink>
          </w:p>
        </w:tc>
        <w:tc>
          <w:tcPr>
            <w:tcW w:w="73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2014 and December 31, 2013</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and six months ended June 30, 2014 and 2013</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Loss for the three and six months ended June 30, 2014 and 2013</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six months ended June 30, 2014 and 2013</w:t>
              </w:r>
            </w:hyperlink>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25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500" w:type="dxa"/>
            <w:vAlign w:val="bottom"/>
            <w:gridSpan w:val="3"/>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24"/>
                <w:szCs w:val="24"/>
                <w:color w:val="auto"/>
              </w:rPr>
            </w:pPr>
          </w:p>
        </w:tc>
        <w:tc>
          <w:tcPr>
            <w:tcW w:w="54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9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790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1.</w:t>
              </w:r>
            </w:hyperlink>
          </w:p>
        </w:tc>
        <w:tc>
          <w:tcPr>
            <w:tcW w:w="500" w:type="dxa"/>
            <w:vAlign w:val="bottom"/>
            <w:gridSpan w:val="3"/>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920" w:type="dxa"/>
            <w:vAlign w:val="bottom"/>
            <w:tcBorders>
              <w:top w:val="single" w:sz="8" w:color="0000EE"/>
            </w:tcBorders>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9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w:t>
              </w:r>
            </w:hyperlink>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Index</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Glossary</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20" w:type="dxa"/>
            <w:vAlign w:val="bottom"/>
          </w:tcPr>
          <w:p>
            <w:pPr>
              <w:jc w:val="center"/>
              <w:ind w:left="161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2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AASTROM BIOSCIENCES, INC.</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2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2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(Unaudited, amounts in thousands)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9"/>
              </w:rPr>
              <w:t>Current assets:</w:t>
            </w:r>
          </w:p>
        </w:tc>
        <w:tc>
          <w:tcPr>
            <w:tcW w:w="7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Cash</w:t>
            </w:r>
          </w:p>
        </w:tc>
        <w:tc>
          <w:tcPr>
            <w:tcW w:w="7220" w:type="dxa"/>
            <w:vAlign w:val="bottom"/>
          </w:tcPr>
          <w:p>
            <w:pPr>
              <w:spacing w:after="0"/>
              <w:rPr>
                <w:sz w:val="18"/>
                <w:szCs w:val="18"/>
                <w:color w:val="auto"/>
              </w:rPr>
            </w:pP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7,263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Intangible assets</w:t>
            </w:r>
          </w:p>
        </w:tc>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0"/>
              </w:rPr>
              <w:t>Total assets</w:t>
            </w:r>
          </w:p>
        </w:tc>
        <w:tc>
          <w:tcPr>
            <w:tcW w:w="7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9,845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16)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Series B-2 voting convertible preferred stock, no par value: shares authorized and reserved — 39, shares issued</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38,389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 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no par value; shares authorized — 75,000 and 15,000; shares issued and outstanding — 7,019 and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4,723,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262,789</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253,270</w:t>
            </w:r>
          </w:p>
        </w:tc>
        <w:tc>
          <w:tcPr>
            <w:tcW w:w="80" w:type="dxa"/>
            <w:vAlign w:val="bottom"/>
          </w:tcPr>
          <w:p>
            <w:pPr>
              <w:spacing w:after="0"/>
              <w:rPr>
                <w:sz w:val="20"/>
                <w:szCs w:val="20"/>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(298,398)</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(287,765)</w:t>
            </w:r>
          </w:p>
        </w:tc>
      </w:tr>
      <w:tr>
        <w:trPr>
          <w:trHeight w:val="210"/>
        </w:trPr>
        <w:tc>
          <w:tcPr>
            <w:tcW w:w="8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60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4,432</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4,432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4,432</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 (loss)</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7,635</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(8,522)</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(13,166)</w:t>
            </w: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3,634</w:t>
            </w: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(4,638)</w:t>
            </w:r>
          </w:p>
        </w:tc>
        <w:tc>
          <w:tcPr>
            <w:tcW w:w="3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(10,633)</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(10,433)</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6"/>
              </w:rPr>
              <w:t>Net loss per share attributable to common shareholders (Basic</w:t>
            </w:r>
          </w:p>
        </w:tc>
        <w:tc>
          <w:tcPr>
            <w:tcW w:w="48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(0.94)</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 (see note 12)</w:t>
            </w:r>
          </w:p>
        </w:tc>
        <w:tc>
          <w:tcPr>
            <w:tcW w:w="48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Weighted average number of common shares outstanding (Basic</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6,518</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6,195</w:t>
            </w:r>
          </w:p>
        </w:tc>
        <w:tc>
          <w:tcPr>
            <w:tcW w:w="48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7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(4,633)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(4,889)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(10,628)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ectPr>
          <w:pgSz w:w="11900" w:h="16838" w:orient="portrait"/>
          <w:cols w:equalWidth="0" w:num="1">
            <w:col w:w="11420"/>
          </w:cols>
          <w:pgMar w:left="240" w:top="14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Bargain purchase gain</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Unrealized currency translation gain</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Accrued employee benefits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for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Acquisition of CTRM business, net of cash acquired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purchases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for) investing activities</w:t>
            </w:r>
          </w:p>
        </w:tc>
        <w:tc>
          <w:tcPr>
            <w:tcW w:w="1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Principal payments under long-term debt obligations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 (non-cash):</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Accretion of convertible preferred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through issuance of promissory note</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Warrants exchanged for common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Aastrom Biosciences, Inc. (the Company or Aastrom) was incorporated in March 1989 and began employee-based operations in 1991. On May 30, 2014, Aastrom completed its acquisition of certain assets of Sanofi, a French société anonyme (Sanofi), including all of the outstanding equity interests of Genzyme Biosurgery ApS (Genzyme Denmark), a wholly-owned subsidiary of Sanofi, and over 250 patents and patent applications and assumed certain liabilities for purposes of acquiring the portions of the cell therapy and regenerative medicine business (the CTRM Business). The CTRM Business researches, develops, manufactures, markets and sells the Carticel</w:t>
      </w:r>
      <w:r>
        <w:rPr>
          <w:rFonts w:ascii="Arial" w:cs="Arial" w:eastAsia="Arial" w:hAnsi="Arial"/>
          <w:sz w:val="20"/>
          <w:szCs w:val="20"/>
          <w:color w:val="auto"/>
          <w:vertAlign w:val="superscript"/>
        </w:rPr>
        <w:t>®</w:t>
      </w:r>
      <w:r>
        <w:rPr>
          <w:rFonts w:ascii="Arial" w:cs="Arial" w:eastAsia="Arial" w:hAnsi="Arial"/>
          <w:sz w:val="16"/>
          <w:szCs w:val="16"/>
          <w:color w:val="auto"/>
        </w:rPr>
        <w:t>, MACI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As a result, the Company has exited the development stage, and is now a fully integrated, commercial-stage biopharmaceutical company dedicated to the identification, development and commercialization of innovative therapies that enable the body to repair and regenerate damaged tissues and organs to restore normal structure and function. Aastrom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its business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successful integration and profitability of the CTRM Business and the Company’s continued ability to obtain future funding.</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2— LIQUIDITY:</w:t>
      </w:r>
    </w:p>
    <w:p>
      <w:pPr>
        <w:sectPr>
          <w:pgSz w:w="11900" w:h="16838" w:orient="portrait"/>
          <w:cols w:equalWidth="0" w:num="1">
            <w:col w:w="11420"/>
          </w:cols>
          <w:pgMar w:left="240" w:top="121" w:right="239" w:bottom="144" w:gutter="0" w:footer="0" w:header="0"/>
        </w:sectPr>
      </w:pPr>
    </w:p>
    <w:bookmarkStart w:id="4" w:name="page5"/>
    <w:bookmarkEnd w:id="4"/>
    <w:p>
      <w:pPr>
        <w:jc w:val="both"/>
        <w:spacing w:after="0" w:line="285" w:lineRule="auto"/>
        <w:rPr>
          <w:sz w:val="20"/>
          <w:szCs w:val="20"/>
          <w:color w:val="auto"/>
        </w:rPr>
      </w:pPr>
      <w:r>
        <w:rPr>
          <w:rFonts w:ascii="Arial" w:cs="Arial" w:eastAsia="Arial" w:hAnsi="Arial"/>
          <w:sz w:val="16"/>
          <w:szCs w:val="16"/>
          <w:color w:val="auto"/>
        </w:rPr>
        <w:t>The Company is subject to certain risks related to the operation of its business and development of its products and product candidates. As of June 30, 2014, the Company had $7.3 million of cash. This is not sufficient to sustain operations for one year. In light of its financial position, the Company is evaluating strategic financial opportunities in the short-term in order maintain adequate liquidity through December 31, 2014 and beyond. The Company could sell an additional net $9.3 million worth of common shares through an At the Market Sales Agreement (ATM) or direct Lincoln Park Capital Fund, LLC (Lincoln Park) to purchase up to $11.8 million worth of shares of common shares under the Purchase Agreement between the Company and Lincoln Park in order to raise additional capital, though there are certain factors, such as volume of trading in the stock, the stock price and the ability to terminate the agreement with notice, which could limit the amount the Company could raise in a short period of time. See Note 14, “Shareholders’ Equity” for additional information. On a longer-term basis, the Company will need to raise additional funds in order to complete product development programs and complete clinical trials needed to market and commercialize its products. The Company cannot be certain that such funding will be available on favorable terms, if at all. Some of the factors that will impact the Company’s ability to raise additional capital and our overall success include: the degree of success achieved in integrating and the revenue produced by the newly acquired CTRM Business, the rate and degree of progress for product development, the Company’s ability to maintain its facility as a U.S. Food and Drug Administration (FDA) compliant and validated product manufacturing facility, the rate of regulatory approval to proceed with clinical trial programs, the level of success achieved in clinical trials, the requirements for marketing authorization from regulatory bodies in the United States and other countries, the liquidity and market volatility of the Company’s equity securities, regulatory and manufacturing requirements and uncertainties, technological developments by competitors, and other factors. If the Company cannot raise such funds, the Company will not be able to develop or enhance its products, take advantage of future opportunities, or respond to competitive pressures or unanticipated requirements, which would have a material adverse impact on the business, financial condition and results of operations. As a result of the need to raise additional capital, there is uncertainty regarding the Company’s ability to maintain liquidity sufficient to operate the business effectively over at least the next twelve months, which raises substantial doubt as to the ability to continue as a going concern. The condensed consolidated financial statements do not include any adjustments that might result from the outcome of this uncertainty.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six months ended June 30, 2014, are not necessarily indicative of the results to be expected for the full year or for any other period.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31, 2013 condensed consolidated balance sheet data was derived from the Company’s audited consolidated financial statements, but does not include all disclosures required by U.S. GAAP.</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period ended December 31, 2013, as filed with the SEC on March 13, 2014 (Annual Report).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include the accounts of Aastrom and its wholly-owned subsidiaries, Aastrom Biosciences GmbH, located in Berlin, Germany, Marrow Donation, LLC, located in San Diego, California, and Aastrom Biosciences DK ApS, in Kastrup, Demark (collectively, the Company). All inter-company transactions and accounts have been eliminated in consolidation. Aastrom Biosciences GmbH has ceased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 AND NEWLY ISSUED ACCOUNTING STANDARDS: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2014, the Company added certain policies and procedures as a result of its acquisition of the commercialized CTRM Business. There were no other changes to the significant accounting policies described in the Company’s audited financial statements as of and for the year ended December 31, 2013, and the notes thereto, which are included in the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measured at the lower of cost or market value. Cost is calculated using the first-in, first-out method. Utilization reserves are established for estimated obsolescence or un-marketable inventory in an amount equal to the cost of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is initially recorded at the contractual amount owed by the customer. Allowances for doubtful accounts are established when the facts and circumstances dictate that the asset has been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initial measurement, property, plant and equipment are carried at cost less accumulated depreciation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costs of property, plant and equipment are expensed as incurred.</w:t>
      </w:r>
    </w:p>
    <w:p>
      <w:pPr>
        <w:sectPr>
          <w:pgSz w:w="11900" w:h="16838" w:orient="portrait"/>
          <w:cols w:equalWidth="0" w:num="1">
            <w:col w:w="11420"/>
          </w:cols>
          <w:pgMar w:left="240" w:top="125" w:right="239" w:bottom="10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The depreciable value of property, plant and equipment, net of any residual value, is depreciated on a straight line basis over the useful life of the asset. The useful life of an asset is usually equivalent to its economic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of property, plant and equipment are as follows:</w:t>
      </w:r>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15 years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Useful lives and residual values of property, plant and equipment are reviewed at each reporting date. The effect of any adjustment to useful lives or residual values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product rights are amortized on a straight-line basis over their expected useful lives.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useful lives of intangible assets are reviewed at each reporting date. The effect of any adjustment to useful lives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is recognized in these financial statements under Costs of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carried at cost less accumulated amortization and impairment.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Other Long-Lived Assets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Genzyme Denmark are translated from Danish Krone into U.S. dollars using the applicable exchange rates in effect at the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of the operations in Denmark are translated from the applicable currencies into U.S. dollars using average exchange rates for the reported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arising from the sale of products is presented in these financial statements in Total revenues. Total revenues were comprised of revenue from sales of Carticel, Epicel, bone marrow, and surgical kits. Revenue is recognized from product sales when persuasive evidence of an arrangement exists, the goods are shipped or delivered, depending on shipping terms, title and risk of loss pass to the customer and collectability is reasonably assured.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recorded net of a provision, made at the time of sale, for rebates, chargebacks and cash discounts. These revenue reductions are established by the Company at the time of sale, based on historical experience adjusted to reflect known changes in the factors that impact such reserves. Distributors are entitled to chargeback incentives for services that are provided for based on the selling price to the end customer, under specific contractual arrangements. Cash discounts may also be granted for prompt payment.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Epicel is a humanitarian use device, Aastrom does not sell Epicel for a profit. The amount charged does not exceed the costs of the research, development, fabrication and distribution of the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ASU 2014-09 merges revenue recognition standards of the FASB and International Accounting Standards Board (IASB). The FASB and IASB initiated a joint project to clarify the principles for recognizing revenue and to develop a common revenue standard for U.S. GAAP and International Financial Reporting Standards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The standard is required to be adopted by public business entities in annual periods beginning on or after December 15, 2016, and interim periods within those annual periods. The Company is currently evaluating the potential impact of this new guidance on its consolidated financial statements.</w:t>
      </w:r>
    </w:p>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5—ACQUISITIONS: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30, 2014, Aastrom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Aastrom is a leading developer of patient-specific, expanded multicellular therapies for the treatment of severe, chronic cardiovascular diseases. The acquired CTRM business, also a leading developer of patient-specific expanded cellular therapies, expands the Company’s portfolio of cellular therapies to include products which treat severe burns and as well as cartilage defects. The acquired business also transforms the company into a fully integrated commercial business, and brings with it manufacturing, marketing and sales capabilities. This transaction provides a platform to generate operating income to support the development of pipeline products and possible additional strategic transactions. Pursuant to the terms of the asset purchase agreement, in consideration for the sale of the CTRM Business, the Company paid a total purchase price of $6.5 million, including $4.0 million in cash and a $2.5 million promissory note with interest accruing at the short term applicable federal rate in effect on the May 30, 2014, prepayable without prepayment penalty, and due upon the earliest to occur of (i) July 30, 2014, (ii) a liquidation, dissolution or winding up of the Company, or (iii) a sale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consideration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Acquisition consideration (in 000’s):</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Promissory note</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0"/>
        </w:trPr>
        <w:tc>
          <w:tcPr>
            <w:tcW w:w="9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acquisition consideration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tangible and intangible assets and liabilities acquired based upon their respective estimated fair values as of the acquisition date. The table below shows the preliminary fair values assigned to the assets acquired and liabilities assumed. Based on this analysis, the transaction resulted in a bargain purchase gain. We may make additional adjustments to the fair values, and these valuations could change significantly from those used to determine certain adjustments in the pro forma condensed combined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allocation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Purchase price allocation (in 000’s):</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(2,539)</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Bargain purchase gain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(3,634)</w:t>
            </w:r>
          </w:p>
        </w:tc>
      </w:tr>
      <w:tr>
        <w:trPr>
          <w:trHeight w:val="210"/>
        </w:trPr>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part of the acquisition, $5.0 million in cash was received from Sanofi in order to fund the restructuring of the Denmark operations and close the facility. To date we have recorded restructuring charges of $3.0 million and expect to incur additional costs in the second half of 2014. See Note 6 “Restructuring” below for additional information.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intangible assets acquired represent commercial use rights for certain products acquired in the transaction. This estimated fair value was determined using the income approach based on projected cash flows attributed to the commercial rights. The calculated value of the commercial rights intangible assets are amortized using the straight-line method over an estimated useful life of twelve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and their estimated useful lives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60" w:type="dxa"/>
            <w:vAlign w:val="bottom"/>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rights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unaudited pro forma condensed combined information for the three month period ending June 30, 2014, and 2013, respectively and the six month period ending June 30, 2014, and 2013, respectively are presented as if the acquisition of the CTRM Business had occurred on January 1, 2013.</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pro forma condensed combined statements should be read in connection with the Company’s historical combined financial statements and notes thereto filed with the SEC. In management’s opinion, all adjustments necessary to reflect the significant effects of this transactions have been made. These statements are based on assumptions and estimates considered appropriate by our management; however, they are unaudited and are not necessarily, and should not be assumed to be, an indication of our financial position or results of operations that would have been achieved had the acquisitions been completed as of the dates indicated or that may be achieved in the future.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8"/>
              </w:rPr>
              <w:t>June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 forma net 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(9,032)</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(20,460)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(25,251)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9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color w:val="auto"/>
        </w:rPr>
        <w:t>Revenue and net loss included in the condensed consolidated financial statements include one month of operations related to the CTRM Business since the May 30, 2014 acquisition and are $4.4 million and $(2.7 million), respectively. The net loss related to the CTRM business includes the restructuring costs described below as well as $231 thousand of expenses from the Genzyme Denmark subsidiary that the Company is in the process of shutting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6—RESTRUCTURING:</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June 16, 2014, the Company announced a strategic plan to maximize the profitability and growth potential of the CTRM Business (the Plan). Under the Plan, the Company intends to discontinue manufacturing MACI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Denmark, temporarily cease sales of MACI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Europe, and significantly reduce research and development expenses associated with MACI</w:t>
      </w:r>
      <w:r>
        <w:rPr>
          <w:rFonts w:ascii="Arial" w:cs="Arial" w:eastAsia="Arial" w:hAnsi="Arial"/>
          <w:sz w:val="23"/>
          <w:szCs w:val="23"/>
          <w:color w:val="auto"/>
          <w:vertAlign w:val="superscript"/>
        </w:rPr>
        <w:t>®</w:t>
      </w:r>
      <w:r>
        <w:rPr>
          <w:rFonts w:ascii="Arial" w:cs="Arial" w:eastAsia="Arial" w:hAnsi="Arial"/>
          <w:sz w:val="18"/>
          <w:szCs w:val="18"/>
          <w:color w:val="auto"/>
        </w:rPr>
        <w:t>. Furthermore, the Company has eliminated approximately 80 full time employee positions, which represented approximately 30% of the Company’s current total workforce. Employees terminated as part the Plan are being provided with severance payments and outplacement assistance.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Plan, the Company recorded a restructuring charge of $3.0 million in the three months ended June 30, 2014 related to the operations in the United States and Denmark, primarily representing cash payments for severance and other personnel-related expenses. Of the total restructuring charge, $2.4 million was recorded in cost of product sales, and $0.6 million was recorded in selling, general and administrative expenses. The restructuring reserve decreased to $2.6 million as of June 30, 2014 as a result of cash payments made for severance and other personnel-related expenses. In addition to restructuring charges recorded in the second quarter, the Company may incur the following costs in the future: lease termination costs of approximately $0.6 million, and stay-on bonuses of $0.2 million. These costs will be recognized when appropriate. The Company currently expects to complete the Plan by the end of the fourth quarter of 2014. The Company acquired an asset retirement obligation of $1.6 million related to the obligation to restore the Denmark facility to its original state. The Company is currently attempting to sell the leasehold improvement and transfer the lease obligation in order to avoid incurring the restoration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issues nonqualified and incentive stock options as well as other equity awards pursuant to its 2009 Omnibus Incentive Plan, as amended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and six months ended June 30, 2014, the Company granted 128,000 and 242,025, respectively, service-based options to purchase common stock. These options were granted with exercise prices equal to the fair market value of the Company’s stock at the grant date, generally vest over four years and expire after ten years. The weighted average grant-date fair value of service-based options granted under the Option Plan during the three month period ended June 30, 2014 and 2013 was $3.11 and $6.78, respectively. The weighted average grant-date fair value of service-based options granted under the Option Plan during the six month period ended June 30, 2014 and 2013 was $2.85 and $15.00,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$0.2 million and $0.5 million for the three and six months ended June 30, 2014, respectively, compared to $426 thousand and $383 thousand for the three and six month periods ended June 30, 2013, respectively. The compensation cost includes forfeiture adjustments.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Service-Based Stock Options</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6"/>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9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8"/>
                <w:szCs w:val="18"/>
                <w:color w:val="auto"/>
              </w:rPr>
              <w:t>82.4 – 88.2%</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74.0-80.7%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4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1.66 – 2.2%</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0.1- 1.4%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5"/>
          </w:tcPr>
          <w:p>
            <w:pPr>
              <w:jc w:val="right"/>
              <w:ind w:right="780"/>
              <w:spacing w:after="0"/>
              <w:rPr>
                <w:sz w:val="20"/>
                <w:szCs w:val="20"/>
                <w:color w:val="auto"/>
              </w:rPr>
            </w:pPr>
            <w:r>
              <w:rPr>
                <w:rFonts w:ascii="Arial" w:cs="Arial" w:eastAsia="Arial" w:hAnsi="Arial"/>
                <w:sz w:val="18"/>
                <w:szCs w:val="18"/>
                <w:color w:val="auto"/>
              </w:rPr>
              <w:t>5.5 – 6.25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5.0 - 6.3</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60" w:type="dxa"/>
            <w:vAlign w:val="bottom"/>
            <w:gridSpan w:val="11"/>
          </w:tcPr>
          <w:p>
            <w:pPr>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Service-Based Stock Options</w:t>
            </w:r>
          </w:p>
        </w:tc>
        <w:tc>
          <w:tcPr>
            <w:tcW w:w="15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Exercise Price</w:t>
            </w:r>
          </w:p>
        </w:tc>
        <w:tc>
          <w:tcPr>
            <w:tcW w:w="3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242,025</w:t>
            </w:r>
          </w:p>
        </w:tc>
        <w:tc>
          <w:tcPr>
            <w:tcW w:w="18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(9,676)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47.58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June 30,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506,969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22.69</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460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June 30, 2014</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191,888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40.24</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2014 there was approximately $0.9 million of total unrecognized compensation cost related to non-vested service-based stock options granted under the Option Plan. That cost is expected to be recognized over a weighted-average period of 3.19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six months ended June 30, 2014 and 2013 was $1.0 million and $1.4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8—BALANCE SHEET COMPONENTS:</w:t>
      </w:r>
    </w:p>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Inventories: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(in 000’s)</w:t>
            </w: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center"/>
              <w:ind w:right="400"/>
              <w:spacing w:after="0"/>
              <w:rPr>
                <w:sz w:val="20"/>
                <w:szCs w:val="20"/>
                <w:color w:val="auto"/>
              </w:rPr>
            </w:pPr>
            <w:r>
              <w:rPr>
                <w:rFonts w:ascii="Arial" w:cs="Arial" w:eastAsia="Arial" w:hAnsi="Arial"/>
                <w:sz w:val="18"/>
                <w:szCs w:val="18"/>
                <w:color w:val="auto"/>
                <w:w w:val="99"/>
              </w:rPr>
              <w:t>9</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2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FOR THE QUARTER ENDED JUNE 30, 2014 (UNAUDITED) (CONTINUED)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Property and equipment, net: (in 000’s)</w:t>
            </w:r>
          </w:p>
        </w:tc>
        <w:tc>
          <w:tcPr>
            <w:tcW w:w="1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Equipment and computers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3,949</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3,024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706</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6"/>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3"/>
          </w:tcPr>
          <w:p>
            <w:pPr>
              <w:spacing w:after="0"/>
              <w:rPr>
                <w:sz w:val="20"/>
                <w:szCs w:val="20"/>
                <w:color w:val="auto"/>
              </w:rPr>
            </w:pPr>
            <w:r>
              <w:rPr>
                <w:rFonts w:ascii="Arial" w:cs="Arial" w:eastAsia="Arial" w:hAnsi="Arial"/>
                <w:sz w:val="18"/>
                <w:szCs w:val="18"/>
                <w:color w:val="auto"/>
                <w:w w:val="89"/>
              </w:rPr>
              <w:t>Total property and equipment, gross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(4,086)</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As of June 30, 2014</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assets, net (in 000’s)</w:t>
            </w:r>
          </w:p>
        </w:tc>
        <w:tc>
          <w:tcPr>
            <w:tcW w:w="2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13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Commercial rights</w:t>
            </w:r>
          </w:p>
        </w:tc>
        <w:tc>
          <w:tcPr>
            <w:tcW w:w="2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-2745740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-2745740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expenses were $0.02 million and $0 for the three and six month periods ended June 30, 2014 and 2013, respectively. The increase in intangible assets, net from December 31, 2013 to June 30, 2014 is due to the acquisition of the CTRM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which includes the preliminary estimates of amortization for the assets acquired through the initial closing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CTRM Business acquisition,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gridSpan w:val="2"/>
          </w:tcPr>
          <w:p>
            <w:pPr>
              <w:spacing w:after="0"/>
              <w:rPr>
                <w:sz w:val="20"/>
                <w:szCs w:val="20"/>
                <w:color w:val="auto"/>
              </w:rPr>
            </w:pPr>
            <w:r>
              <w:rPr>
                <w:rFonts w:ascii="Arial" w:cs="Arial" w:eastAsia="Arial" w:hAnsi="Arial"/>
                <w:sz w:val="14"/>
                <w:szCs w:val="14"/>
                <w:b w:val="1"/>
                <w:bCs w:val="1"/>
                <w:color w:val="auto"/>
              </w:rPr>
              <w:t>Calendar Years Ending December 31, (in 000’s)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r>
      <w:tr>
        <w:trPr>
          <w:trHeight w:val="210"/>
        </w:trPr>
        <w:tc>
          <w:tcPr>
            <w:tcW w:w="9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Accounts payable to vendors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2,909</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5"/>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accounts payable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Restructuring reserve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5"/>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The components of accumulated other comprehensive income, net of taxes were as follows: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left="895"/>
              <w:spacing w:after="0"/>
              <w:rPr>
                <w:sz w:val="20"/>
                <w:szCs w:val="20"/>
                <w:color w:val="auto"/>
              </w:rPr>
            </w:pPr>
            <w:r>
              <w:rPr>
                <w:rFonts w:ascii="Arial" w:cs="Arial" w:eastAsia="Arial" w:hAnsi="Arial"/>
                <w:sz w:val="14"/>
                <w:szCs w:val="14"/>
                <w:b w:val="1"/>
                <w:bCs w:val="1"/>
                <w:color w:val="auto"/>
                <w:w w:val="90"/>
              </w:rPr>
              <w:t>June 30, 2014</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gridSpan w:val="9"/>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Foreign Currency translation</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91"/>
              </w:rPr>
              <w:t>adjustment, net of taxes</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21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loss reclassified into earnings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21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9" w:name="page10"/>
    <w:bookmarkEnd w:id="9"/>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June 30, 2014</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18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7"/>
          </w:tcPr>
          <w:p>
            <w:pPr>
              <w:jc w:val="center"/>
              <w:ind w:right="79"/>
              <w:spacing w:after="0" w:line="142" w:lineRule="exact"/>
              <w:rPr>
                <w:sz w:val="20"/>
                <w:szCs w:val="20"/>
                <w:color w:val="auto"/>
              </w:rPr>
            </w:pPr>
            <w:r>
              <w:rPr>
                <w:rFonts w:ascii="Arial" w:cs="Arial" w:eastAsia="Arial" w:hAnsi="Arial"/>
                <w:sz w:val="14"/>
                <w:szCs w:val="14"/>
                <w:b w:val="1"/>
                <w:bCs w:val="1"/>
                <w:color w:val="auto"/>
                <w:w w:val="92"/>
              </w:rPr>
              <w:t>Fair value measurement category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7"/>
          </w:tcPr>
          <w:p>
            <w:pPr>
              <w:jc w:val="center"/>
              <w:ind w:right="99"/>
              <w:spacing w:after="0" w:line="142" w:lineRule="exact"/>
              <w:rPr>
                <w:sz w:val="20"/>
                <w:szCs w:val="20"/>
                <w:color w:val="auto"/>
              </w:rPr>
            </w:pPr>
            <w:r>
              <w:rPr>
                <w:rFonts w:ascii="Arial" w:cs="Arial" w:eastAsia="Arial" w:hAnsi="Arial"/>
                <w:sz w:val="14"/>
                <w:szCs w:val="14"/>
                <w:b w:val="1"/>
                <w:bCs w:val="1"/>
                <w:color w:val="auto"/>
                <w:w w:val="92"/>
              </w:rPr>
              <w:t>Fair value measurement category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Level 1</w:t>
            </w:r>
          </w:p>
        </w:tc>
        <w:tc>
          <w:tcPr>
            <w:tcW w:w="74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9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424"/>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Warrant Liabilities (in 000’s)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Warrant exercise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fair value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Balance at June 30, 2014</w:t>
            </w: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balances for the Company’s fair value measurements using Level 3 inputs is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14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2014</w:t>
            </w: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Increase in fair value</w:t>
            </w: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 PURCHASE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historically issued warrants to purchase shares of the Company’s common stock in connection with certain of its common stock offerings. The following warrants were outstanding at June 30, 2014,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non-cash income or expense in the Company’s statement of operations in each subsequent period:</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January 2010 Class</w:t>
            </w:r>
          </w:p>
        </w:tc>
        <w:tc>
          <w:tcPr>
            <w:tcW w:w="18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2010</w:t>
            </w: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August 2013</w:t>
            </w:r>
          </w:p>
        </w:tc>
      </w:tr>
      <w:tr>
        <w:trPr>
          <w:trHeight w:val="17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 Warrants</w:t>
            </w:r>
          </w:p>
        </w:tc>
        <w:tc>
          <w:tcPr>
            <w:tcW w:w="180" w:type="dxa"/>
            <w:vAlign w:val="bottom"/>
          </w:tcPr>
          <w:p>
            <w:pPr>
              <w:spacing w:after="0"/>
              <w:rPr>
                <w:sz w:val="14"/>
                <w:szCs w:val="1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Expiration date</w:t>
            </w:r>
          </w:p>
        </w:tc>
        <w:tc>
          <w:tcPr>
            <w:tcW w:w="160" w:type="dxa"/>
            <w:vAlign w:val="bottom"/>
          </w:tcPr>
          <w:p>
            <w:pPr>
              <w:spacing w:after="0"/>
              <w:rPr>
                <w:sz w:val="18"/>
                <w:szCs w:val="18"/>
                <w:color w:val="auto"/>
              </w:rPr>
            </w:pPr>
          </w:p>
        </w:tc>
        <w:tc>
          <w:tcPr>
            <w:tcW w:w="1860" w:type="dxa"/>
            <w:vAlign w:val="bottom"/>
            <w:gridSpan w:val="2"/>
          </w:tcPr>
          <w:p>
            <w:pPr>
              <w:ind w:left="580"/>
              <w:spacing w:after="0"/>
              <w:rPr>
                <w:sz w:val="20"/>
                <w:szCs w:val="20"/>
                <w:color w:val="auto"/>
              </w:rPr>
            </w:pPr>
            <w:r>
              <w:rPr>
                <w:rFonts w:ascii="Arial" w:cs="Arial" w:eastAsia="Arial" w:hAnsi="Arial"/>
                <w:sz w:val="18"/>
                <w:szCs w:val="18"/>
                <w:color w:val="auto"/>
              </w:rPr>
              <w:t>July 21, 2015</w:t>
            </w:r>
          </w:p>
        </w:tc>
        <w:tc>
          <w:tcPr>
            <w:tcW w:w="1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December 15, 2015</w:t>
            </w:r>
          </w:p>
        </w:tc>
        <w:tc>
          <w:tcPr>
            <w:tcW w:w="28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w w:val="97"/>
              </w:rPr>
              <w:t>August 16, 2018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shares issuable on exercise</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226,299</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1,087,450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Class A warrants and the December 2010 warrants are measured using the Monte Carlo valuation model. The methodology is based, in part, upon inputs for which there is little or no observable market data, requiring the Company to develop its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Inherent in the Monte Carlo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Monte Carlo model is used for the Class A warrants and the December 2010 warrants to value the potential future exercise price adjustments triggered by the anti-dilution provisions as well as the value of the put feature of the December 2010 warrants. These require Level 3 inputs which are based on the Company’s estimates of the probability and timing of potential future financings and fundamental transactions. The other assumptions used by the Company are summarized in the following tables: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January 2010 Class A Warrants</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r>
    </w:tbl>
    <w:p>
      <w:pPr>
        <w:sectPr>
          <w:pgSz w:w="11900" w:h="16857" w:orient="portrait"/>
          <w:cols w:equalWidth="0" w:num="1">
            <w:col w:w="11420"/>
          </w:cols>
          <w:pgMar w:left="240" w:top="337" w:right="239" w:bottom="0" w:gutter="0" w:footer="0" w:header="0"/>
        </w:sectPr>
      </w:pPr>
    </w:p>
    <w:bookmarkStart w:id="10" w:name="page11"/>
    <w:bookmarkEnd w:id="10"/>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80" w:type="dxa"/>
            <w:vAlign w:val="bottom"/>
            <w:gridSpan w:val="4"/>
          </w:tcPr>
          <w:p>
            <w:pPr>
              <w:spacing w:after="0"/>
              <w:rPr>
                <w:sz w:val="20"/>
                <w:szCs w:val="20"/>
                <w:color w:val="auto"/>
              </w:rPr>
            </w:pPr>
            <w:r>
              <w:rPr>
                <w:rFonts w:ascii="Arial" w:cs="Arial" w:eastAsia="Arial" w:hAnsi="Arial"/>
                <w:sz w:val="18"/>
                <w:szCs w:val="18"/>
                <w:color w:val="auto"/>
              </w:rPr>
              <w:t>Expected dividend rate</w:t>
            </w:r>
          </w:p>
        </w:tc>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r>
      <w:tr>
        <w:trPr>
          <w:trHeight w:val="216"/>
        </w:trPr>
        <w:tc>
          <w:tcPr>
            <w:tcW w:w="558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r>
      <w:tr>
        <w:trPr>
          <w:trHeight w:val="365"/>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December 2010 Warrants</w:t>
            </w:r>
          </w:p>
        </w:tc>
        <w:tc>
          <w:tcPr>
            <w:tcW w:w="18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30, 2014</w:t>
            </w:r>
          </w:p>
        </w:tc>
        <w:tc>
          <w:tcPr>
            <w:tcW w:w="1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2013</w:t>
            </w:r>
          </w:p>
        </w:tc>
      </w:tr>
      <w:tr>
        <w:trPr>
          <w:trHeight w:val="210"/>
        </w:trPr>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4"/>
          </w:tcPr>
          <w:p>
            <w:pPr>
              <w:spacing w:after="0"/>
              <w:rPr>
                <w:sz w:val="20"/>
                <w:szCs w:val="20"/>
                <w:color w:val="auto"/>
              </w:rPr>
            </w:pPr>
            <w:r>
              <w:rPr>
                <w:rFonts w:ascii="Arial" w:cs="Arial" w:eastAsia="Arial" w:hAnsi="Arial"/>
                <w:sz w:val="18"/>
                <w:szCs w:val="18"/>
                <w:color w:val="auto"/>
              </w:rPr>
              <w:t>Expected dividend rate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r>
      <w:tr>
        <w:trPr>
          <w:trHeight w:val="216"/>
        </w:trPr>
        <w:tc>
          <w:tcPr>
            <w:tcW w:w="558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r>
      <w:tr>
        <w:trPr>
          <w:trHeight w:val="58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August 2013 Warrants</w:t>
            </w:r>
          </w:p>
        </w:tc>
        <w:tc>
          <w:tcPr>
            <w:tcW w:w="18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June 30, 2014</w:t>
            </w:r>
          </w:p>
        </w:tc>
        <w:tc>
          <w:tcPr>
            <w:tcW w:w="1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2013</w:t>
            </w: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4"/>
          </w:tcPr>
          <w:p>
            <w:pPr>
              <w:spacing w:after="0"/>
              <w:rPr>
                <w:sz w:val="20"/>
                <w:szCs w:val="20"/>
                <w:color w:val="auto"/>
              </w:rPr>
            </w:pPr>
            <w:r>
              <w:rPr>
                <w:rFonts w:ascii="Arial" w:cs="Arial" w:eastAsia="Arial" w:hAnsi="Arial"/>
                <w:sz w:val="18"/>
                <w:szCs w:val="18"/>
                <w:color w:val="auto"/>
              </w:rPr>
              <w:t>Expected dividend rate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r>
      <w:tr>
        <w:trPr>
          <w:trHeight w:val="216"/>
        </w:trPr>
        <w:tc>
          <w:tcPr>
            <w:tcW w:w="558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11—SERIES B CONVERTIBLE PREFERRED STOCK:</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Dividends on the Series B preferred stock will be cumulative and compound daily, at a rate of 11.5% per annum, payable upon conversion, liquidation, redemption or other similar events, and payable in cash or Series B-1 preferred stock until the Conversion date. As of June 30, 2014, there are approximately 187,181 accumulated but undeclared Series B-1 dividends. Unless prohibited by Michigan law governing distributions to shareholders, the Series B-1 preferred stock shall be redeemable at the option of holder of the Series B-1 preferred stock commencing at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time after the Conversion date, liquidation, winding up, dissolution or other similar events, subject to certain terms and limitations.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total amount of $38,389,000 Series B preferred stock was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000’s except per share amounts)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10,633</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accumulated on convertible preferred stock</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50"/>
        </w:trPr>
        <w:tc>
          <w:tcPr>
            <w:tcW w:w="5300" w:type="dxa"/>
            <w:vAlign w:val="bottom"/>
            <w:gridSpan w:val="2"/>
          </w:tcPr>
          <w:p>
            <w:pPr>
              <w:spacing w:after="0"/>
              <w:rPr>
                <w:sz w:val="20"/>
                <w:szCs w:val="20"/>
                <w:color w:val="auto"/>
              </w:rPr>
            </w:pPr>
            <w:r>
              <w:rPr>
                <w:rFonts w:ascii="Arial" w:cs="Arial" w:eastAsia="Arial" w:hAnsi="Arial"/>
                <w:sz w:val="18"/>
                <w:szCs w:val="18"/>
                <w:color w:val="auto"/>
              </w:rPr>
              <w:t>Numerator of basic and diluted EPS</w:t>
            </w:r>
          </w:p>
        </w:tc>
        <w:tc>
          <w:tcPr>
            <w:tcW w:w="2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2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2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EPS: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6,518</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2,283</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6,195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per share attributable to common shareholders (basic and</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1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June 30, 2014 and 2013 were 2,639,000 and 1,320,000,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13—BORROWINGS: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short term promissory note associated with the purchase of the CTRM Business. The interest rate for the principle amount is at the short term applicable federal rate in effect on May 30, 2014. The promissory note is prepayable without prepayment penalty and due upon the earliest to occur of</w:t>
      </w:r>
    </w:p>
    <w:p>
      <w:pPr>
        <w:ind w:firstLine="8"/>
        <w:spacing w:after="0" w:line="261" w:lineRule="auto"/>
        <w:tabs>
          <w:tab w:leader="none" w:pos="218" w:val="left"/>
        </w:tabs>
        <w:numPr>
          <w:ilvl w:val="0"/>
          <w:numId w:val="4"/>
        </w:numPr>
        <w:rPr>
          <w:rFonts w:ascii="Arial" w:cs="Arial" w:eastAsia="Arial" w:hAnsi="Arial"/>
          <w:sz w:val="18"/>
          <w:szCs w:val="18"/>
          <w:color w:val="auto"/>
        </w:rPr>
      </w:pPr>
      <w:r>
        <w:rPr>
          <w:rFonts w:ascii="Arial" w:cs="Arial" w:eastAsia="Arial" w:hAnsi="Arial"/>
          <w:sz w:val="18"/>
          <w:szCs w:val="18"/>
          <w:color w:val="auto"/>
        </w:rPr>
        <w:t>July 30, 2014, (ii) a liquidation, dissolution or winding up of the Company, or a (iii) sale of the Company. The balance outstanding on the promissory note as of June 30, 2014 was $2.5 million. The promissory note approximates the fair value of the obligation.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30, 2014, the Company repaid the promissory note due to Sanofi in connection with the acquisition of the CTRM Business in the amount of $2.5 million plus interest of $1.4 thousand.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 (UNAUDITED)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14—SHAREHOLDERS’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(with a remaining balance of $11.8 million) of shares of its common stock to Lincoln Park, subject to certain limitations, from time to time over a 30-month period, which began on April 3, 2014 and ends on October 3, 2016.</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Purchase Agreement, in the six months ended June 30, 2014, the Company issued to Lincoln Park 772,361 shares of common stock and raised $3.2 million. Additionally, during the six months ended June 30, 2014, the Company raised net proceeds of $5.3 million utilizing the ATM. At June 30, 2014 there was approximately $9.3 million of net capacity remaining on the ATM.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15—CONCENTRATION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one third party customer in the U.S. represented 76% of total revenue during the three and six month period ended June 30, 2014. Reported revenue reflects sales related to the acquisition of the CTRM Business from Sanofi since May 30, 2014. No other customer represented more than 10% of net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 amended its operating lease with Domino’s Farms Office Park, LLC to extend the term of the lease for an additional five years, which began on May 1, 2013. The Company now has a right to terminate on the third anniversary of the renewal, and has two five-year market value renewal options. The Company’s leased facility includes a Class 100,000 modular manufacturing clean room, laboratories and office space. The lease also provides the Company a right of first refusal on certain additional space.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acquisition of the CTRM Business, the company assumed the leases for facilities in Cambridge, MA and Kastrup, Denmark. The leases for the facilities in Cambridge and Kastrup are non-cancelable leases expiring at various dates through February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future minimum payments related to operating leases are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400" w:type="dxa"/>
            <w:vAlign w:val="bottom"/>
          </w:tcPr>
          <w:p>
            <w:pPr>
              <w:spacing w:after="0"/>
              <w:rPr>
                <w:sz w:val="20"/>
                <w:szCs w:val="20"/>
                <w:color w:val="auto"/>
              </w:rPr>
            </w:pPr>
            <w:r>
              <w:rPr>
                <w:rFonts w:ascii="Arial" w:cs="Arial" w:eastAsia="Arial" w:hAnsi="Arial"/>
                <w:sz w:val="14"/>
                <w:szCs w:val="14"/>
                <w:b w:val="1"/>
                <w:bCs w:val="1"/>
                <w:color w:val="auto"/>
              </w:rPr>
              <w:t>(in 000’s)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More than 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 office space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force leased auto fleet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8"/>
                <w:szCs w:val="18"/>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the three and six months ended June 30, 2014 was approximately $0.6 million and $0.8 million, respectively, compared to $0.3 million and $0.5 million for those same periods in 2013.</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its the acquisition of Verigen AG (Verigen), Genzyme Corporation, a subsidiary of Sanofi agreed to make cash payments to Verigen upon the achievement of developmental milestones relating to regulatory and commercialization of MACI in the United States. If the Company further develops MACI in the U.S., it will be obligated to pay Verigen up to $15.8 million in developmental milestones relating to regulatory and commercialization of MACI</w:t>
      </w:r>
    </w:p>
    <w:p>
      <w:pPr>
        <w:sectPr>
          <w:pgSz w:w="11900" w:h="16885" w:orient="portrait"/>
          <w:cols w:equalWidth="0" w:num="1">
            <w:col w:w="11420"/>
          </w:cols>
          <w:pgMar w:left="240" w:top="134" w:right="239" w:bottom="0" w:gutter="0" w:footer="0" w:header="0"/>
        </w:sectPr>
      </w:pPr>
    </w:p>
    <w:bookmarkStart w:id="12" w:name="page13"/>
    <w:bookmarkEnd w:id="12"/>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United States. No amounts have been accrued for payments of these potential milestone payments, any amounts to be paid cannot be reasonably estimated and are not probable.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9, 2014, the Company entered into a Warrant Exercise Agreement with one holder of warrants issued by the Company on August 16, 2013 (the 2013 Warrants) to purchase an aggregate of 362,500 shares of the Company’s common stock, no par value. Pursuant to the Warrant Exercise Agreement, the holder agreed to exercise the 2013 Warrants at the existing exercise price of $4.80. The net proceeds to the Company in connection with the exercise of the 2013 Warrants, after deducting a warrant inducement payment, and expenses, were approximately $1.5 million. As a result of this transaction, there are now 724,950 of the 2013 Warrants outstanding and the warrant liability has been reduced by approximately 33%.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are a fully integrated, commercial-stage biopharmaceutical company dedicated to the identification, development and commercialization of innovative therapies that enable the body to repair and regenerate damaged tissues and organs to restore normal structure and function. Our product portfolio is comprised of patient-specific (autologous) cell therapies utilizing proprietary manufacturing processes and systems. We have marketed products as well as developmental stage product candidates and our goal is to become the leading cell therapy and regenerative medicine company by developing, manufacturing and marketing best-in-class therapies for patients with significant unmet medical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30, 2014 we completed the acquisition of certain assets of Sanofi, a French société anonyme (Sanofi), including all of the outstanding equity interests of Genzyme Biosurgery ApS (Genzyme Denmark), a wholly-owned subsidiary of Sanofi, and over 250 patents and patent applications of Sanofi and certain of its subsidiaries and assumed certain liabilities for purposes of acquiring the portion of the cell therapy and regenerative medicine business (the CTRM Business), which researches, develops, manufactures, markets and sells Carticel</w:t>
      </w:r>
      <w:r>
        <w:rPr>
          <w:rFonts w:ascii="Arial" w:cs="Arial" w:eastAsia="Arial" w:hAnsi="Arial"/>
          <w:sz w:val="20"/>
          <w:szCs w:val="20"/>
          <w:color w:val="auto"/>
          <w:vertAlign w:val="superscript"/>
        </w:rPr>
        <w:t>®</w:t>
      </w:r>
      <w:r>
        <w:rPr>
          <w:rFonts w:ascii="Arial" w:cs="Arial" w:eastAsia="Arial" w:hAnsi="Arial"/>
          <w:sz w:val="16"/>
          <w:szCs w:val="16"/>
          <w:color w:val="auto"/>
        </w:rPr>
        <w:t>, MACI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(the CTRM Transaction).</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consideration for the acquisition of the CTRM Business, we paid a total purchase price of approximately $6.5 million, as follows: (a) $4 million was paid in cash on the closing date of the CTRM Transaction, and (b) a $2.5 million promissory note was paid on July 30, 2014. In accordance with generally accepted accounting principles in the United States of America (U.S. GAAP), we recorded the assets and liabilities of the CTRM Business at fair value. The net assets of the CTRM Business were preliminarily valued at $10.1 million, which is in excess of the $6.5 million purchase price, which resulted in a $3.6 million bargain purchase gain. The primary driving factor for the bargain purchase gain was the structure of the CTRM Transaction. As part of the CTRM Transaction, Sanofi funded Genzyme Denmark with $5.0 million in cash in order to fund the restructuring of the Denmark operations and close the facility. Under U.S. GAAP, no restructuring actions were taken by Sanofi prior to our purchase of the CTRM Business, and accordingly, there were no restructuring related accruals in the opening balance sheet. Additionally, there were no restrictions on the use of the cash in Genzyme Denmark. We implemented our restructuring plans for Genzyme Denmark after the consummation of the CTRM Transaction, and accordingly, have recorded restructuring charges in our current period results of operations. To date we have recorded restructuring charges of $3.0 million and expect to incur additional costs in the second half of 2014. See Note 6, “Restructuring”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 conducted for approval in Europe. The Copenhagen manufacturing facility, which was approved by the Danish Medicines Agency (DKMA), was responsible for MACI manufacturing and distribution in Europe. As part of the June 2014 restructuring, MACI manufacturing at the Copenhagen manufacturing facility will be discontinued. Going forward, any clinical and commercial production of MACI will occur at our Cambridge facility. We also operate a centralized cell manufacturing facility in Ann Arbor, Michigan. The facility supports the current ixCELL DCM clinical trial being conducted in the United States and Canada and has sufficient capacity, with minor modifications, to supply our early commercialization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w:t>
      </w:r>
    </w:p>
    <w:p>
      <w:pPr>
        <w:sectPr>
          <w:pgSz w:w="11900" w:h="16945" w:orient="portrait"/>
          <w:cols w:equalWidth="0" w:num="1">
            <w:col w:w="11420"/>
          </w:cols>
          <w:pgMar w:left="240" w:top="125" w:right="239" w:bottom="0" w:gutter="0" w:footer="0" w:header="0"/>
        </w:sectPr>
      </w:pPr>
    </w:p>
    <w:bookmarkStart w:id="13" w:name="page14"/>
    <w:bookmarkEnd w:id="13"/>
    <w:p>
      <w:pPr>
        <w:spacing w:after="0" w:line="3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and is currently marketed in the U.S. It is generally used on patients with larger lesions (greater than 3 cm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In the year ended December 31, 2013, net revenues were $35.2 million for Carticel.</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23-person field force calling on these sports-injury targeted orthopedic physician audience.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Epicel is a permanent skin replacement for full thickness burns greater than or equal to 30% of total body surface area (TBSA). Epicel is the only FDA-approved autologous epidermal product available for large total surface area burns. Epicel was approved in the United States as a humanitarian use device (HUD) under an Humanitarian Device Exemption (HDE). Devices eligible for an HDE are intended for diseases or conditions that occur in a maximum of 4,000 individuals annually in the United States. Currently, approximately 100 patients are treated with Epicel in the U.S. each year. In the year ended December 31, 2013, net revenues were $7.1 million for Epicel.</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original HDE approval and pursuant to the Pediatric Medical Device Safety and Improvement Act of 2007 (PMDSIA), Epicel could not be sold for an amount that exceeds the costs of research and development, fabrication, and distribution. In 2012, the PMDSIA was modified so that under a HDE program, a manufacturer would be allowed to sell for a profit devices intended for a condition or disease that does not occur (or only rarely occurs) in pediatric patients, so long as it meets certain other specified conditions. Prior to July 1, 2014, Epicel was being sold below standard costs and those costs allowed under the modified PMDSIA regulations. As of July 1, 2014, we have increased the price of Epicel to reflect the full costs allowed under those regulations. The modified PMDSIA does not cap the number of devices for which the manufacturer may obtain a profit per year at 4,000 devices, but rather assigns an “annual distribution number.” A manufacturer may not distribute more than the annual distribution number assigned by the FDA at the time the exemption is granted. We are currently investigating the potential impact of this change on our ability to sell Epicel for a profit.</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 until July, 2014, we had one sales representative selling Epicel and two partially dedicated Medical Scientific Liaisons supporting Epicel inquiries. We have recently expanded the Epicel sales force to three representatives and will increase the number of burn centers called upon.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has been commercially available in the EU since 1998. Sales of MACI will be temporarily discontinued as part of a restructuring of the business in August 2014, primarily due to low utilization and an unfavorable pricing environment. We believe that MACI, which is a Phase 3 product candidate in the U.S., has significant revenue potential in the U.S., and we are planning to discuss approval requirements with the FDA. The timing and process to gain approval in the U.S. and a possible reintroduction in select EU countries have not yet been determined.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MACI was obtained via the acquisition by Genzyme Corporation of Verigen AG in 2005. As part of the acquisition of Verigen AG, Genzyme Corporation agreed to make cash payments upon the achievement of developmental milestones relating to regulatory and commercialization of MACI in the United States. If we further develop MACI in the U.S., we will be obligated to pay certain developmental milestones relating to regulatory and commercialization of MACI in the United States. No amounts have been accrued for payments of these potential milestone payments, any amounts to be paid cannot be reasonably estimated and are not probable.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lead clinical development program for ixmyelocel-T is focused on severe, chronic ischemic cardiovascular diseases. We are currently enrolling our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ongoing Phase 2b ixCELL-DCM clinical study is designed to treat 108 patients at approximately 35 sites in the U.S. and Canada. Patients will be followed for 12 months for the primary efficacy endpoint of MACE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expect to complete enrollment of the ixCELL-DCM study in 2014, and have top-line efficacy results approximately 12 months later.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70"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NET LOSS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Net loss for the three and six months ended June 30, 2014 totaled ($4.6 million) or ($0.94) per share and ($10.6 million) or ($2.18) per share. The results for the three and six months ended June 30, 2014 include one month of operating results of the acquired CTRM Business including restructuring charges of $3.0 million, expenses for the exited Denmark business of $0.2 million and a bargain purchase gain of approximately $3.6 million.</w:t>
      </w:r>
    </w:p>
    <w:p>
      <w:pPr>
        <w:spacing w:after="0" w:line="16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summarizes the effect of the CTRM Transaction on our results of operations for the three and six months ended June 30, 2014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gridSpan w:val="11"/>
          </w:tcPr>
          <w:p>
            <w:pPr>
              <w:jc w:val="center"/>
              <w:ind w:right="92"/>
              <w:spacing w:after="0"/>
              <w:rPr>
                <w:sz w:val="20"/>
                <w:szCs w:val="20"/>
                <w:color w:val="auto"/>
              </w:rPr>
            </w:pPr>
            <w:r>
              <w:rPr>
                <w:rFonts w:ascii="Arial" w:cs="Arial" w:eastAsia="Arial" w:hAnsi="Arial"/>
                <w:sz w:val="14"/>
                <w:szCs w:val="14"/>
                <w:b w:val="1"/>
                <w:bCs w:val="1"/>
                <w:color w:val="auto"/>
                <w:w w:val="93"/>
              </w:rPr>
              <w:t>For the Three Months Ended June 30, 2014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 June 30,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9"/>
              </w:rPr>
              <w:t>Legacy Business</w:t>
            </w:r>
          </w:p>
        </w:tc>
        <w:tc>
          <w:tcPr>
            <w:tcW w:w="1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rPr>
              <w:t>Acquired</w:t>
            </w:r>
          </w:p>
        </w:tc>
        <w:tc>
          <w:tcPr>
            <w:tcW w:w="1240" w:type="dxa"/>
            <w:vAlign w:val="bottom"/>
            <w:tcBorders>
              <w:top w:val="single" w:sz="8" w:color="auto"/>
            </w:tcBorders>
            <w:gridSpan w:val="4"/>
          </w:tcPr>
          <w:p>
            <w:pPr>
              <w:ind w:left="220"/>
              <w:spacing w:after="0" w:line="119" w:lineRule="exact"/>
              <w:rPr>
                <w:sz w:val="20"/>
                <w:szCs w:val="20"/>
                <w:color w:val="auto"/>
              </w:rPr>
            </w:pPr>
            <w:r>
              <w:rPr>
                <w:rFonts w:ascii="Arial" w:cs="Arial" w:eastAsia="Arial" w:hAnsi="Arial"/>
                <w:sz w:val="13"/>
                <w:szCs w:val="13"/>
                <w:b w:val="1"/>
                <w:bCs w:val="1"/>
                <w:color w:val="auto"/>
              </w:rPr>
              <w:t>Consolidated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7"/>
              </w:rPr>
              <w:t>Legacy Business</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Acquired</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auto"/>
              </w:rPr>
              <w:t>Consolidated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3"/>
              </w:rPr>
              <w:t>Business</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0"/>
              </w:rPr>
              <w:t>Business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Business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Business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right="544"/>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4,373</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4,432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4,922</w:t>
            </w: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5,851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2,094</w:t>
            </w: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(5,879)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(2,643)</w:t>
            </w: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Bargain purchase gain</w:t>
            </w:r>
          </w:p>
        </w:tc>
        <w:tc>
          <w:tcPr>
            <w:tcW w:w="1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3,634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3,634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3,634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Total other income loss</w:t>
            </w:r>
          </w:p>
        </w:tc>
        <w:tc>
          <w:tcPr>
            <w:tcW w:w="1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3,884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2,533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40" w:type="dxa"/>
            <w:vAlign w:val="bottom"/>
            <w:gridSpan w:val="4"/>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(1,995)</w:t>
            </w:r>
          </w:p>
        </w:tc>
        <w:tc>
          <w:tcPr>
            <w:tcW w:w="860" w:type="dxa"/>
            <w:vAlign w:val="bottom"/>
            <w:gridSpan w:val="2"/>
          </w:tcPr>
          <w:p>
            <w:pPr>
              <w:jc w:val="center"/>
              <w:ind w:right="404"/>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(2,643)</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(4,638)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(7,990)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(2,643)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gridSpan w:val="4"/>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000’s)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424"/>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Segment:</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tcPr>
          <w:p>
            <w:pPr>
              <w:ind w:left="160"/>
              <w:spacing w:after="0"/>
              <w:rPr>
                <w:sz w:val="20"/>
                <w:szCs w:val="20"/>
                <w:color w:val="auto"/>
              </w:rPr>
            </w:pPr>
            <w:r>
              <w:rPr>
                <w:rFonts w:ascii="Arial" w:cs="Arial" w:eastAsia="Arial" w:hAnsi="Arial"/>
                <w:sz w:val="18"/>
                <w:szCs w:val="18"/>
                <w:color w:val="auto"/>
              </w:rPr>
              <w:t>Aastrom Cell Therapy</w:t>
            </w:r>
          </w:p>
        </w:tc>
        <w:tc>
          <w:tcPr>
            <w:tcW w:w="10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4,432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4,432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Geographic Region</w:t>
            </w: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3"/>
          </w:tcPr>
          <w:p>
            <w:pPr>
              <w:ind w:left="160"/>
              <w:spacing w:after="0"/>
              <w:rPr>
                <w:sz w:val="20"/>
                <w:szCs w:val="20"/>
                <w:color w:val="auto"/>
              </w:rPr>
            </w:pPr>
            <w:r>
              <w:rPr>
                <w:rFonts w:ascii="Arial" w:cs="Arial" w:eastAsia="Arial" w:hAnsi="Arial"/>
                <w:sz w:val="18"/>
                <w:szCs w:val="18"/>
                <w:color w:val="auto"/>
              </w:rPr>
              <w:t>United States of America</w:t>
            </w:r>
          </w:p>
        </w:tc>
        <w:tc>
          <w:tcPr>
            <w:tcW w:w="10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4,432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4,432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We have exited the “Developmental Stage” and are a “Commercial Stage” company following the acquisition of the CTRM Business on May 30, 2014 and the initiation of commercial sales of bone marrow from our wholly owned subsidiary Marrow Donation LLC (Marrow Donation) in June 2014.</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revenues for the three and six months ended June 30, 2014 were $4.4 million and reflect one month of results from commercial operations of the CTRN Business in the U.S. Revenues were comprised of approximately $3.4 million of net sales of Carticel implants and surgical kits, approximately $0.9 million of net sales of Epicel grafts and biopsy kits, and approximately $0.1 million of revenue from commercial sales of bone marrow generated by Marrow Donation.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GROSS PROFIT AND GROSS PROFIT RATIO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2640" w:type="dxa"/>
            <w:vAlign w:val="bottom"/>
            <w:gridSpan w:val="5"/>
          </w:tcPr>
          <w:p>
            <w:pPr>
              <w:jc w:val="right"/>
              <w:ind w:right="145"/>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(577)</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9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Period comparisons for gross profit are not meaningful due to the May 30, 2014 acquisition of the CTRM Business. Gross Profit for both the three and six month periods ending June 30, 2014 included $2.4 million of restructuring expenses which reduced the gross profit by 54 percentage points.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(in 000’s)</w:t>
            </w:r>
          </w:p>
        </w:tc>
        <w:tc>
          <w:tcPr>
            <w:tcW w:w="3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4,364</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3,676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$0.7 million increase in Research and development (R&amp;D) costs for the three months ended June 30, 2014 is due to additional costs of $1.0 million resulting from increased enrollment in the DCM trial and approximately $0.5 million in R&amp;D costs from the CTRM Business offset by a decrease of approximately $0.8 million due to the completion of the CLI trial and a 2013 restructuring of $0.4 million. The $1.6 million decrease in R&amp;D costs in the six months ended June 30, 2014 is due to an increase of $3.0 million as the DCM trial increased enrollment and approximately $0.5 million in R&amp;D costs from the CTRM Business offset by a decrease of approximately $5.1 million due to the completion of the CLI trial and a 2013 restructuring of $0.4 million.</w:t>
      </w:r>
    </w:p>
    <w:p>
      <w:pPr>
        <w:spacing w:after="0" w:line="15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major ongoing research and development program is focused on the clinical development of ixmyelocel-T for treatment of advanced heart failure due to ischemic DCM. The following table summarizes the approximate allocation of cost for our research and development projects:</w:t>
      </w:r>
    </w:p>
    <w:p>
      <w:pPr>
        <w:spacing w:after="0" w:line="162" w:lineRule="exact"/>
        <w:rPr>
          <w:sz w:val="20"/>
          <w:szCs w:val="20"/>
          <w:color w:val="auto"/>
        </w:rPr>
      </w:pPr>
    </w:p>
    <w:p>
      <w:pPr>
        <w:ind w:left="5820"/>
        <w:spacing w:after="0"/>
        <w:tabs>
          <w:tab w:leader="none" w:pos="8720" w:val="left"/>
        </w:tabs>
        <w:rPr>
          <w:sz w:val="20"/>
          <w:szCs w:val="20"/>
          <w:color w:val="auto"/>
        </w:rPr>
      </w:pPr>
      <w:r>
        <w:rPr>
          <w:rFonts w:ascii="Arial" w:cs="Arial" w:eastAsia="Arial" w:hAnsi="Arial"/>
          <w:sz w:val="14"/>
          <w:szCs w:val="14"/>
          <w:b w:val="1"/>
          <w:bCs w:val="1"/>
          <w:color w:val="auto"/>
        </w:rPr>
        <w:t>Three Months Ended June 30,</w:t>
      </w:r>
      <w:r>
        <w:rPr>
          <w:sz w:val="20"/>
          <w:szCs w:val="20"/>
          <w:color w:val="auto"/>
        </w:rPr>
        <w:tab/>
      </w: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6350</wp:posOffset>
            </wp:positionV>
            <wp:extent cx="3413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5" w:name="page16"/>
    <w:bookmarkEnd w:id="15"/>
    <w:tbl>
      <w:tblPr>
        <w:tblLayout w:type="fixed"/>
        <w:tblInd w:w="340" w:type="dxa"/>
        <w:tblCellMar>
          <w:top w:w="0" w:type="dxa"/>
          <w:left w:w="0" w:type="dxa"/>
          <w:bottom w:w="0" w:type="dxa"/>
          <w:right w:w="0" w:type="dxa"/>
        </w:tblCellMar>
      </w:tblPr>
      <w:tr>
        <w:trPr>
          <w:trHeight w:val="171"/>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000’s)</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Critical Limb Ischemia</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Dilated Cardiomyopathy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3,545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ADMINSTRATIVE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258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Selling, general and administrative (SG&amp;A) costs for the three months ended June 30, 2014 of $2.0 million is due to an increase of approximately $0.4 million in legal and other expenses related to the acquisition of the CTRM Business, approximately $0.6 million in restructuring expenses, approximately $0.8 million in additional SG&amp;A costs from the CTRM Business in the US and $0.2 million in SG&amp;A costs from the CTRM Business in Denmark partially offset by the reduced staffing and operating expenses due to the 2013 restructuring plan of $0.1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SG&amp;A costs for the six months ended June 30, 2014 of $1.8 million is due to an increase of approximately $0.4 million in legal and other expenses related to the CTRM Business, approximately $0.6 million in restructuring expenses, approximately $0.8 million in additional SG&amp;A costs from the CTRM Business in the U.S. and $0.2 million in SG&amp;A costs from the CTRM Business in Denmark partially offset by the reduced staffing and operating expenses due to the 2013 restructuring plan of $0.1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000’s)</w:t>
            </w:r>
          </w:p>
        </w:tc>
        <w:tc>
          <w:tcPr>
            <w:tcW w:w="180" w:type="dxa"/>
            <w:vAlign w:val="bottom"/>
          </w:tcPr>
          <w:p>
            <w:pPr>
              <w:spacing w:after="0"/>
              <w:rPr>
                <w:sz w:val="14"/>
                <w:szCs w:val="14"/>
                <w:color w:val="auto"/>
              </w:rPr>
            </w:pP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20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decrease in fair value of warrants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3,634</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3,634</w:t>
            </w:r>
          </w:p>
        </w:tc>
        <w:tc>
          <w:tcPr>
            <w:tcW w:w="2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decrease in warrant value was primarily due to the decline in our stock price, the reduction in the time to maturity and the reduction of warrants outstanding. Fluctuations in the fair value of the warrants in the future periods could result in significant non-cash adjustments to the condensed combined consolidated financial statements, however, any income or expense recorded will not impact our cash and cash equivalents, operating expenses, or cash flow.</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income of approximately $3.6 million for the three months ended and six months ended June 30, 2014 represents the bargain purchase gain associated with the acquisition of the CTRM Business on May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stock-based compensation expense included in research and development expenses and selling, general and administrative expenses is summarized in the following table:</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non-cash stock-based compensation expense (income)</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stock-based compensation expense is due primarily to the restructuring that was announced on March 27, 2013, and the forfeiture adjustment that resulted from the related reduction in workforce, as it did not recur in 2014. The forfeiture adjustments for the six months ended June 30, 2013 for research and development and selling, general and administrative for this announcement were $968 thousand and $157 thousand,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geared towards successfully integrating and growing our recently acquired CTRM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to generate positive cash flows from our consolidated operations for at least the next several years and then only if we achieve some combination of significant product sales growth, improved product margins, and lower SG&amp;A and R&amp;D expenses.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we will need to raise significant additional funds or pursue strategic transactions or other strategic alternatives in order to complete our product development programs, and complete clinical trials needed to market and commercialize our products. To date, we have financed our operations primarily through public and private sales of our equity securities, and we expect to continue to seek to obtain the required capital in a similar manner. In connection with a purchase agreement with Lincoln Park, in the six months ended June 30, 2014, we issued to Lincoln Park 772,361 shares of common stock and raised $3.2 million and have $11.8 million of remaining capacity under the agreement. Additionally, during the six months ended June 30, 2014, the Company raised net proceeds of $5.3 million utilizing our at the market sales agreement (ATM) with MLV &amp; Co., LLC. which has approximately $9.3 million of remaining net capacity.</w:t>
      </w:r>
    </w:p>
    <w:p>
      <w:pPr>
        <w:sectPr>
          <w:pgSz w:w="11900" w:h="16838" w:orient="portrait"/>
          <w:cols w:equalWidth="0" w:num="1">
            <w:col w:w="11420"/>
          </w:cols>
          <w:pgMar w:left="240" w:top="118" w:right="239" w:bottom="64" w:gutter="0" w:footer="0" w:header="0"/>
        </w:sectPr>
      </w:pPr>
    </w:p>
    <w:bookmarkStart w:id="16" w:name="page17"/>
    <w:bookmarkEnd w:id="16"/>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also, but to a lesser degree, financed our operations through grant funding, payments received under research agreements and collaborations, interest earned on cash, cash equivalents, and short-term investments, stock option and warrant exercises and funding under equipment lease agreements.</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totaled $7.3 million at June 30, 2014, a decrease of ($796 thousand) from December 31, 2013. During the six months ended June 30, 2014, the primary uses of cash and cash equivalents included $10.7 million for our operations and working capital requirements. As of June 30, 2014 we had $795 thousand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cash requirements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successfully integrating the CTRM Business and the cost of product commercialization. We do not expect to generate positive cash flows from operations for at least the next several years due to the expected spending for research and development programs and the cost of marketing and commercializing our products and product candidates. We intend to seek additional funding through research and development agreements or grants, distribution and marketing agreements and through public or private debt or equity financing transactions. Successful future operations are subject to several technical and risk factors, including our continued ability to obtain future funding, satisfactory product development, obtaining required regulatory approvals and market acceptance for our products.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2014, we have $7.3 million of cash and cash equivalents. This is not sufficient to sustain our operations for one year. In light of our financial position, we are evaluating strategic and financial opportunities in the short-term in order to maintain adequate liquidity through December 31, 2014 and beyond. We could sell shares through our ATM or direct Lincoln Park to purchase up to an additional $11.8 million worth of shares of common shares under the purchase agreement between the Company and Lincoln Park in order to raise additional capital, though there are certain factors, such as volume of trading in our stock, our stock price and the ability to terminate the agreement with notice, which could limit the amount we could raise in a short period of time. On a longer term basis, we will need to raise additional funds to successfully integrate the CTRM Business, complete product development programs and complete clinical trials needed to market and commercialize our products. We cannot be certain that such funding will be available on favorable terms, if at all. Some of the factors that will impact our ability to raise additional capital and our overall success include: the rate and degree of progress for our product development, the rate of regulatory approval to proceed with clinical trial programs, the level of success achieved in clinical trials, the requirements for marketing authorization from regulatory bodies in the United States and other countries, the liquidity and market volatility of our equity securities, regulatory and manufacturing requirements and uncertainties, technological developments by competitors, and other factors. If we cannot raise such funds, we will not be able to develop or enhance products, take advantage of future opportunities, or respond to competitive pressures or unanticipated requirements, which would have a material adverse impact on our business, financial condition and results of operations. As a result of the need to raise additional capital, there is uncertainty regarding our ability to maintain liquidity sufficient to operate our business effectively over at least the next twelve months, which raises substantial doubt as to our ability to continue as a going concern. The condensed consolidated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2014, we were not party to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Newly Issued Accounting Standards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2014, we added certain policies and procedures as a result of our acquisition of the CTRM Business. There were no other changes to the significant accounting policies described in our audited financial statements as of and for the year ended December 31, 2013, and the notes thereto, which are included in our Annual Report on Form 10-K filed with the SEC on March 13,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measured at the lower of cost or market value. Cost is calculated using the first-in, first-out method. Utilization reserves are established for estimated obsolescence or un-marketable inventory in an amount equal to the cost of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is initially recorded at the contractual amount owed by the customer. Allowances for doubtful accounts are established when the facts and circumstances dictate that the asset has been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initial measurement, property, plant and equipment are carried at cost less accumulated depreciation and impairment.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costs of property, plant and equipment are expensed as incurred.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depreciable value of property, plant and equipment, net of any residual value, is depreciated on a straight line basis over the useful life of the asset. The useful life of an asset is usually equivalent to its economic life.</w:t>
      </w:r>
    </w:p>
    <w:p>
      <w:pPr>
        <w:sectPr>
          <w:pgSz w:w="11900" w:h="16929" w:orient="portrait"/>
          <w:cols w:equalWidth="0" w:num="1">
            <w:col w:w="11420"/>
          </w:cols>
          <w:pgMar w:left="240" w:top="125" w:right="239" w:bottom="0" w:gutter="0" w:footer="0" w:header="0"/>
        </w:sectPr>
      </w:pPr>
    </w:p>
    <w:bookmarkStart w:id="17" w:name="page18"/>
    <w:bookmarkEnd w:id="17"/>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of property, plant and equipment are as follows:</w:t>
      </w:r>
    </w:p>
    <w:p>
      <w:pPr>
        <w:spacing w:after="0" w:line="22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15 years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Useful lives and residual values of property, plant and equipment are reviewed at each reporting date. The effect of any adjustment to useful lives or residual values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product rights are amortized on a straight-line basis over their expected useful lives.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useful lives of intangible assets are reviewed at each reporting date. The effect of any adjustment to useful lives is recognized prospectively as a change of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is recognized in these financial statements under costs of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carried at cost less accumulated amortization and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Other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Genzyme Denmark are translated from Danish Krone into U.S. dollars using the applicable exchange rates in effect at the period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of the operations in Denmark are translated from the applicable currencies into U.S. dollars using average exchange rates for the reported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arising from the sale of products is presented in these financial statements in Total Revenues. Total Revenues were comprised of revenue from sales of Carticel, Epicel, bone marrow, and surgical kits. Revenue is recognized from product sales when persuasive evidence of an arrangement exists, the goods are shipped or delivered, depending on shipping terms, title and risk of loss pass to the customer and collectability is reasonably assured.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recorded net of a provision, made at the time of sale, for rebates, chargebacks and cash discounts. These revenue reductions are established by us at the time of sale, based on historical experience adjusted to reflect known changes in the factors that impact such reserves. Distributors are entitled to chargeback incentives for services that are provided for based on the selling price to the end customer, under specific contractual arrangements. Cash discounts may also be granted for prompt payment.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Epicel is a humanitarian use device, Aastrom does not sell Epicel for a profit. The amount charged does not exceed the costs of the research, development, fabrication and distribution of the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activities represent a significant part of our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ASU 2014-09 merges revenue recognition standards of the FASB and International Accounting Standards Board (IASB). The FASB and IASB initiated a joint project to clarify the principles for recognizing revenue and to develop a common revenue standard for U.S. GAAP and International Financial Reporting Standards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The standard is required to be adopted by public business entities in annual periods beginning on or after December 15, 2016, and interim periods within those annual periods. We are currently evaluating the potential impact of this new guidance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w:t>
      </w:r>
    </w:p>
    <w:p>
      <w:pPr>
        <w:sectPr>
          <w:pgSz w:w="11900" w:h="16908" w:orient="portrait"/>
          <w:cols w:equalWidth="0" w:num="1">
            <w:col w:w="11420"/>
          </w:cols>
          <w:pgMar w:left="240" w:top="341" w:right="239" w:bottom="0" w:gutter="0" w:footer="0" w:header="0"/>
        </w:sectPr>
      </w:pPr>
    </w:p>
    <w:bookmarkStart w:id="18" w:name="page19"/>
    <w:bookmarkEnd w:id="18"/>
    <w:p>
      <w:pPr>
        <w:jc w:val="both"/>
        <w:spacing w:after="0" w:line="291" w:lineRule="auto"/>
        <w:rPr>
          <w:sz w:val="20"/>
          <w:szCs w:val="20"/>
          <w:color w:val="auto"/>
        </w:rPr>
      </w:pPr>
      <w:r>
        <w:rPr>
          <w:rFonts w:ascii="Arial" w:cs="Arial" w:eastAsia="Arial" w:hAnsi="Arial"/>
          <w:sz w:val="16"/>
          <w:szCs w:val="16"/>
          <w:color w:val="auto"/>
        </w:rPr>
        <w:t>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Part 1, Item 1A, “Risk Factors,” and in our Annual Report on Form 10-K filed with the SEC on March 13, 2014, among others, could have a material adverse effect upon our business, results of operations and financial conditions.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 plans and anticipated results; including publication thereof:</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of the CTRM business and assets;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2014,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the United States of America and in Denmark and are exposed to the risk that our earnings, cash flows and equity could be adversely impacted by fluctuations in foreign exchange.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(Certifying Officers),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management, including our Certifying Officers, of the effectiveness of the design and operation of the Company’s disclosure controls and procedures as of the end of the period covered by this quarterly report. As of June 30, 2014, our Certifying Officers concluded that our disclosure controls and procedures were not effective because of a material weakness in our internal control over financial reporting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connection with the preparation of our consolidated financial statements for the period ended June 30, 2014, we identified a material weakness in the design of our internal control over financial reporting.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during this period. This material weakness contributed to adjustments identified by our independent registered public accounting firm during the quarter ended June 30, 2014.</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material weakness described above, we believe the Company’s financial statements included in this Quarterly Report on Form 10-Q present fairly, in all material respects, the Company’s financial position, results of operations and cash flows for the periods presented. The Certifying Officers have certified to their knowledge that this Quarterly Report on Form 10-Q does not contain any untrue statements of material fact or omit to state any material fact necessary to make the statements made, in light of the circumstances under which such statements were made, not misleading with respect to the periods covered in this quarterly report.</w:t>
      </w:r>
    </w:p>
    <w:p>
      <w:pPr>
        <w:sectPr>
          <w:pgSz w:w="11900" w:h="16838" w:orient="portrait"/>
          <w:cols w:equalWidth="0" w:num="1">
            <w:col w:w="11420"/>
          </w:cols>
          <w:pgMar w:left="240" w:top="125" w:right="239" w:bottom="0" w:gutter="0" w:footer="0" w:header="0"/>
        </w:sectPr>
      </w:pPr>
    </w:p>
    <w:bookmarkStart w:id="19" w:name="page20"/>
    <w:bookmarkEnd w:id="19"/>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the oversight of senior management and our audit committee, we have begun to take steps to remediate the material weakness noted above. On a temporary basis we have hired experienced consultants to supplement our existing accounting staff while we search for additional experienced finance and accounting personnel to augment our accounting staff and to provide more resources to support effective internal controls. Additionally, during the current quarter, we hired a Chief Financial Officer, who has extensive finance experience. Management believes that hiring qualified accounting personnel will increase the level of technical accounting knowledge and improve the overall system of internal controls and will fully remediate this material weakness.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June 30, 2014, there were no changes made in our internal control over financial report (as such term is defined in Rules 13a-15(f) and 15d-15(f) of the Exchange Act) that have materially affected, or are reasonable likely to material affect, our internal control over financial reporting, other than the previously discussed material weakness.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In addition to the cautionary information included in this report, including the section of this report captioned “Management’s Discussion and Analysis of Financial Condition and Results of Operations” and our financial statements and related notes, you should carefully consider the information regarding our risk factors set forth in Part 1, Item 1A, “Risk Factors,” on our Annual Report on Form 10-K, which was filed with the Securities and Exchange Commission on March 13, 2014, and the additional risk factors below. If any of the events described in the following risk factors and the risk described elsewhere in this report occurs, our business, operating results and financial condition could be seriously harmed. Except as described in the risk factor below, there have been no material changes in our risk factors from those disclosed in Part 1, Item 1A, “Risk Factors” on our Annual Report on Form 10-K.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past losses and expected future losses cast doubt on our ability to continue as a going concern and operate profitably.</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of June 30, 2014, we had $7.3 million of cash and cash equivalents. This is not sufficient to sustain our operations for one year. In light of our financial position, we are evaluating strategic and financial opportunities in the short-term in order to maintain adequate liquidity through the coming year and beyond. While we have access to certain amounts of financing through an agreement with Lincoln Park Capital Fund, LLC (Lincoln Park), there are certain factors, such as volume of trading in our common stock, our stock price and the ability to terminate the agreement with notice, which limit the amount that can be raised in a short period of time through our agreement with Lincoln Park. Also, the integration of the recently acquired CTRM business with our existing business will require additional financing. We anticipate that we will incur certain non-recurring charges in connection with the integration; however, we cannot identify the timing, nature and amount of all such charges as of the date of this registration statement. These costs along with the transaction costs that we incurred in connection with the negotiation and completion of the acquisition of the acquired business could materially affect our results of operations in the period in which such charges are recorded. In the longer term, we will need to raise additional funds in order to continue commercializing the products we acquired in connection with the acquisition of the acquired business, complete product development programs and complete clinical trials needed to market and commercialize our current product candidates. In addition, we expect to continue to incur significant operating expenses in connection with the operation of the acquired business, as we seek to, among other things, continue to develop our distribution network of third party distributors and independent sales professionals for the distribution of our products and product candidates and expand and protect our intellectual property portfolio for our products. We cannot be certain that such funding will be available on favorable terms, if at all. Some of the factors that will impact our ability to raise additional capital and our overall success include: our ability to successfully integrate the acquired business with our existing business and streamline its operations, the rate and degree of progress for our product development, our ability to maintain our facility as an FDA compliant and validated product manufacturing facility, the rate of regulatory approval to proceed with clinical trial programs, the level of success achieved in clinical trials, the requirements for marketing authorization from regulatory bodies in the United States and other countries, the liquidity and market volatility of our equity securities, regulatory and manufacturing requirements and uncertainties, technological developments by competitors, and other factors. If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 As a result of the need to raise additional capital, there is uncertainty regarding our ability to maintain liquidity sufficient to operate our business effectively over at least the next twelve months, which raises substantial doubt as to our ability to continue as a going concern. The consolidated financial statements do not include any adjustments that might result from the outcome of this uncertainty.</w:t>
      </w:r>
    </w:p>
    <w:p>
      <w:pPr>
        <w:spacing w:after="0" w:line="3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were incorporated in 1989 and have experienced substantial operating losses since inception. As of June 30, 2014, we had accumulated a deficit of $298 million and we have continued to incur losses since that date. These losses have resulted principally from costs incurred in the research and development (including clinical trials) of our cell culture technologies and our cell manufacturing system, general and administrative expenses, the prosecution of patent applications, and more recently, acquisition-related costs. We expect to continue to incur significant operating losses over the next several years and at least until, and probably after, streamlining the manufacturing and commercialization of the products we recently acquired and product sales increase, primarily owing to our research and development programs, including preclinical studies and clinical trials, and the establishment of marketing and distribution capabilities necessary to support commercialization efforts for our product candidates and continuing the commercialization of our products. We cannot predict with any certainty the amount of future losses. Our ability to achieve profitability will depend, among other things, on successfully commercializing our products, completing the development of our product candidates, timely initiation and completion of clinical trials, obtaining regulatory approvals, establishing manufacturing, sales and marketing arrangements with third parties, maintaining supplies of key manufacturing</w:t>
      </w:r>
    </w:p>
    <w:p>
      <w:pPr>
        <w:sectPr>
          <w:pgSz w:w="11900" w:h="16862" w:orient="portrait"/>
          <w:cols w:equalWidth="0" w:num="1">
            <w:col w:w="11420"/>
          </w:cols>
          <w:pgMar w:left="240" w:top="121" w:right="239" w:bottom="0" w:gutter="0" w:footer="0" w:header="0"/>
        </w:sectPr>
      </w:pPr>
    </w:p>
    <w:bookmarkStart w:id="20" w:name="page21"/>
    <w:bookmarkEnd w:id="20"/>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acquisition and development of complementary activities and raising sufficient cash to fund our operating activities. Therefore, we may not be able to achieve or sustain profitability.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failure to successfully integrate the acquired business and operations in the expected time frame may adversely affect the combined company’s future results.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acquisition of the acquired business will result in certain benefits, including certain manufacturing, sales and distribution and operational efficiencies. However, to realize these anticipated benefits, Aastrom’s existing business and the acquired business must be successfully combined. We may be unable to effectively integrate the acquired business into our organization, make the acquired business profitable, and may not succeed in managing the acquired business or the larger company that results from this acquisition. The process of integration of an acquired business may subject us to a number of risks, including:</w:t>
      </w:r>
    </w:p>
    <w:p>
      <w:pPr>
        <w:spacing w:after="0" w:line="188"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clients, distributors and suppliers;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demands on management related to the increase in size of the company after the acquisition;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difficulties integrating and harmonizing financial reporting systems;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employees;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retain the management, key personnel and other employees of the acquired business;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establish uniform standards, controls, systems, procedures and policies;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retain the customers of the acquired business;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legal claims for activities of the acquired business prior to acquisition;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incurrence of additional expenses in connection with the integration process.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the acquired business is not successfully integrated into our company, our business, financial condition and results of operations could be materially adversely affected, as well as our professional reputation. Furthermore, if we are unable to successfully integrate the acquired business and operations, or if there are delays in combining the businesses, the anticipated benefits of the acquisition may not be realized fully or at all or may take longer to realize than expected. Successful integration of the acquired business will depend on our ability to manage these operations, to realize opportunities for revenue growth presented by our products and eliminate certain excess costs of the acquired business.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 will result in the expansion of our organization, and we may experience difficulties in managing this growth, which could disrupt our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result of the acquisition, our employee base increased significantly from 38 employees as of March 31, 2014 to 190 full-time employees as of June 30, 2014. Such growth will impose significant additional responsibilities on our management.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The effective management of the acquired business could require significant capital expenditures and may divert financial resources from other projects, such as the development of our existing or future product candidates. In connection with the operation of the acquired business we expect to expand our internal sales and marketing capabilities as we build an internal sales and marketing organization and hire additional manufacturing, quality control, pharmacovigilance, regulatory affairs, quality assurance, and management personnel as necessary to maintain or expand our processing operations.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our other product candidates, if approved, and compete effectively will depend, in part, on our ability to effectively manage our current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raise the required capital to conduct our operations and develop and commercialize our product candidates.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require substantial additional capital resources in order to complete our product development programs, complete our clinical trials needed to market and commercialize our product candidates (including the Phase 2b clinical trial of ixmyelocel-T for the treatment of advanced heart failure due to ischemic DCM). In order to grow and expand our business, to introduce our new product candidates into the marketplace, we will need to raise a significant amount of additional funds. We will also need significant additional funds or a collaborative partner, or both, to finance the research and development activities of our cell therapy product candidates for additional indications. Accordingly, we are continuing to pursue additional sources of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complementary business acquisition or development opportunities.</w:t>
      </w:r>
    </w:p>
    <w:p>
      <w:pPr>
        <w:sectPr>
          <w:pgSz w:w="11900" w:h="16888" w:orient="portrait"/>
          <w:cols w:equalWidth="0" w:num="1">
            <w:col w:w="11420"/>
          </w:cols>
          <w:pgMar w:left="240" w:top="341" w:right="239" w:bottom="0" w:gutter="0" w:footer="0" w:header="0"/>
        </w:sectPr>
      </w:pPr>
    </w:p>
    <w:bookmarkStart w:id="21" w:name="page22"/>
    <w:bookmarkEnd w:id="21"/>
    <w:p>
      <w:pPr>
        <w:jc w:val="both"/>
        <w:ind w:firstLine="648"/>
        <w:spacing w:after="0" w:line="287" w:lineRule="auto"/>
        <w:rPr>
          <w:sz w:val="20"/>
          <w:szCs w:val="20"/>
          <w:color w:val="auto"/>
        </w:rPr>
      </w:pPr>
      <w:r>
        <w:rPr>
          <w:rFonts w:ascii="Arial" w:cs="Arial" w:eastAsia="Arial" w:hAnsi="Arial"/>
          <w:sz w:val="16"/>
          <w:szCs w:val="16"/>
          <w:color w:val="auto"/>
        </w:rPr>
        <w:t>We may direct Lincoln Park to purchase up to $15 million worth of shares of our common stock over a 30-month period generally in amounts up to 50,000 shares of our common stock on certain business days under a Purchase Agreement (the Purchase Agreement) we entered into with Lincoln Park on January 21, 2014 (the Lincoln Park Equity Line). As of June 30, 2014, we had sold $3.2 million worth of shares to Lincoln Park. However, there are certain factors, such as volume of trading in our common stock, our stock price and the ability to terminate the agreement with notice, which limit the amount that can be raised in a short period of time through the Lincoln Park Equity Line. The extent to which we rely on the Lincoln Park Equity Line as sources of funding will depend on a number of factors, including the prevailing market price of our common stock and the extent to which we are able to secure working capital from other sources. If obtaining sufficient funding from Lincoln Park were to prove impracticable or prohibitively dilutive, we will need to secure other sources of funding in order to satisfy our working capital needs. Even if we sell the maximum amount we are eligible to sell to Lincoln Park under the purchase agreements with Lincoln Park, respectively, we will still need additional capital to fully implement our business, operating and development plans. Should the financing we require to sustain our working capital needs be unavailable or prohibitively expensive when we require it, the consequences would have a material adverse effect on our business, operating results, financial condition and prospects.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integrate the acquired business and further commercialize our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Should the financing we require to sustain our working capital needs be unavailable or prohibitively expensive when we require it, the consequences could have a material adverse effect on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and maintain required regulatory approvals would severely limit our ability to sell our products and product candidates.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maintain our domestic and foreign regulatory approvals to continue to commercialize our products. In addition, we must obtain the approval of the FDA before commercial sales of our cell therapy product candidates may commence in the United States, which we believe will ultimately be the largest market for our products. We will also be required to obtain additional approvals from various foreign regulatory authorities to initiate sales activities of cell therapy product candidates in those jurisdictions. If we cannot demonstrate the safety, purity and potency of our product candidates, including our cell therapy product candidates, produced in our production system, the FDA or other regulatory authorities could delay or withhold regulatory approval of our product candidates.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after granting regulatory approval, the FDA and regulatory agencies in other countries continue to review and inspect marketed products, manufacturers and manufacturing facilities, which may create additional regulatory burdens. Later discovery of previously unknown problems with a product, manufacturer or facility may result in restrictions on the product or manufacturer, including a withdrawal of the product from the market. Further, regulatory agencies may establish additional regulations that could prevent or delay regulatory approval of our product candidates or adversely affect the regulatory approvals of our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the governmental regulatory classifications of our products and product candidates could prevent, limit or delay our ability to market or develop our products and product candidates.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establishes regulatory requirements based on the classification of a product. Because our product development programs are designed to satisfy the standards applicable to biological licensure for our cell therapy products, any change in the regulatory classification or designation would affect our ability to obtain FDA approval of our products and product candidates. Each of these cell therapy products is, under current regulations, regulated as a biologic, which requires a BLA.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 candidate, ixmyelocel-T, is still in clinical development. If we do not successfully continue or complete the clinical development of ixmyelocel-T, our ability to finance our operations may be adversely affected.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near-term prospects depend in part upon our ability to successfully continue and complete clinical trials of our product candidate, ixmyelocel-T, and to demonstrate its safety and efficacy, as well as its superiority over existing therapies and standards of care, if any. We are currently enrolling and treating patients with ischemic DCM for the Phase 2b ixCELL-DCM clinical trial. Our ability to finance our company and to generate revenues will depend in part on our ability to obtain favorable results in the ongoing and planned clinical trials of ixmyelocel-T, including the ongoing ixCELL-DCM Phase 2b clinical trial, and to successfully develop and commercialize ixmyelocel-T. Ixmyelocel-T could be unsuccessful if it:</w:t>
      </w:r>
    </w:p>
    <w:p>
      <w:pPr>
        <w:spacing w:after="0" w:line="173"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does not demonstrate acceptable safety and efficacy in clinical trials, or otherwise does not meet applicable regulatory standards for approval;</w:t>
      </w:r>
    </w:p>
    <w:p>
      <w:pPr>
        <w:spacing w:after="0" w:line="46" w:lineRule="exact"/>
        <w:rPr>
          <w:rFonts w:ascii="Arial" w:cs="Arial" w:eastAsia="Arial" w:hAnsi="Arial"/>
          <w:sz w:val="16"/>
          <w:szCs w:val="16"/>
          <w:color w:val="auto"/>
        </w:rPr>
      </w:pPr>
    </w:p>
    <w:p>
      <w:pPr>
        <w:ind w:left="980" w:hanging="324"/>
        <w:spacing w:after="0" w:line="250" w:lineRule="auto"/>
        <w:tabs>
          <w:tab w:leader="none" w:pos="10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offer sufficient, clinically meaningful therapeutic or other improvements over existing or future drugs used to treat the ischemic DCM indication for which it is being tested;</w:t>
      </w: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capable of being produced in commercial quantities at acceptable costs; or</w:t>
      </w:r>
    </w:p>
    <w:p>
      <w:pPr>
        <w:spacing w:after="0" w:line="9" w:lineRule="exact"/>
        <w:rPr>
          <w:rFonts w:ascii="Arial" w:cs="Arial" w:eastAsia="Arial" w:hAnsi="Arial"/>
          <w:sz w:val="18"/>
          <w:szCs w:val="18"/>
          <w:color w:val="auto"/>
        </w:rPr>
      </w:pPr>
    </w:p>
    <w:p>
      <w:pPr>
        <w:ind w:left="980" w:hanging="324"/>
        <w:spacing w:after="0" w:line="261" w:lineRule="auto"/>
        <w:tabs>
          <w:tab w:leader="none" w:pos="10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accepted as safe, efficacious, cost-effective, less costly and preferable to current therapies in the medical community and by third-party payers.</w:t>
      </w:r>
    </w:p>
    <w:p>
      <w:pPr>
        <w:sectPr>
          <w:pgSz w:w="11900" w:h="16838" w:orient="portrait"/>
          <w:cols w:equalWidth="0" w:num="1">
            <w:col w:w="11420"/>
          </w:cols>
          <w:pgMar w:left="240" w:top="341" w:right="239" w:bottom="0" w:gutter="0" w:footer="0" w:header="0"/>
        </w:sectPr>
      </w:pPr>
    </w:p>
    <w:bookmarkStart w:id="22" w:name="page23"/>
    <w:bookmarkEnd w:id="22"/>
    <w:p>
      <w:pPr>
        <w:spacing w:after="0" w:line="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not successful in developing and commercializing ixmyelocel-T or are significantly delayed in doing so, our financial condition and future prospects may be adversely affected and we may experience difficulties in raising the substantial additional capital required to fund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the risks of failure inherent in the development of products based on new technologies. The novel nature of our therapeutics creates significant challenges in regard to product development and optimization, manufacturing, government regulation, third-party reimbursement and market acceptance. For example, if regulatory agencies have limited experience in approving cellular therapies for commercialization, the development and commercialization pathway for our therapies may be subject to increased uncertainty, as compared to the pathway for new conventional drugs.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when manufacturing autologous cell therapies, the number and the composition of the cell population varies from patient to patient, in part due to the age of the patient, since the therapy is dependent on patient 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 As a consequence, the development and regulatory approval process for autologous cell therapy products could be delayed or may never be completed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While our acquired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regards to product development and optimization, manufacturing, government regulation, and third-party reimbursement. As a result, the commercialization of our current products and development pathway for our potential products may be subject to increased scrutiny, as compared to the pathway for more conventional products.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market acceptance of any of our marketed or potential products will depend on a number of factors, including:</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perceived advantage over alternative treatment methods;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convince health care providers that the use of our products in a particular procedure is more beneficial than the standard of care or other available methods;</w:t>
      </w:r>
    </w:p>
    <w:p>
      <w:pPr>
        <w:ind w:left="980" w:hanging="324"/>
        <w:spacing w:after="0" w:line="265" w:lineRule="auto"/>
        <w:tabs>
          <w:tab w:leader="none" w:pos="1092"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explain clearly and educate others on the autologous use of patient-specific human tissue, to avoid potential confusion with and differentiate ourselves from the ethical controversies associated with human fetal tissue and engineered human tissue;</w:t>
      </w: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reactions involving our products or the products or product candidates of others that are human tissue based;</w:t>
      </w:r>
    </w:p>
    <w:p>
      <w:pPr>
        <w:spacing w:after="0" w:line="9" w:lineRule="exact"/>
        <w:rPr>
          <w:rFonts w:ascii="Arial" w:cs="Arial" w:eastAsia="Arial" w:hAnsi="Arial"/>
          <w:sz w:val="18"/>
          <w:szCs w:val="18"/>
          <w:color w:val="auto"/>
        </w:rPr>
      </w:pPr>
    </w:p>
    <w:p>
      <w:pPr>
        <w:ind w:left="980" w:hanging="324"/>
        <w:spacing w:after="0" w:line="250" w:lineRule="auto"/>
        <w:tabs>
          <w:tab w:leader="none" w:pos="12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supply a sufficient amount of our product to meet regular and repeated demand in order to develop a core group of medical professionals familiar with and committed to the use of our products; and</w:t>
      </w: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products and the reimbursement policies of government and third-party payers.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patients or the medical community do not accept our potential products as safe and effective for any of the foregoing reasons, or for any other reason, it could affect our sales, having a material adverse effect on our business, financial condition and results of operations. While acceptance by the medical community may be fostered by broad evaluation via peer-reviewed literature, we may not have the resources to facilitate sufficient publication.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must successfully complete our clinical trials to be able to market certain of our products and product candidates. Clinical trial failures can occur at any stage of the testing and we may experience numerous unforeseen events during, or as a result of, the clinical trial process that could delay or prevent the continued commercialization of our products or future therapeutic product candidates.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be able to market therapeutic cell products in the United States, we must demonstrate, through extensive preclinical studies and clinical trials, the safety and efficacy of our processes and product candidates. If our clinical trials are not successful, our products may not be marketable. The results of early stage clinical trials do not ensure success in later clinical trials, and interim results are not necessarily predictive of final results.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any clinical trials affecting our products or product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Institutional Review Board (IRB) and other regulatory approvals to commence a clinical trial;</w:t>
      </w:r>
    </w:p>
    <w:p>
      <w:pPr>
        <w:spacing w:after="0" w:line="9" w:lineRule="exact"/>
        <w:rPr>
          <w:rFonts w:ascii="Arial" w:cs="Arial" w:eastAsia="Arial" w:hAnsi="Arial"/>
          <w:sz w:val="18"/>
          <w:szCs w:val="18"/>
          <w:color w:val="auto"/>
        </w:rPr>
      </w:pPr>
    </w:p>
    <w:p>
      <w:pPr>
        <w:ind w:left="980" w:hanging="324"/>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or failing to reach the targeted number of patients due to competition for patients from other trials;</w:t>
      </w:r>
    </w:p>
    <w:p>
      <w:pPr>
        <w:ind w:left="980" w:hanging="324"/>
        <w:spacing w:after="0" w:line="250" w:lineRule="auto"/>
        <w:tabs>
          <w:tab w:leader="none" w:pos="9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agents used in our clinical trials;</w:t>
      </w: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980" w:hanging="324"/>
        <w:spacing w:after="0" w:line="250"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side effects interrupting, delaying, or halting clinical trials of any future therapeutic product candidates, and possibly resulting in the FDA or other regulatory authorities denying approval of any future therapeutic product candidates;</w:t>
      </w: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10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guidance that render our clinical trial endpoints or the targeting of our proposed indications obsolete;</w:t>
      </w: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replicate in large controlled studies safety and efficacy data obtained from a limited number of patients in uncontrolled trials;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Moreover, our ability to complete the clinical trials for our product candidates in a timely manner depends on additional factors such as rate of patient enrollment. Patient enrollment can vary with the size of the patient population, the proximity of suitable patients to clinical sites, perceptions of the</w:t>
      </w:r>
    </w:p>
    <w:p>
      <w:pPr>
        <w:sectPr>
          <w:pgSz w:w="11900" w:h="16908" w:orient="portrait"/>
          <w:cols w:equalWidth="0" w:num="1">
            <w:col w:w="11420"/>
          </w:cols>
          <w:pgMar w:left="240" w:top="125" w:right="239" w:bottom="0" w:gutter="0" w:footer="0" w:header="0"/>
        </w:sectPr>
      </w:pPr>
    </w:p>
    <w:bookmarkStart w:id="23" w:name="page24"/>
    <w:bookmarkEnd w:id="23"/>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utility of cell therapy for the treatment of certain diseases, and the eligibility criteria for the study. For example, patients enrolling in our studies of ixmyelocel-T need to provide an adequate amount of bone marrow to process and expand for injection and some patients may not be able to provide sufficient starting material despite our study inclusion and exclusion criteria designed to prevent this. Bone marrow is an inherently variable starting material. We have experienced delays in patient accrual in our previous clinical trials. On March 27, 2013, we announced that we were stopping enrollment in the Phase 3 REVIVE clinical trial due to the slow patient accrual rate for the study and to optimize the use of our financial resources. If we experience similar delays in patient enrollment for other clinical trials, we could experience increased costs and delays associated with these trials, which would impair our product development programs and our ability to market our products.</w:t>
      </w:r>
    </w:p>
    <w:p>
      <w:pPr>
        <w:spacing w:after="0" w:line="18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Furthermore, the FDA monitors the progress of clinical trials and it may suspend or terminate clinical trials at any time due to patient safety or other considerations.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research programs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Even if successful clinical results are reported for a product from a completed clinical trial, this does not mean that the results will be sustained over time, or will be sufficient for a marketable or regulatory approvable product.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third parties, including Vention Medical, to manufacture or supply certain components, equipment, disposable devices and other materials used in our ixmyelocel-T cell manufacturing process would impair our cell product development.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third parties, including Vention Medical (Vention), to manufacture and/or supply certain of our devices/manufacturing equipment and to manufacture and/or supply certain components, equipment, disposable devices and other materials used in our cell manufacturing process to develop our marketed cell therapy products and our product candidates. Vention is our sole supplier of cell cassettes used in the ixmyelocel-T manufacturing process, and it would be difficult to obtain alternate sources of supply on a short-term basis. If any of our manufacturers or suppliers fails to perform its respective obligations, or if our supply of certain components, equipment, disposable devices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other materials is limited or interrupted, it could impair our ability to manufacture our products, which would delay our ability to conduct our clinical trials or market our product candidates on a timely and cost-competitive basis, if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therapeutics products. We have limited experience in manufacturing products for commercial purposes and we cannot assure you that we will be able to successfully and efficiently manage the manufacturing of our products, either ourselves or through third-party contractors with whom we may enter into strategic relationships.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manufacture of cell therapy products, such as our products and product candidates, is highly complex and is characterized by inherent risks and challenges such as autologous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we have limited experience in manufacturing products for commercial purposes and could experience difficulties in the continued manufacturing of our products. Because our experience in manufacturing, sales, marketing and distribution is limited, we may encounter unforeseen difficulties in our efforts to efficiently manage the manufacturing, sale and distribution of our products or have to rely on third-party contractors over which we may not have direct control to manufacture our products. Moreover, there can be no assurance that we or any third-party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and capabilities in a timely manner could prevent us from achieving our growth and profitability objectives as projected or at all.</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intend to obtain assistance to market our products and some of our future cell products through collaborative relationships with companies with established sales, marketing and distribution capabilities. Our inability to develop and maintain those relationships would limit our ability to market, sell and distribute our products. Our inability to enter into successful, long-term relationships could require us to develop alternate arrangements at a time when we need sales, marketing or distribution capabilities to meet existing demand. We may market one or more of our products through our own sales force. Our inability to develop and retain a qualified sales force could limit our ability to market, sell and distribute our cell products.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Similarly, manufacturing of our lead product candidate, ixmyelocel-T, is conducted at one facility. If either facility is destroyed or we experience any manufacturing difficulties, disruptions or delays, this could limit supply of our products or adversely affect our ability to conduct our clinical trials and our business would be adversely impacted.</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presently conduct all of our commercial manufacturing operations in the U.S. at one facility located in Cambridge, Massachusetts. As a result, all of the commercial manufacturing of our marketed products, Epicel and Carticel, for the U.S. market takes place at a single U.S. facility. In addition,</w:t>
      </w:r>
    </w:p>
    <w:p>
      <w:pPr>
        <w:sectPr>
          <w:pgSz w:w="11900" w:h="16908" w:orient="portrait"/>
          <w:cols w:equalWidth="0" w:num="1">
            <w:col w:w="11420"/>
          </w:cols>
          <w:pgMar w:left="240" w:top="125" w:right="239" w:bottom="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clinical trials for certain product candidates would primarily depend upon the manufacturing of such product candidates in the same Cambridge facility. Similarly, manufacturing of our lead product candidate, ixmyelocel-T, takes place at one facility located in Ann Arbor, Michigan. If regulatory, manufacturing or other problems require us to discontinue production at either facility, we will not be able to supply our products to our patients or have supplies for any clinical trials, which would adversely impact our business. If either facility or the equipment in it is significantly damaged or destroyed by fire, flood, power loss or similar events, we may not be able to quickly or inexpensively replace our manufacturing capacity or replace our facility at all. In the event of a temporary or protracted loss of this facility or equipment, we might not be able to transfer manufacturing to a third party. Even if we could transfer manufacturing from one facility to the other or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Currently, we maintain insurance coverage totaling $4.0 million in Denmark and $32.0 million in the U.S. against damage to our property and equipment (recently increased by an additional $4.0 million in the U.S. as a result of the Transaction), an additional $1.0 million to cover business interruption and extra expenses, and $1.0 million to cover R&amp;D restoration expenses. If we have underestimated our insurance needs, we will not have sufficient insurance to cover losses above and beyond the limits on our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All of those involved in the preparation of a cellular therapy for clinical trials or commercial sale, including our existing supply contract manufacturers and clinical trial investigators, are subject to extensive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must pass inspection for compliance with the applicable regulations as a condition of FDA approval of our products. The FDA also may, at any time following approval of a product for sale, audit our manufacturing facilities or those of our third party contractors. In addition, the FDA may, at any time, audit or inspect a manufacturing facility involved with the preparation of our products or our other potential products or the associated quality systems for compliance with the regulations applicable to the activities being conducted. Recently, our manufacturing facility in Cambridge, Massachusetts was inspected by the FDA, resulting in the issuance of an FDA 483 List of Inspectional Observations. We are undertaking remedial measures to improve our manufacturing process and communicate those measures to the FDA, but the FDA may decide that our remedial measures should be revised or expanded, or the FDA may not find our corrective actions to be adequate. Generally, if any such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order to market any of our product candidates, including MACI and ixmyelocel-T, in the United States, the FDA requires us to file a BLA.</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FDA approved Carticel as a biological product, for which we currently hold a biologics license. MACI and ixmyelocel-T are also subject to the FDA’s biological product requirements, which will require us to submit a new BLA for each product. To the extent the FDA regulates each of MACI and ixmyelocel-T as a biological product and requires us to file a BLA, we would be unable to sell MACI or ixmyelocel-T unless and until we receive BLA approval from the FDA, which would be complex, time-consuming and expensive. For example, the FDA may require that we conduct one or more clinical trials in support of approval of a BLA, which would result in the expenditure of additional financial resources and extended timelines to commercialization. In addition, before we can apply for a BLA for MACI in the U.S., we will be obligated to pay certain developmental milestones relating to regulatory and commercialization of MACI in the United States. We have the option to extinguish these obligations for a one-time payment of €2.5 million.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FDA approved Epicel as a HUD, which is a medical device intended to benefit patients in the treatment or diagnosis of a disease or condition that affects or is manifested in fewer than 4,000 individuals in the United States per year. HUD treatment is subject to additional FDA requirements, such as recordkeeping, reporting, labeling, as well as limited use of a HUD when approved by an Institutional</w:t>
      </w:r>
    </w:p>
    <w:p>
      <w:pPr>
        <w:sectPr>
          <w:pgSz w:w="11900" w:h="16838" w:orient="portrait"/>
          <w:cols w:equalWidth="0" w:num="1">
            <w:col w:w="11420"/>
          </w:cols>
          <w:pgMar w:left="240" w:top="125" w:right="239" w:bottom="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Review Board, or IRB, that oversees medical treatment. Failure to meet FDA requirements pertaining to a HUD could result in the suspension or revocation of the HUD. While Epicel has been approved as a HUD, oversight is conducted by the CBER because it is a cell-based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HUD approval is suspended or revoked, Epicel would require an approved premarket approval application (or PMA) in order to be made commercially available, or an approved BLA. The PMA and BLA processes are costly, lengthy and uncertain. A PMA must be supported by extensive data, including, but not limited to, technical, preclinical, clinical trial, manufacturing and labeling data, to demonstrate to the FDA’s satisfaction the safety and efficacy of the device for its intended use. A BLA must be supported by substantial evidence of clinical safety and effectiveness for its intended use as proven through one or more clinical trials in a statistically significant patient population. If the HUD approval for Epicel was withdrawn, and we were unable to obtain approval of a PMA or BLA, we could not offer Epicel for sale in the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pharmaceutical, biologic and medical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980" w:hanging="324"/>
        <w:spacing w:after="0" w:line="281" w:lineRule="auto"/>
        <w:tabs>
          <w:tab w:leader="none" w:pos="10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approval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many of the foreign countries in which our products are marketed, we are subject to regulations affecting, among other things, clinical efficacy, product standards, packaging requirements, labeling requirements, import/ 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require our products to be qualified before they can be marketed with the benefit of reimbursement eligibility. Failure to receive or delays in the receipt of relevant foreign qualifications also could have a material adverse effect on our business, financial condition, results of operations and cash flows.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both the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our products or product candidates may require new regulatory approvals or may require us to recall or cease marketing our products until approvals are obtained.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Modifications to our products or product candidates may require new regulatory approvals, including supplements to IND applications, or supplements to our BLA or HDE application, or require us to recall or cease marketing the modified products until these approvals are obtained. We may not be able to obtain those additional approvals for the changes or additional indications in a timely manner, or at all. Obtaining approvals can be a time</w:t>
      </w:r>
    </w:p>
    <w:p>
      <w:pPr>
        <w:sectPr>
          <w:pgSz w:w="11900" w:h="16838" w:orient="portrait"/>
          <w:cols w:equalWidth="0" w:num="1">
            <w:col w:w="11420"/>
          </w:cols>
          <w:pgMar w:left="240" w:top="125" w:right="239" w:bottom="0" w:gutter="0" w:footer="0" w:header="0"/>
        </w:sectPr>
      </w:pPr>
    </w:p>
    <w:bookmarkStart w:id="26" w:name="page27"/>
    <w:bookmarkEnd w:id="26"/>
    <w:p>
      <w:pPr>
        <w:spacing w:after="0" w:line="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consuming process, and delays in obtaining required future approvals would adversely affect our ability to introduce new or improved products in a timely manner, which in turn would harm our future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manufacturing processes, reporting requirements, post-approval clinical data and promotional activities for each of our products is subject to continued regulatory review, oversight and periodic inspections by the FDA and other domestic and foreign regulatory bodies. In particular, we and our suppliers are required to comply with cGMP and Good Tissue Practice (GTP) regulations for the manufacture of our products and other regulations which cover requirements such as the methods and documentation pertaining to production controls, labeling, packaging, storage and shipment of any product for which we obtain clearance or approval. Regulatory bodies, such as the FDA, enforce the cGMP, GTP and other regulations through periodic inspections.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81"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client notifications for repair, replacement, refunds;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or delaying our requests for approval of new products or modified products;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suppliers may not currently be or may not continue to be in compliance with all applicable regulatory requirements which could result in our failure to produce our products on a timely basis and in the required quantities, if at all. In addition, we may be required to conduct costly post-approval studies, and post-market surveillance to monitor the safety or effectiveness of our products. We also must comply with adverse event reporting requirements, which require that we report certain adverse events involving patient use or treatment with our products. Later discovery of previously unknown problems with our products, including unanticipated adverse events or adverse events of unanticipated severity or frequency, manufacturing problems, or failure to comply with regulatory requirements such as cGMP or GTP, may result in changes to labeling, restrictions on such products or manufacturing processes, withdrawal of the products from the market, voluntary or mandatory recalls, fines, suspension of regulatory approvals, product seizures, injunctions or the imposition of civil or criminal penalties which would adversely affect our business, operating results and prospects.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FFDCA and other laws, we are prohibited from promoting our products for off-label uses. This means, for example, that we may not make claims about the use of our marketed products, Carticel or Epicel, outside of their approved indications, and we may not proactively discuss or provide information on off-label uses of Carticel or Epicel, with very specific and limited exceptions. The FDA does not, however, restrict physicians from prescribing products for off-label uses in the practice of medicine. Should the FDA determine that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activities constitute the promotion of off-label use, the FDA could bring action to prevent us from distributing Carticel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w:t>
      </w:r>
    </w:p>
    <w:p>
      <w:pPr>
        <w:sectPr>
          <w:pgSz w:w="11900" w:h="16867" w:orient="portrait"/>
          <w:cols w:equalWidth="0" w:num="1">
            <w:col w:w="11420"/>
          </w:cols>
          <w:pgMar w:left="240" w:top="125" w:right="239" w:bottom="0" w:gutter="0" w:footer="0" w:header="0"/>
        </w:sectPr>
      </w:pPr>
    </w:p>
    <w:bookmarkStart w:id="27" w:name="page28"/>
    <w:bookmarkEnd w:id="27"/>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product candidates for which marketing approval is obtained.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 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cost-effective level. Nor can we be certain that third-party payers using a methodology that sets amounts based on the type of procedure performed, such as those utilized by Medicare and in many privately managed care systems, will view the cost of our products to be justified so as to incorporate such costs into the overall cost of the procedure. Moreover, we are unable to predict what changes will be made to the reimbursement methodologies used by third-party payers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keep pace with our competitors and with technological and market changes, our products will become obsolete and our business may suffer.</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markets for our products are highly competitive, subject to rapid technological changes, and vary for different candidates and processes that directly compete with our products. Our competitors in the medical and biotechnology industries may have superior products, research and development, manufacturing, and marketing capabilities, and financial resources or marketing positions. Furthermore, our competitors may have developed, or could in the future develop, new technologies that compete with our products or even render our products obsolete. As an example, in the past, published studies have suggested that hematopoietic stem cell therapy use for bone marrow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cell manufacturing system for ixmyelocel-T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w:t>
      </w:r>
    </w:p>
    <w:p>
      <w:pPr>
        <w:spacing w:after="0" w:line="15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Carticel, MACI or any other product candidate for which we seek approval as a biologic, may face competition sooner than anticipated.</w:t>
      </w:r>
    </w:p>
    <w:p>
      <w:pPr>
        <w:spacing w:after="0" w:line="23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 the enactment of the Biologics Price Competition and Innovation Act of 2009, or BPCI Act, as part of the Patient Protection and Affordable Care Act (PPACA), an abbreviated pathway for the approval of biosimilar and interchangeable biological products was created. The abbreviated regulatory</w:t>
      </w:r>
    </w:p>
    <w:p>
      <w:pPr>
        <w:sectPr>
          <w:pgSz w:w="11900" w:h="16908" w:orient="portrait"/>
          <w:cols w:equalWidth="0" w:num="1">
            <w:col w:w="11420"/>
          </w:cols>
          <w:pgMar w:left="240" w:top="125" w:right="239" w:bottom="0" w:gutter="0" w:footer="0" w:header="0"/>
        </w:sectPr>
      </w:pPr>
    </w:p>
    <w:bookmarkStart w:id="28" w:name="page29"/>
    <w:bookmarkEnd w:id="28"/>
    <w:p>
      <w:pPr>
        <w:spacing w:after="0" w:line="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pathway establishes legal authority for the FDA to review and approve biosimilar biologics, including the possible designation of a biosimilar as “interchangeable” based on its similarity to an existing brand product. Under the BPCI Act, an application for a biosimilar product cannot be approved by the FDA until twelve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the BPCI Act may be fully adopted by the FDA, any such processes could have a material adverse effect on the future commercial prospects for our biological products. While the BCPI Act provides for a twelve-year period of exclusivity, there is a risk that this exclusivity could be shortened due to congressional action or otherwise, or that the FDA will not consider any of our future product candidates to be a reference product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Tissue based products are regulated differently in different countries. Many foreign jurisdictions have a different and may have a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Any adverse events in our clinical trials for a future product under development could negatively impact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Unintended consequences of recently adopted healthcare reform legislation in the U.S. may adversely affect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resulting from political and economic influences, to change the healthcare system in ways that could affect our ability to sell our products. Among policy makers and payers in the United States and elsewhere, there is significant interest in promoting changes in healthcare systems with the stated goals of containing healthcare costs, improving quality and/or expanding access.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2010, President Obama signed into law the PPACA which substantially changes the way healthcare is financed by both governmental and private insurers, encourages improvements in the quality of healthcare items and services, and significantly impacts the biotechnology and medical industries. The PPACA includes, among other things, the following measures: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58" w:lineRule="auto"/>
        <w:tabs>
          <w:tab w:leader="none" w:pos="10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 excise tax on the sale price of medical devices to be paid by any entity that manufactures or imports medical devices offered for sale in the United States, with limited exceptions;</w:t>
      </w:r>
    </w:p>
    <w:p>
      <w:pPr>
        <w:spacing w:after="0" w:line="1" w:lineRule="exact"/>
        <w:rPr>
          <w:rFonts w:ascii="Arial" w:cs="Arial" w:eastAsia="Arial" w:hAnsi="Arial"/>
          <w:sz w:val="18"/>
          <w:szCs w:val="18"/>
          <w:color w:val="auto"/>
        </w:rPr>
      </w:pPr>
    </w:p>
    <w:p>
      <w:pPr>
        <w:ind w:left="980" w:hanging="324"/>
        <w:spacing w:after="0" w:line="250" w:lineRule="auto"/>
        <w:tabs>
          <w:tab w:leader="none" w:pos="12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research priorities and conduct comparative clinical effectiveness research;</w:t>
      </w:r>
    </w:p>
    <w:p>
      <w:pPr>
        <w:jc w:val="both"/>
        <w:ind w:left="980" w:hanging="324"/>
        <w:spacing w:after="0" w:line="250" w:lineRule="auto"/>
        <w:tabs>
          <w:tab w:leader="none" w:pos="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reporting and disclosure requirements on biological product and device manufacturers, also known as the Sunshine Act, for any payment or other “transfer of value” made or distributed to physicians and teaching hospitals, as well as reporting of certain physician ownership interests with data collection requirements beginning in 2013 and the first reports due in 2014;</w:t>
      </w:r>
    </w:p>
    <w:p>
      <w:pPr>
        <w:spacing w:after="0" w:line="1" w:lineRule="exact"/>
        <w:rPr>
          <w:rFonts w:ascii="Arial" w:cs="Arial" w:eastAsia="Arial" w:hAnsi="Arial"/>
          <w:sz w:val="18"/>
          <w:szCs w:val="18"/>
          <w:color w:val="auto"/>
        </w:rPr>
      </w:pPr>
    </w:p>
    <w:p>
      <w:pPr>
        <w:ind w:left="980" w:hanging="324"/>
        <w:spacing w:after="0" w:line="250" w:lineRule="auto"/>
        <w:tabs>
          <w:tab w:leader="none" w:pos="11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system reforms including a national pilot program on payment bundling to encourage hospitals, physicians and other providers to improve the coordination, quality and efficiency of certain healthcare services through bundled payment models;</w:t>
      </w:r>
    </w:p>
    <w:p>
      <w:pPr>
        <w:ind w:left="980" w:hanging="324"/>
        <w:spacing w:after="0" w:line="250" w:lineRule="auto"/>
        <w:tabs>
          <w:tab w:leader="none" w:pos="11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 and</w:t>
      </w:r>
    </w:p>
    <w:p>
      <w:pPr>
        <w:ind w:left="980" w:hanging="324"/>
        <w:spacing w:after="0" w:line="261" w:lineRule="auto"/>
        <w:tabs>
          <w:tab w:leader="none" w:pos="11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abbreviated pathway for the licensure of biological products that are demonstrated to be biosimilar or interchangeable with a licensed biological product.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These provisions could meaningfully change the way healthcare is delivered and financed. If the legislation causes certain unintended consequences or has an indirect impact on us, it could have a material adverse effect on our business, financial condition and results of operations.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PPACA was enacted. In August 2011, the President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up to 2% per fiscal year, starting in 2013. In January 2013, President Obama signed into law the American Taxpayer Relief Act of 2012 (ATRA)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Certain of these proposals could limit the price that we are able to charge for our products, or the amount of reimbursement available for our products, and could limit the acceptance and availability of our products for various indications. The adoption of some or all of these proposals could have a material adverse effect on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Competitor companies or hospitals may be able to take advantage of the EU rules permitting sales of unlicensed medicines for individual patients to sell competing products without a marketing authorization.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may, in certain countries, also apply to products manufactured in a country outside the EU and imported to treat specific patients or small groups of patients. In addition, advanced therapy medicinal products do not need a marketing authorization if they are prepared on a non-routine basis and are used within the same EU member state in a hospital in accordance with a medical prescription for an individual patient (named patient basis).</w:t>
      </w:r>
    </w:p>
    <w:p>
      <w:pPr>
        <w:sectPr>
          <w:pgSz w:w="11900" w:h="16866" w:orient="portrait"/>
          <w:cols w:equalWidth="0" w:num="1">
            <w:col w:w="11420"/>
          </w:cols>
          <w:pgMar w:left="240" w:top="125" w:right="239" w:bottom="0" w:gutter="0" w:footer="0" w:header="0"/>
        </w:sectPr>
      </w:pPr>
    </w:p>
    <w:bookmarkStart w:id="29" w:name="page30"/>
    <w:bookmarkEnd w:id="29"/>
    <w:p>
      <w:pPr>
        <w:spacing w:after="0" w:line="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Furthermore, with respect to ixmyelocel-T, we rely on exclusive, world-wide licenses relating to the production of human cells granted to us by the University of Michigan. If we materially breach such agreements or otherwise fail to materially comply with such agreements, or if such agreements expire or are otherwise terminated by us, we may lose our rights under the patents held by the University of Michigan. At the latest, each of these licenses will terminate when the patent underlying the license expires, with the last to expire during the third quarter of 2014. Once the patents expire, third parties may be able to practice the inventions covered by those patents and thus compete with us.</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Patent law relating to the scope of claims in the biotechnology field is evolving and our patent rights in this country and abroad are subject to this uncertainty. For example, from time to time, the U.S.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U.S. Supreme Court. A suit brought by multiple plaintiffs, including the American Civil Liberties Union, or ACLU, against Myriad Genetics, or Myriad, and the USPTO, could impact biotechnology and diagnostic patents. That case involves certain of Myriad’s U.S. patents related to the breast cancer susceptibility genes BRCA1 and BRCA2. The Federal Circuit issued a written decision on July 29, 2011 that reversed the decision of the U.S. District Court for the Southern District of New York that Myriad’s composition claims to “isolated” DNA molecules cover unpatentable subject matter. The Federal Circuit court instead held that the breast cancer genes are patentable subject matter. Subsequently, on March 20, 2012, the Supreme Court issued a decision in Mayo Collaborative v. Prometheus Laboratories, or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The Supreme Court subsequently granted certiorari in the Myriad case, vacated the judgment, and remanded the case back to the Federal Circuit for further consideration in light of their decision in the Prometheus case. The Federal Circuit heard oral arguments on July 20, 2012, and issued a decision on August 16, 2012. The Federal Circuit reaffirmed its earlier decision and held that composition of matter claims directed to isolated nucleic acids are patent-eligible subject matter, but that method claims consisting of only abstract mental processes are not patent-eligible. On September 25, 2012, the ACLU filed a petition for a writ of certiorari asking the Supreme Court to review the Federal Circuit’s decision with respect to the composition of matter claims. On November 30, 2012, the Supreme Court granted the petition and agreed to review the case. On June 13, 2013, the Supreme Court issued a decision in the Myriad case. According to the decision, claims directed to genomic DNA cover unpatentable subject matter. However, claims directed to cDNA are patent eligible subject matter.</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4, 2014, the USPTO issued a memorandum entitled “2014 Procedure For Subject Matter Eligibility Analysis Of Claims Reciting Or Involving Laws Of Nature/Natural Principles, Natural Phenomena, And/Or Natural Products”. This memorandum provides guidance to patent examiners for examining claims reciting laws of nature/natural principles, natural phenomena, and/or natural products for patent eligibility in view of the Supreme Court decisions in Prometheus and Myriad. The guidance indicates that claims reciting such natural subject matter, read as a whole, that do not significantly differ from such natural subject matter should be rejected as non-statutory subject matter.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Congress directed the USPTO to study effective ways to provide independent, confirming genetic diagnostic test activity where gene patents and exclusive licensing for primary genetic diagnostic tests exist. This study will examine the impact that independent second opinion testing has on providing medical care to patients; the effect that providing independent second opinion genetic diagnostic testing would have on the existing patent and license holders of an exclusive genetic test; the impact of current practices on testing results and performance; and the role of insurance coverage on the provision of genetic diagnostic tests. The USPTO was directed to report the findings of the study to Congress and provide recommendations for establishing the availability of independent confirming genetic diagnostic test activity by June 16, 2012. On August 28, 2012, the Department of Commerce sent a letter to the House and</w:t>
      </w:r>
    </w:p>
    <w:p>
      <w:pPr>
        <w:sectPr>
          <w:pgSz w:w="11900" w:h="16867" w:orient="portrait"/>
          <w:cols w:equalWidth="0" w:num="1">
            <w:col w:w="11420"/>
          </w:cols>
          <w:pgMar w:left="240" w:top="341" w:right="239" w:bottom="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Senate Judiciary Committee leadership updating them on the status of the genetic testing report. The letter stated in part: “Given the complexity and diversity of the opinions, comments, and suggestions provided by interested parties, and the important policy considerations involved, we believe that further review, discussion, and analysis are required before a final report can be submitted to Congress.” The USPTO issued a Request for Comments and Notice of Public Hearing on Genetic Diagnostic Testing on January 25, 2012, and held additional public hearings in February and March 2013. It is unclear whether the results of this study will be acted upon by the USPTO or result in Congressional efforts to change the law or process in a manner that could negatively impact our present or future patent portfolio.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Given our patent position in regard to our products, 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product candidates, our competitive position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policies for Epicel, any of which would materially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issued patents relating to Carticel and MACI will expire soon and may be insufficient to protect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issued patents in the United States and in certain foreign countries that relate to the combinations of chondrocytes and collagen membranes used in Carticel and MACI. However, the issued patents relating to Carticel are scheduled to expire by August of 2016 in the U.S. and by 2022 in Europe. Furthermore, the issued patents relating to MACI are scheduled to expire by August of 2016 in the U.S. and by August of 2017 in Europe. When these patents expire we may be subject to increased competition and our opportunity to establish or maintain product revenue could be substantially reduced or eliminated.</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Carticel, or MACI.</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not been subject to any filed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hired and will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defend their intellectual property rights than we can. Accordingly, despite our efforts, we may not be able to prevent third parties from infringing upon or misappropriating our intellectual property.</w:t>
      </w:r>
    </w:p>
    <w:p>
      <w:pPr>
        <w:spacing w:after="0" w:line="170" w:lineRule="exact"/>
        <w:rPr>
          <w:sz w:val="20"/>
          <w:szCs w:val="20"/>
          <w:color w:val="auto"/>
        </w:rPr>
      </w:pPr>
    </w:p>
    <w:p>
      <w:pPr>
        <w:jc w:val="both"/>
        <w:ind w:right="20" w:firstLine="702"/>
        <w:spacing w:after="0" w:line="279" w:lineRule="auto"/>
        <w:rPr>
          <w:sz w:val="20"/>
          <w:szCs w:val="20"/>
          <w:color w:val="auto"/>
        </w:rPr>
      </w:pPr>
      <w:r>
        <w:rPr>
          <w:rFonts w:ascii="Arial" w:cs="Arial" w:eastAsia="Arial" w:hAnsi="Arial"/>
          <w:sz w:val="17"/>
          <w:szCs w:val="17"/>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w:t>
      </w:r>
    </w:p>
    <w:p>
      <w:pPr>
        <w:sectPr>
          <w:pgSz w:w="11900" w:h="16838" w:orient="portrait"/>
          <w:cols w:equalWidth="0" w:num="1">
            <w:col w:w="11420"/>
          </w:cols>
          <w:pgMar w:left="240" w:top="125" w:right="239" w:bottom="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hearings, motions or other interim proceedings or developments. If securities analysts or investors perceive these results to be negative, it could have a material adverse effect on the price of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ind w:left="980" w:right="20" w:hanging="324"/>
        <w:spacing w:after="0" w:line="258" w:lineRule="auto"/>
        <w:tabs>
          <w:tab w:leader="none" w:pos="9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980" w:hanging="324"/>
        <w:spacing w:after="0" w:line="250" w:lineRule="auto"/>
        <w:tabs>
          <w:tab w:leader="none" w:pos="10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980" w:hanging="324"/>
        <w:spacing w:after="0" w:line="250" w:lineRule="auto"/>
        <w:tabs>
          <w:tab w:leader="none" w:pos="11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1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jc w:val="both"/>
        <w:ind w:left="980" w:hanging="324"/>
        <w:spacing w:after="0" w:line="265" w:lineRule="auto"/>
        <w:tabs>
          <w:tab w:leader="none" w:pos="12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our products and product candidates may expose us to product liability claims, and we may not be able to obtain adequate insurance. As a result, such claims could affect our earnings and financial condition.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67"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the common stock of the combined company may be affected by factors different from those affecting the market price for our common stock in recent history.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Aastrom’s business in recent history differs from that of the acquired business, and the business of the combined company will differ from that of ours, and accordingly, the results of operations for the combined company may be affected by factors different from those affecting our results of operation in recent history. As a result, the market price for our stock may be impacted differently in the future by those factors than it is currently.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six months ended June 30, 2014, we have sold (i) an aggregate gross amount of approximately $5,450,00 of shares of common stock pursuant to our At-the-Market Sales Agreement (ATM) with MLV &amp; Co. LLC (MLV) (formerly McNicoll, Lewis &amp; Vlak) through June 30, 2014, and (ii) an aggregate of approximately $3,195,000 of shares of our common stock to Lincoln Park pursuant to the Lincoln Park Equity Line. During 2013, we sold (i) an aggregate of approximately $4,900,000 of shares of common stock pursuant to our ATM through December 31, 2013, and (ii) in August 2013, we sold 1,500,000 shares of common stock and warrants to purchase up to 1,500,000 shares of common stock under a Form S-1 registration statement and pursuant to a prospectus supplement first made available on August 14, 2013. The ATM, which as of June 30, 2014 had remaining capacity of approximately $9,300,000, allowed us to sell our common stock from time to time under a registration statement on Form S-3 filed in June 2011, pursuant to which we registered $100,000,000 of our securities for public sale. The Form S-3 registration statement filed in June 2011 expired in July 2014, and we intend to file a new registration statement on Form S-3 to continue the ATM program in the coming months. Additionally, pursuant to the Lincoln Park Equity Line we may direct Lincoln Park to purchase up to $15,000,000 worth of shares of our common stock over a 30-month period generally in amounts up to 50,000 shares of our common stock. As of June 30, 2014, we had remaining capacity of approximately $11,800,000 under the Lincoln Park Equity Line. However, there are certain factors, such as volume of trading in our common stock, our stock price and the ability to terminate the agreement with notice, which limit the amount that can be raised in a short period of time through the Lincoln Park Equity Line.</w:t>
      </w:r>
    </w:p>
    <w:p>
      <w:pPr>
        <w:sectPr>
          <w:pgSz w:w="11900" w:h="16838" w:orient="portrait"/>
          <w:cols w:equalWidth="0" w:num="1">
            <w:col w:w="11420"/>
          </w:cols>
          <w:pgMar w:left="240" w:top="125" w:right="239" w:bottom="0" w:gutter="0" w:footer="0" w:header="0"/>
        </w:sectPr>
      </w:pPr>
    </w:p>
    <w:bookmarkStart w:id="33" w:name="page34"/>
    <w:bookmarkEnd w:id="33"/>
    <w:p>
      <w:pPr>
        <w:spacing w:after="0" w:line="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fail to remediate this material weakness and implement and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identified a material weakness in the operation of our internal controls over financial reporting as of June 30, 2014.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during this period. This material weakness contributed to adjustments identified by our independent registered public accounting firm during the quarter ended June 30, 2014. We have commenced efforts to remediate this material weakness through process and internal control improvements. However, if we cannot correct the material weakness we have identified, or if we experience other material weaknesses investor confidence and our stock price could be adversely affected. Further, if material weaknesses or deficiencies in our internal controls exist and go undetected, our financial statements could contain material misstatements that, when discovered in the future, could cause us to fail to meet our future reporting obligations and cause the price of our common stock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repurchase any of its equity securities during the quarter ended June 30, 2014. All information regarding the unregistered sales of securities during the quarter ended June 30, 2014 has been previously disclosed in the Company’s Current Reports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AASTROM BIOSCIENCES, INC.</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850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3" w:lineRule="exact"/>
        <w:rPr>
          <w:sz w:val="20"/>
          <w:szCs w:val="20"/>
          <w:color w:val="auto"/>
        </w:rPr>
      </w:pPr>
    </w:p>
    <w:p>
      <w:pPr>
        <w:jc w:val="center"/>
        <w:ind w:left="5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3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850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3" w:lineRule="exact"/>
        <w:rPr>
          <w:sz w:val="20"/>
          <w:szCs w:val="20"/>
          <w:color w:val="auto"/>
        </w:rPr>
      </w:pPr>
    </w:p>
    <w:p>
      <w:pPr>
        <w:jc w:val="center"/>
        <w:ind w:left="536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36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06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Asset Purchase Agreement, dated as of April 19, 2014, by and between the Company and Sanofi (incorporated herein by reference to</w:t>
            </w: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Exhibit 2.1 to the Company’s Current Report on Form 8-K filed on June 2, 2014).</w:t>
            </w:r>
          </w:p>
        </w:tc>
      </w:tr>
      <w:tr>
        <w:trPr>
          <w:trHeight w:val="418"/>
        </w:trPr>
        <w:tc>
          <w:tcPr>
            <w:tcW w:w="1060" w:type="dxa"/>
            <w:vAlign w:val="bottom"/>
          </w:tcPr>
          <w:p>
            <w:pPr>
              <w:jc w:val="right"/>
              <w:ind w:right="273"/>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Employment Agreement, dated May 13, 2014, by and between the Company and Gerard Michel (incorporated herein by reference to</w:t>
            </w: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Exhibit 10.1 to the Company’s Current Report on Form 8-K filed on June 4, 2014).</w:t>
            </w:r>
          </w:p>
        </w:tc>
      </w:tr>
      <w:tr>
        <w:trPr>
          <w:trHeight w:val="418"/>
        </w:trPr>
        <w:tc>
          <w:tcPr>
            <w:tcW w:w="1060" w:type="dxa"/>
            <w:vAlign w:val="bottom"/>
          </w:tcPr>
          <w:p>
            <w:pPr>
              <w:jc w:val="right"/>
              <w:ind w:right="273"/>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0"/>
              </w:rPr>
              <w:t>Transition Services Agreement, dated as of May 30, 2014, by and between the Company and Genzyme Corporation (incorporated herein by</w:t>
            </w: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reference to Exhibit 10.1 to the Company’s Current Report on Form 8-K filed on June 2, 2014).</w:t>
            </w:r>
          </w:p>
        </w:tc>
      </w:tr>
      <w:tr>
        <w:trPr>
          <w:trHeight w:val="418"/>
        </w:trPr>
        <w:tc>
          <w:tcPr>
            <w:tcW w:w="1060" w:type="dxa"/>
            <w:vAlign w:val="bottom"/>
          </w:tcPr>
          <w:p>
            <w:pPr>
              <w:jc w:val="right"/>
              <w:ind w:right="273"/>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Transition Supply Agreement, dated as of May 30, 2014, by and between the Company and Genzyme Corporation (incorporated herein by</w:t>
            </w: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reference to Exhibit 10.2 to the Company’s Current Report on Form 8-K filed on June 2, 2014).</w:t>
            </w:r>
          </w:p>
        </w:tc>
      </w:tr>
      <w:tr>
        <w:trPr>
          <w:trHeight w:val="432"/>
        </w:trPr>
        <w:tc>
          <w:tcPr>
            <w:tcW w:w="1060" w:type="dxa"/>
            <w:vAlign w:val="bottom"/>
          </w:tcPr>
          <w:p>
            <w:pPr>
              <w:jc w:val="right"/>
              <w:ind w:right="273"/>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Form of Warrant Exercise Agreement, dated July 9, 2014 (incorporated herein by reference to Exhibit 10 to the Company’s Report on</w:t>
            </w:r>
          </w:p>
        </w:tc>
      </w:tr>
    </w:tbl>
    <w:p>
      <w:pPr>
        <w:sectPr>
          <w:pgSz w:w="11900" w:h="16870" w:orient="portrait"/>
          <w:cols w:equalWidth="0" w:num="1">
            <w:col w:w="11420"/>
          </w:cols>
          <w:pgMar w:left="240" w:top="125"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Form 8-K, filed on July 11, 2014).</w:t>
            </w:r>
          </w:p>
        </w:tc>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10.6</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3"/>
              </w:rPr>
              <w:t>Employment Agreement, dated as of March 27, 2014, by and between the Company and Ross Tubo (incorporated herein by reference to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rPr>
              <w:t>Exhibit 10.1 to the Company’s Current Report on Form 8-K filed on April 1, 2014).</w:t>
            </w: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10.7</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1"/>
              </w:rPr>
              <w:t>Employment Agreement, dated as of March 27, 2014, by and between the Company and David Recker (incorporated herein by reference to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rPr>
              <w:t>Exhibit 10.2 to the Company’s Current Report on Form 8-K filed on April 1, 2014).</w:t>
            </w: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8"/>
              </w:rPr>
              <w:t>Certification by Chief Executive Officer required by Rule 13a-14(a) or 15d-14(a) of the Securities Exchange Act of 1934 (furnished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herewith).</w:t>
            </w:r>
          </w:p>
        </w:tc>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7"/>
              </w:rPr>
              <w:t>Certification by Chief Accounting Officer required by Rule 13a-14(a) or 15d-14(a) of the Securities Exchange Act of 1934 (furnished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herewith).</w:t>
            </w:r>
          </w:p>
        </w:tc>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32.1</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of 2002 (furnished herewith).</w:t>
            </w:r>
          </w:p>
        </w:tc>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32.2</w:t>
            </w:r>
          </w:p>
        </w:tc>
        <w:tc>
          <w:tcPr>
            <w:tcW w:w="2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3"/>
              </w:rPr>
              <w:t>Certification of Chief Accounting Officer pursuant to 18 U.S.C. Section 1350, as adopted pursuant to Section 906 of the Sarbanes-Oxley</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Act of 2002 (furnished herewith).</w:t>
            </w:r>
          </w:p>
        </w:tc>
        <w:tc>
          <w:tcPr>
            <w:tcW w:w="34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101.INS</w:t>
            </w:r>
          </w:p>
        </w:tc>
        <w:tc>
          <w:tcPr>
            <w:tcW w:w="2940" w:type="dxa"/>
            <w:vAlign w:val="bottom"/>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101.SCH</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101.CAL</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101.LAB</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101.PRE</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101.DEF</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48"/>
        </w:trPr>
        <w:tc>
          <w:tcPr>
            <w:tcW w:w="2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9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6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1300" w:type="dxa"/>
            <w:vAlign w:val="bottom"/>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80" w:type="dxa"/>
            <w:vAlign w:val="bottom"/>
            <w:gridSpan w:val="2"/>
          </w:tcPr>
          <w:p>
            <w:pPr>
              <w:ind w:left="640"/>
              <w:spacing w:after="0"/>
              <w:rPr>
                <w:sz w:val="20"/>
                <w:szCs w:val="20"/>
                <w:color w:val="auto"/>
              </w:rPr>
            </w:pPr>
            <w:r>
              <w:rPr>
                <w:rFonts w:ascii="Arial" w:cs="Arial" w:eastAsia="Arial" w:hAnsi="Arial"/>
                <w:sz w:val="18"/>
                <w:szCs w:val="18"/>
                <w:b w:val="1"/>
                <w:bCs w:val="1"/>
                <w:color w:val="auto"/>
              </w:rPr>
              <w:t>GLOSSARY</w:t>
            </w:r>
          </w:p>
        </w:tc>
      </w:tr>
      <w:tr>
        <w:trPr>
          <w:trHeight w:val="365"/>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TERM</w:t>
            </w: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80" w:type="dxa"/>
            <w:vAlign w:val="bottom"/>
            <w:gridSpan w:val="2"/>
          </w:tcPr>
          <w:p>
            <w:pPr>
              <w:ind w:left="2980"/>
              <w:spacing w:after="0"/>
              <w:rPr>
                <w:sz w:val="20"/>
                <w:szCs w:val="20"/>
                <w:color w:val="auto"/>
              </w:rPr>
            </w:pPr>
            <w:r>
              <w:rPr>
                <w:rFonts w:ascii="Arial" w:cs="Arial" w:eastAsia="Arial" w:hAnsi="Arial"/>
                <w:sz w:val="14"/>
                <w:szCs w:val="14"/>
                <w:b w:val="1"/>
                <w:bCs w:val="1"/>
                <w:color w:val="auto"/>
              </w:rPr>
              <w:t>DEFINITION</w:t>
            </w:r>
          </w:p>
        </w:tc>
      </w:tr>
      <w:tr>
        <w:trPr>
          <w:trHeight w:val="195"/>
        </w:trPr>
        <w:tc>
          <w:tcPr>
            <w:tcW w:w="20" w:type="dxa"/>
            <w:vAlign w:val="bottom"/>
          </w:tcPr>
          <w:p>
            <w:pPr>
              <w:spacing w:after="0"/>
              <w:rPr>
                <w:sz w:val="16"/>
                <w:szCs w:val="16"/>
                <w:color w:val="auto"/>
              </w:rPr>
            </w:pPr>
          </w:p>
        </w:tc>
        <w:tc>
          <w:tcPr>
            <w:tcW w:w="12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Adverse Event</w:t>
            </w:r>
          </w:p>
        </w:tc>
        <w:tc>
          <w:tcPr>
            <w:tcW w:w="2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Any adverse change in health or “side-effect” that occurs in a person participating in a clinical</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6"/>
              </w:rPr>
              <w:t>trial, from the time they consent to joining the trial until a pre-specified period of time after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their treatment has been completed.</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Autologous (Patient Specific)</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Originating from the patient receiving treatment. (Aastrom uses only autologous cells).</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BLA — Biologics License Application</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3"/>
              </w:rPr>
              <w:t>An application containing product safety, efficacy and manufacturing information required by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the FDA to market biologics products in the U.S.</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CLI — Critical Limb Ischemia</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8"/>
              </w:rPr>
              <w:t>An atherosclerotic vascular disease characterized by insufficient blood flow in the lower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extremities that causes severe pain, tissue loss or both.</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Controlled Clinical Trial</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3"/>
              </w:rPr>
              <w:t>A clinical study that compares patients receiving a specific treatment to patients receiving an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1"/>
              </w:rPr>
              <w:t>alternate treatment for the condition of interest. The alternate treatment may be another active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treatment, standard of care for the condition and/or a placebo (inactive) treatment.</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DCM — Dilated Cardiomyopathy</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0"/>
              </w:rPr>
              <w:t>A chronic cardiac disease where expansion of the patient’s heart reduces the pumping function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to a point that the normal circulation of blood cannot be maintained.</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Double-Blind Clinical Trial</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6"/>
              </w:rPr>
              <w:t>Clinical trials in which neither the patient nor the physician know if the patient received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experimental treatment or a control/placebo.</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FDA — Food &amp; Drug Administration</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6"/>
              </w:rPr>
              <w:t>The U.S. FDA ensures that medicines, medical devices, and radiation-emitting consumer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4"/>
              </w:rPr>
              <w:t>products are safe and effective. Authorized by Congress to enforce the Federal Food, Drug,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2"/>
              </w:rPr>
              <w:t>and Cosmetic Act and several other public health laws, the agency monitors the manufacture,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import, transport, storage, and sale of $1 trillion worth of goods annually.</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GMP — Good Manufacturing Practice</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5"/>
              </w:rPr>
              <w:t>GMP regulations require that manufacturers, processors, and packagers of drugs, medical</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0"/>
              </w:rPr>
              <w:t>devices, some food, and blood take proactive steps to ensure that their products are safe, pure,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and effective. GMP regulations require a quality approach to manufacturing, enabling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companies to minimize or eliminate instances of contamination, mix-ups, and errors.</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Hematopoietic Cells</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All of the cells in the blood system including myeloid (monocytes and macrophages,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4"/>
              </w:rPr>
              <w:t>neutrophils, basophils, eosinophils, erythrocytes, megakaryocytes/platelets, dendritic cells),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and lymphoid lineages (T-cells, B-cells, NK-cells).</w:t>
            </w:r>
          </w:p>
        </w:tc>
      </w:t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Ischemia</w:t>
            </w: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3"/>
              </w:rPr>
              <w:t>A shortage or inadequate flow of blood to a body part (commonly an organ or tissue) caused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by a constriction or obstruction of the blood vessels supplying it.</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LVEF — Left Ventricular Ejection Fraction</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The fraction of blood pumped out of the left ventricle with each heart beat.</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Mesenchymal stromal cells</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6"/>
              </w:rPr>
              <w:t>Connective tissue cells that, in the case of bone marrow derived MSC, function to support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blood forming cells and secrete anti-inflammatory factors.</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M2 anti-inflammatory macrophages</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0"/>
              </w:rPr>
              <w:t>Specialized blood cells that remove damaged tissue and bacteria and secrete anti-inflammatory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factors.</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Open-label Clinical Trial</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5"/>
              </w:rPr>
              <w:t>A trial in which both the treating physician and the patient know whether they are receiving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rPr>
              <w:t>the experimental treatment or control/placebo treatment.</w:t>
            </w:r>
          </w:p>
        </w:tc>
      </w:tr>
      <w:tr>
        <w:trPr>
          <w:trHeight w:val="216"/>
        </w:trPr>
        <w:tc>
          <w:tcPr>
            <w:tcW w:w="4240" w:type="dxa"/>
            <w:vAlign w:val="bottom"/>
            <w:gridSpan w:val="4"/>
          </w:tcPr>
          <w:p>
            <w:pPr>
              <w:spacing w:after="0"/>
              <w:rPr>
                <w:sz w:val="20"/>
                <w:szCs w:val="20"/>
                <w:color w:val="auto"/>
              </w:rPr>
            </w:pPr>
            <w:r>
              <w:rPr>
                <w:rFonts w:ascii="Arial" w:cs="Arial" w:eastAsia="Arial" w:hAnsi="Arial"/>
                <w:sz w:val="18"/>
                <w:szCs w:val="18"/>
                <w:color w:val="auto"/>
              </w:rPr>
              <w:t>Orphan Drug Designation</w:t>
            </w: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5"/>
              </w:rPr>
              <w:t>“Orphan drug” refers to a drug or biologic that is intended for use in the treatment of a rare</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220" w:type="dxa"/>
            <w:vAlign w:val="bottom"/>
            <w:gridSpan w:val="3"/>
          </w:tcPr>
          <w:p>
            <w:pPr>
              <w:ind w:left="340"/>
              <w:spacing w:after="0"/>
              <w:rPr>
                <w:sz w:val="20"/>
                <w:szCs w:val="20"/>
                <w:color w:val="auto"/>
              </w:rPr>
            </w:pPr>
            <w:r>
              <w:rPr>
                <w:rFonts w:ascii="Arial" w:cs="Arial" w:eastAsia="Arial" w:hAnsi="Arial"/>
                <w:sz w:val="18"/>
                <w:szCs w:val="18"/>
                <w:color w:val="auto"/>
                <w:w w:val="97"/>
              </w:rPr>
              <w:t>disease or condition. Orphan drug designation from the U.S. Food and Drug Association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-5978525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-5978525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w w:val="93"/>
              </w:rPr>
              <w:t>(FDA) qualifies the sponsor to receive certain benefits from the Government in exchange for</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w w:val="94"/>
              </w:rPr>
              <w:t>developing the drug for a rare disease or condition. The drug must then go through the FDA</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w w:val="96"/>
              </w:rPr>
              <w:t>marketing approval process like any other drug or biologic which evaluates for safety and</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w w:val="94"/>
              </w:rPr>
              <w:t>efficacy. Usually a sponsor receives a quicker review time and lower application fees for an</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orphan product.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Phase 1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6"/>
              </w:rPr>
              <w:t>A Phase 1 trial represents an initial study in a small group of patients to test for safety and</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other relevant factors.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Phase 2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2"/>
              </w:rPr>
              <w:t>A Phase 2 trial represents a study in a moderate number of patients to assess the safety and</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efficacy of a product.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Phase 2b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3"/>
              </w:rPr>
              <w:t>A Phase 2b trial is a moderately-sized Phase 2 trial that is more specifically designed assess</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the efficacy of a product than a Phase 2a trial.</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Phase 3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1"/>
              </w:rPr>
              <w:t>Phase 3 studies are initiated to establish safety and efficacy in an expanded patient population</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at multiple clinical trial sites and are generally larger than trials in earlier phases of</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development.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Prospective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8"/>
              </w:rPr>
              <w:t>A clinical trial in which participants are identified and then followed throughout the study</w:t>
            </w:r>
          </w:p>
        </w:tc>
      </w:tr>
      <w:tr>
        <w:trPr>
          <w:trHeight w:val="216"/>
        </w:trPr>
        <w:tc>
          <w:tcPr>
            <w:tcW w:w="3240" w:type="dxa"/>
            <w:vAlign w:val="bottom"/>
          </w:tcPr>
          <w:p>
            <w:pPr>
              <w:spacing w:after="0"/>
              <w:rPr>
                <w:sz w:val="18"/>
                <w:szCs w:val="18"/>
                <w:color w:val="auto"/>
              </w:rPr>
            </w:pPr>
          </w:p>
        </w:tc>
        <w:tc>
          <w:tcPr>
            <w:tcW w:w="8220" w:type="dxa"/>
            <w:vAlign w:val="bottom"/>
          </w:tcPr>
          <w:p>
            <w:pPr>
              <w:ind w:left="1340"/>
              <w:spacing w:after="0"/>
              <w:rPr>
                <w:sz w:val="20"/>
                <w:szCs w:val="20"/>
                <w:color w:val="auto"/>
              </w:rPr>
            </w:pPr>
            <w:r>
              <w:rPr>
                <w:rFonts w:ascii="Arial" w:cs="Arial" w:eastAsia="Arial" w:hAnsi="Arial"/>
                <w:sz w:val="18"/>
                <w:szCs w:val="18"/>
                <w:color w:val="auto"/>
              </w:rPr>
              <w:t>going forward in time.</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Randomized Clinical Trial</w:t>
            </w:r>
          </w:p>
        </w:tc>
        <w:tc>
          <w:tcPr>
            <w:tcW w:w="8220" w:type="dxa"/>
            <w:vAlign w:val="bottom"/>
          </w:tcPr>
          <w:p>
            <w:pPr>
              <w:ind w:left="1340"/>
              <w:spacing w:after="0"/>
              <w:rPr>
                <w:sz w:val="20"/>
                <w:szCs w:val="20"/>
                <w:color w:val="auto"/>
              </w:rPr>
            </w:pPr>
            <w:r>
              <w:rPr>
                <w:rFonts w:ascii="Arial" w:cs="Arial" w:eastAsia="Arial" w:hAnsi="Arial"/>
                <w:sz w:val="18"/>
                <w:szCs w:val="18"/>
                <w:color w:val="auto"/>
                <w:w w:val="94"/>
              </w:rPr>
              <w:t>A clinical trial in which the participants are assigned randomly to different treatment groups.</w:t>
            </w:r>
          </w:p>
        </w:tc>
      </w:tr>
      <w:tr>
        <w:trPr>
          <w:trHeight w:val="348"/>
        </w:trPr>
        <w:tc>
          <w:tcPr>
            <w:tcW w:w="3240" w:type="dxa"/>
            <w:vAlign w:val="bottom"/>
            <w:tcBorders>
              <w:bottom w:val="single" w:sz="8" w:color="010101"/>
            </w:tcBorders>
          </w:tcPr>
          <w:p>
            <w:pPr>
              <w:spacing w:after="0"/>
              <w:rPr>
                <w:sz w:val="24"/>
                <w:szCs w:val="24"/>
                <w:color w:val="auto"/>
              </w:rPr>
            </w:pPr>
          </w:p>
        </w:tc>
        <w:tc>
          <w:tcPr>
            <w:tcW w:w="8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00" w:hanging="46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Aastrom Biosciences, Inc.;</w:t>
      </w:r>
    </w:p>
    <w:p>
      <w:pPr>
        <w:spacing w:after="0" w:line="225" w:lineRule="exact"/>
        <w:rPr>
          <w:rFonts w:ascii="Arial" w:cs="Arial" w:eastAsia="Arial" w:hAnsi="Arial"/>
          <w:sz w:val="18"/>
          <w:szCs w:val="18"/>
          <w:color w:val="auto"/>
        </w:rPr>
      </w:pPr>
    </w:p>
    <w:p>
      <w:pPr>
        <w:jc w:val="both"/>
        <w:ind w:left="780" w:hanging="448"/>
        <w:spacing w:after="0" w:line="264" w:lineRule="auto"/>
        <w:tabs>
          <w:tab w:leader="none" w:pos="8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hanging="448"/>
        <w:spacing w:after="0" w:line="308" w:lineRule="auto"/>
        <w:tabs>
          <w:tab w:leader="none" w:pos="8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80" w:hanging="448"/>
        <w:spacing w:after="0" w:line="264" w:lineRule="auto"/>
        <w:tabs>
          <w:tab w:leader="none" w:pos="8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80" w:hanging="5"/>
        <w:spacing w:after="0" w:line="264" w:lineRule="auto"/>
        <w:tabs>
          <w:tab w:leader="none" w:pos="14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80" w:right="20" w:hanging="5"/>
        <w:spacing w:after="0" w:line="264" w:lineRule="auto"/>
        <w:tabs>
          <w:tab w:leader="none" w:pos="14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20" w:hanging="5"/>
        <w:spacing w:after="0" w:line="342" w:lineRule="auto"/>
        <w:tabs>
          <w:tab w:leader="none" w:pos="14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80" w:hanging="5"/>
        <w:spacing w:after="0" w:line="264" w:lineRule="auto"/>
        <w:tabs>
          <w:tab w:leader="none" w:pos="14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80" w:hanging="448"/>
        <w:spacing w:after="0" w:line="308" w:lineRule="auto"/>
        <w:tabs>
          <w:tab w:leader="none" w:pos="78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80" w:right="20" w:hanging="5"/>
        <w:spacing w:after="0" w:line="308" w:lineRule="auto"/>
        <w:tabs>
          <w:tab w:leader="none" w:pos="1442"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80" w:hanging="5"/>
        <w:spacing w:after="0" w:line="277" w:lineRule="auto"/>
        <w:tabs>
          <w:tab w:leader="none" w:pos="14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00" w:hanging="46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Aastrom Biosciences, Inc.;</w:t>
      </w:r>
    </w:p>
    <w:p>
      <w:pPr>
        <w:spacing w:after="0" w:line="225" w:lineRule="exact"/>
        <w:rPr>
          <w:rFonts w:ascii="Arial" w:cs="Arial" w:eastAsia="Arial" w:hAnsi="Arial"/>
          <w:sz w:val="18"/>
          <w:szCs w:val="18"/>
          <w:color w:val="auto"/>
        </w:rPr>
      </w:pPr>
    </w:p>
    <w:p>
      <w:pPr>
        <w:jc w:val="both"/>
        <w:ind w:left="780" w:hanging="448"/>
        <w:spacing w:after="0" w:line="264" w:lineRule="auto"/>
        <w:tabs>
          <w:tab w:leader="none" w:pos="8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hanging="448"/>
        <w:spacing w:after="0" w:line="308" w:lineRule="auto"/>
        <w:tabs>
          <w:tab w:leader="none" w:pos="8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80" w:hanging="448"/>
        <w:spacing w:after="0" w:line="264" w:lineRule="auto"/>
        <w:tabs>
          <w:tab w:leader="none" w:pos="8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20" w:hanging="10"/>
        <w:spacing w:after="0" w:line="264" w:lineRule="auto"/>
        <w:tabs>
          <w:tab w:leader="none" w:pos="13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20" w:hanging="10"/>
        <w:spacing w:after="0" w:line="264" w:lineRule="auto"/>
        <w:tabs>
          <w:tab w:leader="none" w:pos="13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20" w:right="20" w:hanging="10"/>
        <w:spacing w:after="0" w:line="342" w:lineRule="auto"/>
        <w:tabs>
          <w:tab w:leader="none" w:pos="13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20" w:hanging="10"/>
        <w:spacing w:after="0" w:line="264" w:lineRule="auto"/>
        <w:tabs>
          <w:tab w:leader="none" w:pos="13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780" w:hanging="448"/>
        <w:spacing w:after="0" w:line="308" w:lineRule="auto"/>
        <w:tabs>
          <w:tab w:leader="none" w:pos="78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20" w:hanging="10"/>
        <w:spacing w:after="0" w:line="277" w:lineRule="auto"/>
        <w:tabs>
          <w:tab w:leader="none" w:pos="13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120" w:right="20" w:hanging="10"/>
        <w:spacing w:after="0" w:line="277" w:lineRule="auto"/>
        <w:tabs>
          <w:tab w:leader="none" w:pos="13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3850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3" w:lineRule="exact"/>
        <w:rPr>
          <w:sz w:val="20"/>
          <w:szCs w:val="20"/>
          <w:color w:val="auto"/>
        </w:rPr>
      </w:pPr>
    </w:p>
    <w:p>
      <w:pPr>
        <w:jc w:val="center"/>
        <w:ind w:left="536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connection with the Quarterly Report of Aastrom Biosciences, Inc. (the “Company”) on Form 10-Q for the quarter ended June 30, 2014,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Aastrom Biosciences, Inc. and will be retained by Aastrom Biosciences,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connection with the Quarterly Report of Aastrom Biosciences, Inc. (the “Company”) on Form 10-Q for the quarter ended June 30, 2014,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GERARD MICHEL</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-130810</wp:posOffset>
            </wp:positionV>
            <wp:extent cx="3876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Aastrom Biosciences, Inc. and will be retained by Aastrom Biosciences,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2019-12-06T06:48:12Z</dcterms:created>
  <dcterms:modified xsi:type="dcterms:W3CDTF">2019-12-06T06:48:12Z</dcterms:modified>
</cp:coreProperties>
</file>