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540" w:hanging="208"/>
        <w:spacing w:after="0"/>
        <w:tabs>
          <w:tab w:leader="none" w:pos="540" w:val="left"/>
        </w:tabs>
        <w:numPr>
          <w:ilvl w:val="0"/>
          <w:numId w:val="1"/>
        </w:numPr>
        <w:rPr>
          <w:rFonts w:ascii="Arial" w:cs="Arial" w:eastAsia="Arial" w:hAnsi="Arial"/>
          <w:sz w:val="19"/>
          <w:szCs w:val="19"/>
          <w:color w:val="auto"/>
        </w:rPr>
      </w:pPr>
      <w:r>
        <w:rPr>
          <w:rFonts w:ascii="Arial" w:cs="Arial" w:eastAsia="Arial" w:hAnsi="Arial"/>
          <w:sz w:val="21"/>
          <w:szCs w:val="21"/>
          <w:b w:val="1"/>
          <w:bCs w:val="1"/>
          <w:color w:val="auto"/>
        </w:rPr>
        <w:t>QUARTERLY REPORT PURSUANT TO SECTION 13 OR 15(D) OF THE SECURITIES EXCHANGE ACT OF</w:t>
      </w:r>
    </w:p>
    <w:p>
      <w:pPr>
        <w:spacing w:after="0" w:line="3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color w:val="auto"/>
        </w:rPr>
        <w:t>1934</w:t>
      </w:r>
    </w:p>
    <w:p>
      <w:pPr>
        <w:spacing w:after="0" w:line="1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right="240" w:firstLine="324"/>
        <w:spacing w:after="0" w:line="250" w:lineRule="auto"/>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jc w:val="center"/>
        <w:ind w:right="-39"/>
        <w:spacing w:after="0" w:line="197" w:lineRule="auto"/>
        <w:rPr>
          <w:sz w:val="20"/>
          <w:szCs w:val="20"/>
          <w:color w:val="auto"/>
        </w:rPr>
      </w:pPr>
      <w:r>
        <w:rPr>
          <w:rFonts w:ascii="Arial" w:cs="Arial" w:eastAsia="Arial" w:hAnsi="Arial"/>
          <w:sz w:val="18"/>
          <w:szCs w:val="18"/>
          <w:b w:val="1"/>
          <w:bCs w:val="1"/>
          <w:color w:val="auto"/>
        </w:rPr>
        <w:t>Commission file number 001-35280</w:t>
      </w:r>
    </w:p>
    <w:p>
      <w:pPr>
        <w:jc w:val="center"/>
        <w:ind w:right="-3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3" w:right="259" w:bottom="1440" w:gutter="0" w:footer="0" w:header="0"/>
        </w:sectPr>
      </w:pPr>
    </w:p>
    <w:p>
      <w:pPr>
        <w:spacing w:after="0" w:line="300"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7380" w:space="720"/>
            <w:col w:w="3300"/>
          </w:cols>
          <w:pgMar w:left="240" w:top="543" w:right="259" w:bottom="1440" w:gutter="0" w:footer="0" w:header="0"/>
          <w:type w:val="continuous"/>
        </w:sectPr>
      </w:pPr>
    </w:p>
    <w:p>
      <w:pPr>
        <w:ind w:left="18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7220" w:space="720"/>
            <w:col w:w="3460"/>
          </w:cols>
          <w:pgMar w:left="240" w:top="543" w:right="25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60" w:space="720"/>
            <w:col w:w="3520"/>
          </w:cols>
          <w:pgMar w:left="240" w:top="543" w:right="259" w:bottom="1440" w:gutter="0" w:footer="0" w:header="0"/>
          <w:type w:val="continuous"/>
        </w:sectPr>
      </w:pP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 Sidney Street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Cambridge, MA 02139</w:t>
      </w:r>
    </w:p>
    <w:p>
      <w:pPr>
        <w:sectPr>
          <w:pgSz w:w="11900" w:h="16838" w:orient="portrait"/>
          <w:cols w:equalWidth="0" w:num="1">
            <w:col w:w="11400"/>
          </w:cols>
          <w:pgMar w:left="240" w:top="543" w:right="259" w:bottom="1440" w:gutter="0" w:footer="0" w:header="0"/>
          <w:type w:val="continuous"/>
        </w:sectPr>
      </w:pP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66" w:lineRule="exact"/>
        <w:rPr>
          <w:sz w:val="24"/>
          <w:szCs w:val="24"/>
          <w:color w:val="auto"/>
        </w:rPr>
      </w:pPr>
    </w:p>
    <w:p>
      <w:pPr>
        <w:ind w:right="12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ind w:right="280" w:firstLine="243"/>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x No - o</w:t>
      </w:r>
    </w:p>
    <w:p>
      <w:pPr>
        <w:spacing w:after="0" w:line="84" w:lineRule="exact"/>
        <w:rPr>
          <w:sz w:val="24"/>
          <w:szCs w:val="24"/>
          <w:color w:val="auto"/>
        </w:rPr>
      </w:pPr>
    </w:p>
    <w:p>
      <w:pPr>
        <w:ind w:right="2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543" w:right="259" w:bottom="1440" w:gutter="0" w:footer="0" w:header="0"/>
          <w:type w:val="continuous"/>
        </w:sectPr>
      </w:pPr>
    </w:p>
    <w:p>
      <w:pPr>
        <w:spacing w:after="0" w:line="127" w:lineRule="exact"/>
        <w:rPr>
          <w:sz w:val="24"/>
          <w:szCs w:val="24"/>
          <w:color w:val="auto"/>
        </w:rPr>
      </w:pPr>
    </w:p>
    <w:p>
      <w:pPr>
        <w:ind w:left="1740"/>
        <w:spacing w:after="0"/>
        <w:rPr>
          <w:sz w:val="20"/>
          <w:szCs w:val="20"/>
          <w:color w:val="auto"/>
        </w:rPr>
      </w:pPr>
      <w:r>
        <w:rPr>
          <w:rFonts w:ascii="Arial" w:cs="Arial" w:eastAsia="Arial" w:hAnsi="Arial"/>
          <w:sz w:val="14"/>
          <w:szCs w:val="14"/>
          <w:color w:val="auto"/>
        </w:rPr>
        <w:t>Large accelerated filer -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 x</w:t>
      </w:r>
    </w:p>
    <w:p>
      <w:pPr>
        <w:spacing w:after="0" w:line="84" w:lineRule="exact"/>
        <w:rPr>
          <w:sz w:val="24"/>
          <w:szCs w:val="24"/>
          <w:color w:val="auto"/>
        </w:rPr>
      </w:pPr>
    </w:p>
    <w:p>
      <w:pPr>
        <w:sectPr>
          <w:pgSz w:w="11900" w:h="16838" w:orient="portrait"/>
          <w:cols w:equalWidth="0" w:num="2">
            <w:col w:w="7140" w:space="720"/>
            <w:col w:w="3540"/>
          </w:cols>
          <w:pgMar w:left="240" w:top="543" w:right="25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Non-accelerated filer -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 x</w:t>
      </w:r>
    </w:p>
    <w:p>
      <w:pPr>
        <w:spacing w:after="0" w:line="109" w:lineRule="exact"/>
        <w:rPr>
          <w:sz w:val="24"/>
          <w:szCs w:val="24"/>
          <w:color w:val="auto"/>
        </w:rPr>
      </w:pPr>
    </w:p>
    <w:p>
      <w:pPr>
        <w:sectPr>
          <w:pgSz w:w="11900" w:h="16838" w:orient="portrait"/>
          <w:cols w:equalWidth="0" w:num="2">
            <w:col w:w="6800" w:space="720"/>
            <w:col w:w="3880"/>
          </w:cols>
          <w:pgMar w:left="240" w:top="543" w:right="259" w:bottom="1440" w:gutter="0" w:footer="0" w:header="0"/>
          <w:type w:val="continuous"/>
        </w:sectPr>
      </w:pPr>
    </w:p>
    <w:p>
      <w:pPr>
        <w:ind w:left="7520"/>
        <w:spacing w:after="0"/>
        <w:rPr>
          <w:sz w:val="20"/>
          <w:szCs w:val="20"/>
          <w:color w:val="auto"/>
        </w:rPr>
      </w:pPr>
      <w:r>
        <w:rPr>
          <w:rFonts w:ascii="Arial" w:cs="Arial" w:eastAsia="Arial" w:hAnsi="Arial"/>
          <w:sz w:val="14"/>
          <w:szCs w:val="14"/>
          <w:color w:val="auto"/>
        </w:rPr>
        <w:t>Emerging growth company - o</w:t>
      </w:r>
    </w:p>
    <w:p>
      <w:pPr>
        <w:sectPr>
          <w:pgSz w:w="11900" w:h="16838" w:orient="portrait"/>
          <w:cols w:equalWidth="0" w:num="1">
            <w:col w:w="11400"/>
          </w:cols>
          <w:pgMar w:left="240" w:top="543" w:right="259" w:bottom="1440" w:gutter="0" w:footer="0" w:header="0"/>
          <w:type w:val="continuous"/>
        </w:sectPr>
      </w:pPr>
    </w:p>
    <w:p>
      <w:pPr>
        <w:spacing w:after="0" w:line="280" w:lineRule="exact"/>
        <w:rPr>
          <w:sz w:val="24"/>
          <w:szCs w:val="24"/>
          <w:color w:val="auto"/>
        </w:rPr>
      </w:pPr>
    </w:p>
    <w:p>
      <w:pPr>
        <w:ind w:right="8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o No - x</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Title of each class</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37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Common Stock</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color w:val="auto"/>
              </w:rPr>
              <w:t>VCEL</w:t>
            </w:r>
          </w:p>
        </w:tc>
        <w:tc>
          <w:tcPr>
            <w:tcW w:w="374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23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620" w:type="dxa"/>
            <w:vAlign w:val="bottom"/>
          </w:tcPr>
          <w:p>
            <w:pPr>
              <w:jc w:val="center"/>
              <w:ind w:right="530"/>
              <w:spacing w:after="0"/>
              <w:rPr>
                <w:sz w:val="20"/>
                <w:szCs w:val="20"/>
                <w:color w:val="auto"/>
              </w:rPr>
            </w:pPr>
            <w:r>
              <w:rPr>
                <w:rFonts w:ascii="Arial" w:cs="Arial" w:eastAsia="Arial" w:hAnsi="Arial"/>
                <w:sz w:val="18"/>
                <w:szCs w:val="18"/>
                <w:b w:val="1"/>
                <w:bCs w:val="1"/>
                <w:color w:val="auto"/>
                <w:w w:val="99"/>
              </w:rPr>
              <w:t>COMMON STOCK, NO PAR VALUE</w:t>
            </w:r>
          </w:p>
        </w:tc>
        <w:tc>
          <w:tcPr>
            <w:tcW w:w="5500" w:type="dxa"/>
            <w:vAlign w:val="bottom"/>
          </w:tcPr>
          <w:p>
            <w:pPr>
              <w:jc w:val="right"/>
              <w:ind w:right="2350"/>
              <w:spacing w:after="0"/>
              <w:rPr>
                <w:sz w:val="20"/>
                <w:szCs w:val="20"/>
                <w:color w:val="auto"/>
              </w:rPr>
            </w:pPr>
            <w:r>
              <w:rPr>
                <w:rFonts w:ascii="Arial" w:cs="Arial" w:eastAsia="Arial" w:hAnsi="Arial"/>
                <w:sz w:val="18"/>
                <w:szCs w:val="18"/>
                <w:color w:val="auto"/>
              </w:rPr>
              <w:t>43,911,316</w:t>
            </w:r>
          </w:p>
        </w:tc>
      </w:tr>
      <w:tr>
        <w:trPr>
          <w:trHeight w:val="270"/>
        </w:trPr>
        <w:tc>
          <w:tcPr>
            <w:tcW w:w="5620" w:type="dxa"/>
            <w:vAlign w:val="bottom"/>
          </w:tcPr>
          <w:p>
            <w:pPr>
              <w:jc w:val="center"/>
              <w:ind w:right="530"/>
              <w:spacing w:after="0"/>
              <w:rPr>
                <w:sz w:val="20"/>
                <w:szCs w:val="20"/>
                <w:color w:val="auto"/>
              </w:rPr>
            </w:pPr>
            <w:r>
              <w:rPr>
                <w:rFonts w:ascii="Arial" w:cs="Arial" w:eastAsia="Arial" w:hAnsi="Arial"/>
                <w:sz w:val="18"/>
                <w:szCs w:val="18"/>
                <w:color w:val="auto"/>
                <w:w w:val="91"/>
              </w:rPr>
              <w:t>(Class)</w:t>
            </w:r>
          </w:p>
        </w:tc>
        <w:tc>
          <w:tcPr>
            <w:tcW w:w="5500" w:type="dxa"/>
            <w:vAlign w:val="bottom"/>
          </w:tcPr>
          <w:p>
            <w:pPr>
              <w:jc w:val="center"/>
              <w:ind w:right="90"/>
              <w:spacing w:after="0"/>
              <w:rPr>
                <w:sz w:val="20"/>
                <w:szCs w:val="20"/>
                <w:color w:val="auto"/>
              </w:rPr>
            </w:pPr>
            <w:r>
              <w:rPr>
                <w:rFonts w:ascii="Arial" w:cs="Arial" w:eastAsia="Arial" w:hAnsi="Arial"/>
                <w:sz w:val="18"/>
                <w:szCs w:val="18"/>
                <w:color w:val="auto"/>
                <w:w w:val="90"/>
              </w:rPr>
              <w:t>Outstanding at May 3, 2019</w:t>
            </w:r>
          </w:p>
        </w:tc>
      </w:tr>
      <w:tr>
        <w:trPr>
          <w:trHeight w:val="156"/>
        </w:trPr>
        <w:tc>
          <w:tcPr>
            <w:tcW w:w="5620" w:type="dxa"/>
            <w:vAlign w:val="bottom"/>
            <w:tcBorders>
              <w:bottom w:val="single" w:sz="8" w:color="auto"/>
            </w:tcBorders>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r>
      <w:tr>
        <w:trPr>
          <w:trHeight w:val="169"/>
        </w:trPr>
        <w:tc>
          <w:tcPr>
            <w:tcW w:w="5620" w:type="dxa"/>
            <w:vAlign w:val="bottom"/>
            <w:tcBorders>
              <w:bottom w:val="single" w:sz="8" w:color="auto"/>
            </w:tcBorders>
          </w:tcPr>
          <w:p>
            <w:pPr>
              <w:spacing w:after="0"/>
              <w:rPr>
                <w:sz w:val="14"/>
                <w:szCs w:val="14"/>
                <w:color w:val="auto"/>
              </w:rPr>
            </w:pPr>
          </w:p>
        </w:tc>
        <w:tc>
          <w:tcPr>
            <w:tcW w:w="5500" w:type="dxa"/>
            <w:vAlign w:val="bottom"/>
            <w:tcBorders>
              <w:bottom w:val="single" w:sz="8" w:color="auto"/>
            </w:tcBorders>
          </w:tcPr>
          <w:p>
            <w:pPr>
              <w:spacing w:after="0"/>
              <w:rPr>
                <w:sz w:val="14"/>
                <w:szCs w:val="14"/>
                <w:color w:val="auto"/>
              </w:rPr>
            </w:pPr>
          </w:p>
        </w:tc>
      </w:tr>
    </w:tbl>
    <w:p>
      <w:pPr>
        <w:sectPr>
          <w:pgSz w:w="11900" w:h="16838" w:orient="portrait"/>
          <w:cols w:equalWidth="0" w:num="1">
            <w:col w:w="11400"/>
          </w:cols>
          <w:pgMar w:left="240" w:top="543"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March 31, 2019 and December 31, 2018</w:t>
              </w:r>
            </w:hyperlink>
          </w:p>
        </w:tc>
        <w:tc>
          <w:tcPr>
            <w:tcW w:w="398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for the three months ended March 31, 2019 and 2018</w:t>
              </w:r>
            </w:hyperlink>
          </w:p>
        </w:tc>
        <w:tc>
          <w:tcPr>
            <w:tcW w:w="20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Shareholders Equity (Deficit) from December 31, 2017 to March 31, 2018 and from December 31, 2018 to</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March 31, 2019</w:t>
              </w:r>
            </w:hyperlink>
          </w:p>
        </w:tc>
        <w:tc>
          <w:tcPr>
            <w:tcW w:w="8580" w:type="dxa"/>
            <w:vAlign w:val="bottom"/>
            <w:tcBorders>
              <w:top w:val="single" w:sz="8" w:color="0000EE"/>
            </w:tcBorders>
            <w:gridSpan w:val="13"/>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March 31,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2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68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18</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Quantitative and Qualitative Disclosures About Market Risk</w:t>
              </w:r>
            </w:hyperlink>
          </w:p>
        </w:tc>
        <w:tc>
          <w:tcPr>
            <w:tcW w:w="59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4">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894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4">
              <w:r>
                <w:rPr>
                  <w:rFonts w:ascii="Arial" w:cs="Arial" w:eastAsia="Arial" w:hAnsi="Arial"/>
                  <w:sz w:val="18"/>
                  <w:szCs w:val="18"/>
                  <w:color w:val="0000EE"/>
                  <w:w w:val="87"/>
                </w:rPr>
                <w:t>Unresolved Staff Comments</w:t>
              </w:r>
            </w:hyperlink>
          </w:p>
        </w:tc>
        <w:tc>
          <w:tcPr>
            <w:tcW w:w="822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4">
              <w:r>
                <w:rPr>
                  <w:rFonts w:ascii="Arial" w:cs="Arial" w:eastAsia="Arial" w:hAnsi="Arial"/>
                  <w:sz w:val="18"/>
                  <w:szCs w:val="18"/>
                  <w:color w:val="0000EE"/>
                  <w:w w:val="82"/>
                </w:rPr>
                <w:t>Exhibits</w:t>
              </w:r>
            </w:hyperlink>
          </w:p>
        </w:tc>
        <w:tc>
          <w:tcPr>
            <w:tcW w:w="3740" w:type="dxa"/>
            <w:vAlign w:val="bottom"/>
            <w:tcBorders>
              <w:top w:val="single" w:sz="8" w:color="0000EE"/>
            </w:tcBorders>
            <w:gridSpan w:val="8"/>
          </w:tcPr>
          <w:p>
            <w:pPr>
              <w:spacing w:after="0"/>
              <w:rPr>
                <w:sz w:val="24"/>
                <w:szCs w:val="24"/>
                <w:color w:val="auto"/>
              </w:rPr>
            </w:pPr>
          </w:p>
        </w:tc>
        <w:tc>
          <w:tcPr>
            <w:tcW w:w="59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23</w:t>
              </w:r>
            </w:hyperlink>
          </w:p>
        </w:tc>
      </w:tr>
      <w:tr>
        <w:trPr>
          <w:trHeight w:val="520"/>
        </w:trPr>
        <w:tc>
          <w:tcPr>
            <w:tcW w:w="1118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24</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25</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18,286</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 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doubtful accounts of $669 and $514, respectively)</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18,774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23,454</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2,847</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112,783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5,906</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141,229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6,930</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w w:val="96"/>
              </w:rPr>
              <w:t>Other liabilities</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754</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16,458</w:t>
            </w: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43,825 and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43,578,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474,806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comprehensive gain (loss)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(369,014)</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102,231</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141,229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18,027</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7,666</w:t>
            </w: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10,361</w:t>
            </w:r>
          </w:p>
        </w:tc>
      </w:tr>
      <w:tr>
        <w:trPr>
          <w:trHeight w:val="237"/>
        </w:trPr>
        <w:tc>
          <w:tcPr>
            <w:tcW w:w="8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3,729</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10,954</w:t>
            </w:r>
          </w:p>
        </w:tc>
      </w:tr>
      <w:tr>
        <w:trPr>
          <w:trHeight w:val="237"/>
        </w:trPr>
        <w:tc>
          <w:tcPr>
            <w:tcW w:w="82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14,683</w:t>
            </w: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23"/>
        </w:trPr>
        <w:tc>
          <w:tcPr>
            <w:tcW w:w="82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fair value of warrants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(7,659)</w:t>
            </w:r>
          </w:p>
        </w:tc>
      </w:tr>
      <w:tr>
        <w:trPr>
          <w:trHeight w:val="67"/>
        </w:trPr>
        <w:tc>
          <w:tcPr>
            <w:tcW w:w="8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64"/>
        </w:trPr>
        <w:tc>
          <w:tcPr>
            <w:tcW w:w="82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67"/>
        </w:trPr>
        <w:tc>
          <w:tcPr>
            <w:tcW w:w="8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8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outstanding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36,140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796" w:right="4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investments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2"/>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116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43,578</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471,180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(369,014)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102,231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expense related to stock options and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granted, net of forfeitures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Shares issued under the Employee Stock Purchase Plan</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Unrealized gain on investments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MARCH 31, 2019</w:t>
            </w:r>
          </w:p>
        </w:tc>
        <w:tc>
          <w:tcPr>
            <w:tcW w:w="116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43,825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474,806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103,055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2"/>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35,861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383,020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22,540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Compensation expense related to stock options granted,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forfeitures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Shares issued under the Employee Stock Purchase Plan</w:t>
            </w: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0"/>
        </w:trPr>
        <w:tc>
          <w:tcPr>
            <w:tcW w:w="3900" w:type="dxa"/>
            <w:vAlign w:val="bottom"/>
          </w:tcPr>
          <w:p>
            <w:pPr>
              <w:ind w:left="40"/>
              <w:spacing w:after="0"/>
              <w:rPr>
                <w:sz w:val="20"/>
                <w:szCs w:val="20"/>
                <w:color w:val="auto"/>
              </w:rPr>
            </w:pPr>
            <w:r>
              <w:rPr>
                <w:rFonts w:ascii="Arial" w:cs="Arial" w:eastAsia="Arial" w:hAnsi="Arial"/>
                <w:sz w:val="16"/>
                <w:szCs w:val="16"/>
                <w:color w:val="auto"/>
                <w:w w:val="94"/>
              </w:rPr>
              <w:t>Exercise of warrants resulting in the issuance of common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00" w:type="dxa"/>
            <w:vAlign w:val="bottom"/>
          </w:tcPr>
          <w:p>
            <w:pPr>
              <w:ind w:left="40"/>
              <w:spacing w:after="0"/>
              <w:rPr>
                <w:sz w:val="20"/>
                <w:szCs w:val="20"/>
                <w:color w:val="auto"/>
              </w:rPr>
            </w:pPr>
            <w:r>
              <w:rPr>
                <w:rFonts w:ascii="Arial" w:cs="Arial" w:eastAsia="Arial" w:hAnsi="Arial"/>
                <w:sz w:val="16"/>
                <w:szCs w:val="16"/>
                <w:color w:val="auto"/>
              </w:rPr>
              <w:t>stock</w:t>
            </w:r>
          </w:p>
        </w:tc>
        <w:tc>
          <w:tcPr>
            <w:tcW w:w="1160" w:type="dxa"/>
            <w:vAlign w:val="bottom"/>
            <w:gridSpan w:val="2"/>
          </w:tcPr>
          <w:p>
            <w:pPr>
              <w:jc w:val="right"/>
              <w:ind w:right="48"/>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3,728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MARCH 31, 2018</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36,502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389,074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20,935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(7,659)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premiums and discounts on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Amortization of right-of-use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assets and liabilities,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short 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Maturities of short term investments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exercise of warrants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1,727</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26,862</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29,777</w:t>
            </w: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2019 (UNAUDITED)</w:t>
      </w:r>
    </w:p>
    <w:p>
      <w:pPr>
        <w:spacing w:after="0" w:line="20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60" w:lineRule="auto"/>
        <w:rPr>
          <w:sz w:val="20"/>
          <w:szCs w:val="20"/>
          <w:color w:val="auto"/>
        </w:rPr>
      </w:pPr>
      <w:r>
        <w:rPr>
          <w:rFonts w:ascii="Arial" w:cs="Arial" w:eastAsia="Arial" w:hAnsi="Arial"/>
          <w:sz w:val="16"/>
          <w:szCs w:val="16"/>
          <w:color w:val="auto"/>
        </w:rPr>
        <w:t xml:space="preserve">Vericel Corporation, a Michigan corporation (together with its consolidated subsidiaries referred to herein as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related to the MACI</w:t>
      </w:r>
      <w:r>
        <w:rPr>
          <w:rFonts w:ascii="Arial" w:cs="Arial" w:eastAsia="Arial" w:hAnsi="Arial"/>
          <w:sz w:val="22"/>
          <w:szCs w:val="22"/>
          <w:color w:val="auto"/>
          <w:vertAlign w:val="superscript"/>
        </w:rPr>
        <w:t>®</w:t>
      </w:r>
      <w:r>
        <w:rPr>
          <w:rFonts w:ascii="Arial" w:cs="Arial" w:eastAsia="Arial" w:hAnsi="Arial"/>
          <w:sz w:val="16"/>
          <w:szCs w:val="16"/>
          <w:color w:val="auto"/>
        </w:rPr>
        <w:t>, Epicel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Carticel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The Company is a fully integrated, commercial-stage biopharmaceutical company and currently markets MACI and Epicel in the U.S. The Company is a leader in advanced cell therapies for the sports medicine and severe burn care markets.</w:t>
      </w:r>
    </w:p>
    <w:p>
      <w:pPr>
        <w:spacing w:after="0" w:line="18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At the end of the second quarter of 2017, the Company removed Carticel (autologous cultured chondrocytes), an earlier generation autologous chrondocyte implant (ACI) product, from the market. The Company also markets Epicel (cultured epidermal autografts), a permanent skin replacement Humanitarian Use Device (HUD) for the treatment of adult and pediatric patients with deep-dermal or full-thickness burns comprising greater than or equal to 30 percent of total body surface area (TBSA). The Company operates its business primarily in the U.S. in one reportable segment — the research, product development, manufacture and distribution of advanced cellular therapies for use in the treatment of specific diseases.</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222222"/>
        </w:rPr>
        <w:t xml:space="preserve">The accompanying condensed consolidated financial statements have been prepared on a basis, which assumes that the Company will continue as a going concern and contemplates the realization of assets and satisfaction of liabilities and commitments in the normal course of business. As of March 31, 2019, the Company has an accumulated deficit of $371.9 million and had a net loss of $2.8 million during the quarter ended March 31, 2019. The Company had cash and cash equivalents of $35.1 million, and short term investments of $49.0 million as of March 31, 2019. The Company expects that existing cash, cash equivalents and short term investments will be sufficient to support the Company's </w:t>
      </w:r>
      <w:r>
        <w:rPr>
          <w:rFonts w:ascii="Arial" w:cs="Arial" w:eastAsia="Arial" w:hAnsi="Arial"/>
          <w:sz w:val="17"/>
          <w:szCs w:val="17"/>
          <w:color w:val="000000"/>
        </w:rPr>
        <w:t>current operations through at least May 2020.</w:t>
      </w:r>
      <w:r>
        <w:rPr>
          <w:rFonts w:ascii="Arial" w:cs="Arial" w:eastAsia="Arial" w:hAnsi="Arial"/>
          <w:sz w:val="17"/>
          <w:szCs w:val="17"/>
          <w:color w:val="222222"/>
        </w:rPr>
        <w:t xml:space="preserve"> The Company may seek additional funding through debt or equity financings. However, the Company may not be able to obtain financing on acceptable terms or at all. The terms of any financing may adversely affect the holdings or the rights of the Company's shareholders.</w:t>
      </w:r>
    </w:p>
    <w:p>
      <w:pPr>
        <w:spacing w:after="0" w:line="39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months ended March 31, 2019, are not necessarily indicative of the results to be expected for the full year or for any other period. The March 31, 2019 condensed consolidated balance sheet data was derived from the Company’s audited consolidated financial statements, but does not include all disclosures required by U.S. GAAP.</w:t>
      </w:r>
    </w:p>
    <w:p>
      <w:pPr>
        <w:spacing w:after="0" w:line="18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year ended December 31, 2018, as filed with the SEC on February 26, 2019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supplementary cash flows information for the three months ended March 31, 2019 and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Supplementary Cash Flows information: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exercised for common stock</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357</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Right-of-use asset recognized</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ind w:right="8300" w:firstLine="8"/>
        <w:spacing w:after="0" w:line="566" w:lineRule="auto"/>
        <w:tabs>
          <w:tab w:leader="none" w:pos="32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Accounting for Leases</w:t>
      </w:r>
    </w:p>
    <w:p>
      <w:pPr>
        <w:spacing w:after="0" w:line="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The leasing Accounting Standard Update 2016-02, became effective for the Company on January 1, 2019, and was adopted using the modified retrospective method. See note 7 for further discussion.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FASB issued updated guidance on measuring credit losses on financial instruments. The guidance removes the thresholds that companies apply to measure credit losses on financial instruments measured at amortized cost, such as loans, receivables, and held-to-maturity debt securities. Prior to the updated guidance, credit losses are recognized when it is probable that the loss has been incurred. The revised guidance removes all recognition thresholds and requires companies to recognize an allowance for credit losses for the difference between the amortized cost basis of a financial instrument and the amount of amortized cost that a company expected to collect over the instrument’s contractual life. The guidance is effective for annual reporting periods beginning after December 15, 2019. The Company is currently in the process of evaluating the impact to its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kits, MACI implants and Epicel grafts following the five 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3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MACI kits are sold directly to hospitals based on contracted rates in the approved contract or sales order. The Company recognizes MACI kit revenue upon delivery of the biopsy kit at which time the customer (the doctor)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333"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Company recognizes product revenues from sales of MACI implants upon delivery at which time the customer is in control of the implant and the claim is billable. Prior authorization or confirmation of coverage level by the patient’s private insurance plan, hospital or government payer is a prerequisite to the shipment of product to a patient. Depending upon the type of contract and payer for the MACI implant, the Company's net product revenues are based on contracted rates or estimated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Net product revenues from sales to distributors may include a prompt pay discount.</w:t>
      </w:r>
    </w:p>
    <w:p>
      <w:pPr>
        <w:spacing w:after="0" w:line="2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On July 25, 2018 and August 10, 2018, the Company entered into amendments to its distribution agreement with Orsini Pharmaceutical Services, Inc. (Orsini). The amendments modified certain payment terms for surgeries after June 15, 2018. In addition, under the revised agreement, the parties agreed to limit Orsini's right to serve as the Company's exclusive distributor for MACI to a specified set of payers as the Company moved to a limited expanded network of distributors. The agreement with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6"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Orsini includes a provision whereby the Company retains the credit and collection risk from the end customer on implants after June 15, 2018. Orsini performs the collection activities. The net product revenues for these cases are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in which such change occurs.</w:t>
      </w:r>
    </w:p>
    <w:p>
      <w:pPr>
        <w:spacing w:after="0" w:line="280"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On April 18, 2019, the Company entered into an amendment with Orsini that extended the term of the agreement until May 2022, modified the per case dispensing fee, and eliminated Orsini’s exclusivity for all payers.</w:t>
      </w:r>
    </w:p>
    <w:p>
      <w:pPr>
        <w:spacing w:after="0" w:line="19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July 26, 2018, the Company entered into a Dispensing Agreement (Dispensing Agreement) with AllCare Plus Pharmacy, Inc. (AllCare). Pursuant to the Dispensing Agreement, the Company appoints AllCare as a non-exclusive specialty pharmacy provider of MACI. The Company pays AllCare a fee for each patient to whom MACI is dispensed. Under the Dispensing Agreement, the Company retains the credit and collection risk from the end customer on all implants. Depending upon the type of contract and payer for the MACI implant, the Company's net product revenues are based on contracted rates or estimated based on expected payments from the insurance provider, hospital or patient. The estimates of such payment amounts vary by customer and payer and are based on either contracted rates, publicly available rates or past payer precedents. Changes in estimates are recorded through revenue in the period such change occurs. On May 1, 2019, the Company entered into an amendment with AllCare that extended the term of the Dispensing Agreement until May 2022 and modified the per case dispensing fee.</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reflect the products from which the Company generated its revenue: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 implants and kits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Implants based on contracted rate sold through a specialty pharmacy </w:t>
            </w:r>
            <w:r>
              <w:rPr>
                <w:rFonts w:ascii="Arial" w:cs="Arial" w:eastAsia="Arial" w:hAnsi="Arial"/>
                <w:sz w:val="25"/>
                <w:szCs w:val="25"/>
                <w:color w:val="auto"/>
                <w:vertAlign w:val="superscript"/>
              </w:rPr>
              <w:t>(a)</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7,792</w:t>
            </w:r>
          </w:p>
        </w:tc>
      </w:tr>
      <w:tr>
        <w:trPr>
          <w:trHeight w:val="270"/>
        </w:trPr>
        <w:tc>
          <w:tcPr>
            <w:tcW w:w="85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Implants subject to third party reimbursement sold through a specialty pharmacy </w:t>
            </w:r>
            <w:r>
              <w:rPr>
                <w:rFonts w:ascii="Arial" w:cs="Arial" w:eastAsia="Arial" w:hAnsi="Arial"/>
                <w:sz w:val="25"/>
                <w:szCs w:val="25"/>
                <w:color w:val="auto"/>
                <w:vertAlign w:val="superscript"/>
              </w:rPr>
              <w:t>(b)</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1,008</w:t>
            </w:r>
          </w:p>
        </w:tc>
      </w:tr>
      <w:tr>
        <w:trPr>
          <w:trHeight w:val="270"/>
        </w:trPr>
        <w:tc>
          <w:tcPr>
            <w:tcW w:w="85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Implants sold direct based on contracted rates </w:t>
            </w:r>
            <w:r>
              <w:rPr>
                <w:rFonts w:ascii="Arial" w:cs="Arial" w:eastAsia="Arial" w:hAnsi="Arial"/>
                <w:sz w:val="25"/>
                <w:szCs w:val="25"/>
                <w:color w:val="auto"/>
                <w:vertAlign w:val="superscript"/>
              </w:rPr>
              <w:t>(c)</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2,674</w:t>
            </w:r>
          </w:p>
        </w:tc>
      </w:tr>
      <w:tr>
        <w:trPr>
          <w:trHeight w:val="270"/>
        </w:trPr>
        <w:tc>
          <w:tcPr>
            <w:tcW w:w="85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Implants sold direct subject to third party reimbursement </w:t>
            </w:r>
            <w:r>
              <w:rPr>
                <w:rFonts w:ascii="Arial" w:cs="Arial" w:eastAsia="Arial" w:hAnsi="Arial"/>
                <w:sz w:val="25"/>
                <w:szCs w:val="25"/>
                <w:color w:val="auto"/>
                <w:vertAlign w:val="superscript"/>
              </w:rPr>
              <w:t>(d)</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Biopsy kits - direct bill</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estimates related to prior periods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Direct bill (hospital)</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5,972</w:t>
            </w:r>
          </w:p>
        </w:tc>
      </w:tr>
      <w:tr>
        <w:trPr>
          <w:trHeight w:val="25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21,810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18,027</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right="360" w:hanging="5"/>
        <w:spacing w:after="0" w:line="277"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has entered into a direct contract with the underlying insurance provider. The amount of reimbursement is known at the time of sale supported by the pharmacy's direct contract.</w:t>
      </w:r>
    </w:p>
    <w:p>
      <w:pPr>
        <w:spacing w:after="0" w:line="170" w:lineRule="exact"/>
        <w:rPr>
          <w:rFonts w:ascii="Arial" w:cs="Arial" w:eastAsia="Arial" w:hAnsi="Arial"/>
          <w:sz w:val="18"/>
          <w:szCs w:val="18"/>
          <w:color w:val="auto"/>
        </w:rPr>
      </w:pPr>
    </w:p>
    <w:p>
      <w:pPr>
        <w:ind w:left="40" w:right="440" w:hanging="5"/>
        <w:spacing w:after="0" w:line="277"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does not have a direct contract with the underlying payer. The amount of reimbursement is established based on a payer or state fee schedule and/or payer history.</w:t>
      </w:r>
    </w:p>
    <w:p>
      <w:pPr>
        <w:spacing w:after="0" w:line="170" w:lineRule="exact"/>
        <w:rPr>
          <w:rFonts w:ascii="Arial" w:cs="Arial" w:eastAsia="Arial" w:hAnsi="Arial"/>
          <w:sz w:val="18"/>
          <w:szCs w:val="18"/>
          <w:color w:val="auto"/>
        </w:rPr>
      </w:pPr>
    </w:p>
    <w:p>
      <w:pPr>
        <w:ind w:left="280" w:hanging="245"/>
        <w:spacing w:after="0"/>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w:t>
      </w:r>
    </w:p>
    <w:p>
      <w:pPr>
        <w:spacing w:after="0" w:line="236" w:lineRule="exact"/>
        <w:rPr>
          <w:rFonts w:ascii="Arial" w:cs="Arial" w:eastAsia="Arial" w:hAnsi="Arial"/>
          <w:sz w:val="17"/>
          <w:szCs w:val="17"/>
          <w:color w:val="auto"/>
        </w:rPr>
      </w:pPr>
    </w:p>
    <w:p>
      <w:pPr>
        <w:ind w:left="40" w:right="580" w:hanging="5"/>
        <w:spacing w:after="0" w:line="277"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 party reimbursement from an underlying insurance provider.</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4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May 15, 2017, the Company entered into a distribution agreement with Orsini Pharmaceutical Services, Inc. as a specialty pharmacy distributor of MACI and has engaged a third party services provider to provide the patient support program to manage patient cases for MACI. The Company’s receivables risk and credit risk became more concentrated from June 30, 2017 through June 15, 2018 due to the shift to Orsini. Beginning June 16, 2018, the concentration of risk decreased because the Company retains the credit and collection risk from the end customer on implants after June 15, 2018. The Company sells Epicel directly to hospitals and not through a distributor.</w:t>
      </w:r>
    </w:p>
    <w:p>
      <w:pPr>
        <w:spacing w:after="0" w:line="18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includes concentration percentages for both revenue and accounts receivable for any customers which represent 10% or more of total revenue. The Company's concentration percentages were comprised of the following for MACI and Epicel: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1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Revenue Concentration</w:t>
            </w:r>
          </w:p>
        </w:tc>
        <w:tc>
          <w:tcPr>
            <w:tcW w:w="100" w:type="dxa"/>
            <w:vAlign w:val="bottom"/>
          </w:tcPr>
          <w:p>
            <w:pPr>
              <w:spacing w:after="0"/>
              <w:rPr>
                <w:sz w:val="16"/>
                <w:szCs w:val="16"/>
                <w:color w:val="auto"/>
              </w:rPr>
            </w:pPr>
          </w:p>
        </w:tc>
        <w:tc>
          <w:tcPr>
            <w:tcW w:w="3180" w:type="dxa"/>
            <w:vAlign w:val="bottom"/>
            <w:tcBorders>
              <w:bottom w:val="single" w:sz="8" w:color="auto"/>
            </w:tcBorders>
            <w:gridSpan w:val="6"/>
          </w:tcPr>
          <w:p>
            <w:pPr>
              <w:jc w:val="right"/>
              <w:ind w:right="394"/>
              <w:spacing w:after="0"/>
              <w:rPr>
                <w:sz w:val="20"/>
                <w:szCs w:val="20"/>
                <w:color w:val="auto"/>
              </w:rPr>
            </w:pPr>
            <w:r>
              <w:rPr>
                <w:rFonts w:ascii="Arial" w:cs="Arial" w:eastAsia="Arial" w:hAnsi="Arial"/>
                <w:sz w:val="14"/>
                <w:szCs w:val="14"/>
                <w:b w:val="1"/>
                <w:bCs w:val="1"/>
                <w:color w:val="auto"/>
              </w:rPr>
              <w:t>Accounts Receivable Concentration</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CEEFF"/>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Epicel</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75"/>
        </w:trPr>
        <w:tc>
          <w:tcPr>
            <w:tcW w:w="4980" w:type="dxa"/>
            <w:vAlign w:val="bottom"/>
          </w:tcPr>
          <w:p>
            <w:pPr>
              <w:spacing w:after="0"/>
              <w:rPr>
                <w:sz w:val="20"/>
                <w:szCs w:val="20"/>
                <w:color w:val="auto"/>
              </w:rPr>
            </w:pPr>
            <w:r>
              <w:rPr>
                <w:rFonts w:ascii="Arial" w:cs="Arial" w:eastAsia="Arial" w:hAnsi="Arial"/>
                <w:sz w:val="18"/>
                <w:szCs w:val="18"/>
                <w:b w:val="1"/>
                <w:bCs w:val="1"/>
                <w:color w:val="auto"/>
              </w:rPr>
              <w:t>5.  Selected Balance Sheet Components</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80" w:type="dxa"/>
            <w:vAlign w:val="bottom"/>
          </w:tcPr>
          <w:p>
            <w:pPr>
              <w:ind w:left="240"/>
              <w:spacing w:after="0"/>
              <w:rPr>
                <w:sz w:val="20"/>
                <w:szCs w:val="20"/>
                <w:color w:val="auto"/>
              </w:rPr>
            </w:pPr>
            <w:r>
              <w:rPr>
                <w:rFonts w:ascii="Arial" w:cs="Arial" w:eastAsia="Arial" w:hAnsi="Arial"/>
                <w:sz w:val="18"/>
                <w:szCs w:val="18"/>
                <w:color w:val="auto"/>
              </w:rPr>
              <w:t>Inventory as of March 31, 2019 and December 31, 2018:</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4,063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6620" w:type="dxa"/>
            <w:vAlign w:val="bottom"/>
            <w:gridSpan w:val="3"/>
            <w:vMerge w:val="restart"/>
          </w:tcPr>
          <w:p>
            <w:pPr>
              <w:ind w:left="260"/>
              <w:spacing w:after="0"/>
              <w:rPr>
                <w:sz w:val="20"/>
                <w:szCs w:val="20"/>
                <w:color w:val="auto"/>
              </w:rPr>
            </w:pPr>
            <w:r>
              <w:rPr>
                <w:rFonts w:ascii="Arial" w:cs="Arial" w:eastAsia="Arial" w:hAnsi="Arial"/>
                <w:sz w:val="18"/>
                <w:szCs w:val="18"/>
                <w:color w:val="auto"/>
              </w:rPr>
              <w:t>Property and equipment, net as of March 31, 2019 and December 31, 2018:</w:t>
            </w:r>
          </w:p>
        </w:tc>
        <w:tc>
          <w:tcPr>
            <w:tcW w:w="1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4,631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Financing right-of-use lease</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6,445</w:t>
            </w:r>
          </w:p>
        </w:tc>
        <w:tc>
          <w:tcPr>
            <w:tcW w:w="6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expense for the three months ended March 31, 2019 was $0.3 million and $0.4 million for the same period in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March 31,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4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4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260" w:type="dxa"/>
            <w:vAlign w:val="bottom"/>
            <w:vMerge w:val="restart"/>
          </w:tcPr>
          <w:p>
            <w:pPr>
              <w:jc w:val="right"/>
              <w:ind w:right="22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2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historically issued warrants to purchase shares of the Company’s common stock in connection with certain of its common stock offerings and in December 2017 the Company issued warrants in connection with a previous loan agreement. The following table describes the outstanding warrants classified in equity as of March 31, 2019:</w:t>
      </w:r>
    </w:p>
    <w:p>
      <w:pPr>
        <w:spacing w:after="0" w:line="186" w:lineRule="exact"/>
        <w:rPr>
          <w:sz w:val="20"/>
          <w:szCs w:val="20"/>
          <w:color w:val="auto"/>
        </w:rPr>
      </w:pPr>
    </w:p>
    <w:tbl>
      <w:tblPr>
        <w:tblLayout w:type="fixed"/>
        <w:tblInd w:w="2920" w:type="dxa"/>
        <w:tblCellMar>
          <w:top w:w="0" w:type="dxa"/>
          <w:left w:w="0" w:type="dxa"/>
          <w:bottom w:w="0" w:type="dxa"/>
          <w:right w:w="0" w:type="dxa"/>
        </w:tblCellMar>
      </w:tblPr>
      <w:tr>
        <w:trPr>
          <w:trHeight w:val="192"/>
        </w:trPr>
        <w:tc>
          <w:tcPr>
            <w:tcW w:w="37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December 2017 Warrants</w:t>
            </w: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90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rPr>
              <w:t>$4.27</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Expiration date</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6, 2023</w:t>
            </w:r>
          </w:p>
        </w:tc>
      </w:tr>
      <w:tr>
        <w:trPr>
          <w:trHeight w:val="27"/>
        </w:trPr>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shares issuable on exercise</w:t>
            </w:r>
          </w:p>
        </w:tc>
        <w:tc>
          <w:tcPr>
            <w:tcW w:w="190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rPr>
              <w:t>26,951</w:t>
            </w:r>
          </w:p>
        </w:tc>
      </w:tr>
      <w:tr>
        <w:trPr>
          <w:trHeight w:val="27"/>
        </w:trPr>
        <w:tc>
          <w:tcPr>
            <w:tcW w:w="37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fair value of the warrants described in the table above were initially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w:t>
      </w:r>
    </w:p>
    <w:p>
      <w:pPr>
        <w:spacing w:after="0" w:line="23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leases facilities in Ann Arbor, Michigan and Cambridge, Massachusetts. The Cambridge facility includes clean rooms, laboratories for MACI and Epicel manufacturing and office space. The Company also leases offsite warehouse space, vehicles and computer equipment.</w:t>
      </w:r>
    </w:p>
    <w:p>
      <w:pPr>
        <w:spacing w:after="0" w:line="1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Company adopted the new leasing standards using the modified retrospective transition approach, as of January 1, 2019, with no restatement of prior periods or cumulative adjustment to retained earnings. In addition, the Company elected the package of practical expedients permitted under the transition guidance within the new standard, which among other things, allowed the Company to carry forward prior conclusions related to whether any expired or existing contracts are or contain leases, the lease classification for any expired or existing leases and initial direct costs for existing leases.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for the three months ended March 31, 2019, lease expense of less than $0.1 million was recorded related to short-term leases.</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Adoption of ASU 2016-02 resulted in the recording of additional net lease assets and lease liabilities of approximately $25.6 million and $27.8 million, respectively, as of January 1, 2019. There was an immaterial impact on the Company's consolidated net earnings and cash flows upon adoption. The </w:t>
      </w:r>
      <w:r>
        <w:rPr>
          <w:rFonts w:ascii="Arial" w:cs="Arial" w:eastAsia="Arial" w:hAnsi="Arial"/>
          <w:sz w:val="17"/>
          <w:szCs w:val="17"/>
          <w:color w:val="222222"/>
        </w:rPr>
        <w:t xml:space="preserve">contribution toward the cost of tenant improvements is recorded as a reduction of the operating lease assets and reclassed from deferred rent to lease operating assets. For the three months ended March 31, 2019, the Company recognized $1.3 million and less than $0.1 million of operating and financing lease expense, respectively. During the three months ended March 31, 2018, the Company recognized $1.4 million in lease expense under the prior leasing guidance. The Company's </w:t>
      </w:r>
      <w:r>
        <w:rPr>
          <w:rFonts w:ascii="Arial" w:cs="Arial" w:eastAsia="Arial" w:hAnsi="Arial"/>
          <w:sz w:val="17"/>
          <w:szCs w:val="17"/>
          <w:color w:val="000000"/>
        </w:rPr>
        <w:t>leases contain non-lease components and activities that do not transfer a good or service to the Company which were not considered to be</w:t>
      </w:r>
      <w:r>
        <w:rPr>
          <w:rFonts w:ascii="Arial" w:cs="Arial" w:eastAsia="Arial" w:hAnsi="Arial"/>
          <w:sz w:val="17"/>
          <w:szCs w:val="17"/>
          <w:color w:val="222222"/>
        </w:rPr>
        <w:t xml:space="preserve"> </w:t>
      </w:r>
      <w:r>
        <w:rPr>
          <w:rFonts w:ascii="Arial" w:cs="Arial" w:eastAsia="Arial" w:hAnsi="Arial"/>
          <w:sz w:val="17"/>
          <w:szCs w:val="17"/>
          <w:color w:val="000000"/>
        </w:rPr>
        <w:t>components of the contract and therefore were not included in the net lease assets or lease liabilities.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Total leased assets and liabilities as reassessed under the updated guidance and classified on the balance sheet, as of March 31, 2019 are as follows: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192"/>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8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25,183</w:t>
            </w: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25,358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0" w:type="dxa"/>
            <w:vAlign w:val="bottom"/>
            <w:gridSpan w:val="2"/>
            <w:vMerge w:val="continue"/>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Current</w:t>
            </w:r>
          </w:p>
        </w:tc>
        <w:tc>
          <w:tcPr>
            <w:tcW w:w="8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67"/>
        </w:trPr>
        <w:tc>
          <w:tcPr>
            <w:tcW w:w="1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Non-current</w:t>
            </w:r>
          </w:p>
        </w:tc>
        <w:tc>
          <w:tcPr>
            <w:tcW w:w="8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25,100</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25,233</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explicit rate is not provided for some of the Company's leases, therefore the Company uses a mix of incremental borrowing rate based on the information available at commencement date, as well as implicit and explicit rates in determining the present value of lease payments.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Maturity of lease liabilities as of March 31,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86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 Leases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Finance Leases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3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3,682</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4,840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4,846</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4,970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4,942</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4,968</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11,269</w:t>
            </w:r>
          </w:p>
        </w:tc>
      </w:tr>
      <w:tr>
        <w:trPr>
          <w:trHeight w:val="237"/>
        </w:trPr>
        <w:tc>
          <w:tcPr>
            <w:tcW w:w="5040" w:type="dxa"/>
            <w:vAlign w:val="bottom"/>
            <w:gridSpan w:val="2"/>
          </w:tcPr>
          <w:p>
            <w:pPr>
              <w:jc w:val="right"/>
              <w:ind w:right="2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39,332</w:t>
            </w: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39,517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r>
      <w:tr>
        <w:trPr>
          <w:trHeight w:val="257"/>
        </w:trPr>
        <w:tc>
          <w:tcPr>
            <w:tcW w:w="5040" w:type="dxa"/>
            <w:vAlign w:val="bottom"/>
            <w:gridSpan w:val="2"/>
          </w:tcPr>
          <w:p>
            <w:pPr>
              <w:jc w:val="right"/>
              <w:ind w:right="24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27,485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27,651</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has options to renew lease terms for facilities and other assets. The exercise of lease renewal options is generally at the Company's sole discretion. The Company evaluates renewal and termination options at the lease commencement date to determine if it is reasonably certain to exercise the option on the basis of economic factors. For certain leases, the Company's exercise of the renewal option was determined to be probable and it was accordingly included in the lease term and related calculations. Lease terms and discount rates as of March 31, 2019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March 31, 2019</w:t>
            </w:r>
          </w:p>
        </w:tc>
      </w:tr>
      <w:tr>
        <w:trPr>
          <w:trHeight w:val="250"/>
        </w:trPr>
        <w:tc>
          <w:tcPr>
            <w:tcW w:w="9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976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Pr>
          <w:p>
            <w:pPr>
              <w:ind w:left="1160"/>
              <w:spacing w:after="0"/>
              <w:rPr>
                <w:sz w:val="20"/>
                <w:szCs w:val="20"/>
                <w:color w:val="auto"/>
              </w:rPr>
            </w:pPr>
            <w:r>
              <w:rPr>
                <w:rFonts w:ascii="Arial" w:cs="Arial" w:eastAsia="Arial" w:hAnsi="Arial"/>
                <w:sz w:val="18"/>
                <w:szCs w:val="18"/>
                <w:color w:val="auto"/>
              </w:rPr>
              <w:t>7.54</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4.25</w:t>
            </w:r>
          </w:p>
        </w:tc>
      </w:tr>
      <w:tr>
        <w:trPr>
          <w:trHeight w:val="243"/>
        </w:trPr>
        <w:tc>
          <w:tcPr>
            <w:tcW w:w="976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166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93"/>
              </w:rPr>
              <w:t>9.56%</w:t>
            </w:r>
          </w:p>
        </w:tc>
      </w:tr>
      <w:tr>
        <w:trPr>
          <w:trHeight w:val="243"/>
        </w:trPr>
        <w:tc>
          <w:tcPr>
            <w:tcW w:w="976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1660" w:type="dxa"/>
            <w:vAlign w:val="bottom"/>
          </w:tcPr>
          <w:p>
            <w:pPr>
              <w:ind w:left="1160"/>
              <w:spacing w:after="0"/>
              <w:rPr>
                <w:sz w:val="20"/>
                <w:szCs w:val="20"/>
                <w:color w:val="auto"/>
              </w:rPr>
            </w:pPr>
            <w:r>
              <w:rPr>
                <w:rFonts w:ascii="Arial" w:cs="Arial" w:eastAsia="Arial" w:hAnsi="Arial"/>
                <w:sz w:val="18"/>
                <w:szCs w:val="18"/>
                <w:color w:val="auto"/>
                <w:w w:val="93"/>
              </w:rPr>
              <w:t>5.00%</w:t>
            </w:r>
          </w:p>
        </w:tc>
      </w:tr>
    </w:tbl>
    <w:p>
      <w:pPr>
        <w:spacing w:after="0" w:line="229"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color w:val="auto"/>
        </w:rPr>
        <w:t>Future minimum payments related to operating and capital leases, as reflected under the prior guidance, disclosed in note 16 in our Form 10-K for the fiscal year ended December 31, 2018, are as follows with no changes from prior disclosure: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3" w:name="page14"/>
    <w:bookmarkEnd w:id="13"/>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Options and restricted stock units granted to employees and non-employees under these plans expire no later than ten years from the date of grant and generally become exercisable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 For certain non-employee consultants, stock option awards continue to vest post-termination. The guidance for non-employee stock compensation accounting for equity-classified awards was updated, and these awards are now subject to fixed grant date fair value principles which eliminates the variable mark-to-market accounting. The options were valued as of the adoption date July 1, 2018.</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2017 Omnibus Incentive Plan (2017 Plan) provides incentives through the grant of stock options, stock appreciation rights, restricted stock awards and restricted stock units. The exercise price of stock options granted under the 2017 Plan shall not be less than the fair market value of the Company’s common stock on the date of grant. The 2017 Plan replaced the 1992 Stock Option Plan, the 2001 Stock Option Plan, the Amended and Restated 2004 Equity Incentive Plan and the 2009 Second Amended and Restated Omnibus Incentive Plan (Prior Plans), and no new awards have been granted under the Prior Plans. However, the expiration or forfeiture of options previously granted under the Prior Plans will increase the number of shares available for issuance under the 2017 Plan.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2019, there were 1,304,357 shares available for future grant under the 2017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540,248 have been granted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On April 1, 2019, employees purchased 14,228 shares resulting in proceeds from the sale of common stock of $0.2 million under the ESPP.</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March 31, 2019, the Company granted 1,486,010 service-based options to purchase common stock. The options have an exercise price equal to the fair market value per share of common stock on the grant date, generally vest over four years (other than non-employee director options which vest over one year) and have a term of ten years. The Company issues new shares upon the exercise of stock options. The weighted average grant-date fair value of service-based options granted under the 2017 Plan for the three month periods ended March 31, 2019 and 2018 was $12.82 and $6.63,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During the three months ended March 31, 2019, the Company granted 176,422 service-based restricted stock units. The restricted stock units vest annually over four years in equal installments commencing on the first anniversary of the grant date and have a term of ten years.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awarded for the three month periods ended March 31, 2019 was $17.77. The aggregate fair value of restricted stock units as of March 31, 2019 was $3.1 million. No restricted stock units were granted in 2018.</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84.5-85.5%</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82.3-84.4%</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 – 2.7%</w:t>
            </w: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2.4-2.8%</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6.1-6.3</w:t>
            </w:r>
          </w:p>
        </w:tc>
      </w:tr>
    </w:tbl>
    <w:p>
      <w:pPr>
        <w:spacing w:after="0" w:line="200" w:lineRule="exact"/>
        <w:rPr>
          <w:sz w:val="20"/>
          <w:szCs w:val="20"/>
          <w:color w:val="auto"/>
        </w:rPr>
      </w:pPr>
    </w:p>
    <w:p>
      <w:pPr>
        <w:spacing w:after="0" w:line="28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Investments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Marketable debt securities are classified as available-for-sale and carried at fair value in the accompanying consolidated balance sheets on a trade date basis. The following tables summarize the gross unrealized gains and losses of the Company’s marketable securities as of March 31, 2019 and December 31,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March 31, 2019</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Gross Unrealized</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Amortized Cost</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21,947</w:t>
            </w:r>
          </w:p>
        </w:tc>
        <w:tc>
          <w:tcPr>
            <w:tcW w:w="580" w:type="dxa"/>
            <w:vAlign w:val="bottom"/>
            <w:tcBorders>
              <w:bottom w:val="single" w:sz="8" w:color="BFE4FF"/>
            </w:tcBorders>
            <w:gridSpan w:val="3"/>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21,945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19,505</w:t>
            </w:r>
          </w:p>
        </w:tc>
        <w:tc>
          <w:tcPr>
            <w:tcW w:w="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19,505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notes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15,334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3,498</w:t>
            </w:r>
          </w:p>
        </w:tc>
        <w:tc>
          <w:tcPr>
            <w:tcW w:w="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asset-backed securities</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10,661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10,664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75,943</w:t>
            </w:r>
          </w:p>
        </w:tc>
        <w:tc>
          <w:tcPr>
            <w:tcW w:w="580" w:type="dxa"/>
            <w:vAlign w:val="bottom"/>
            <w:tcBorders>
              <w:bottom w:val="single" w:sz="8" w:color="BFE4FF"/>
            </w:tcBorders>
            <w:gridSpan w:val="3"/>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BFE4FF"/>
            </w:tcBorders>
            <w:shd w:val="clear" w:color="auto" w:fill="BFE4FF"/>
          </w:tcPr>
          <w:p>
            <w:pPr>
              <w:spacing w:after="0"/>
              <w:rPr>
                <w:sz w:val="22"/>
                <w:szCs w:val="22"/>
                <w:color w:val="auto"/>
              </w:rPr>
            </w:pPr>
          </w:p>
        </w:tc>
        <w:tc>
          <w:tcPr>
            <w:tcW w:w="600" w:type="dxa"/>
            <w:vAlign w:val="bottom"/>
            <w:tcBorders>
              <w:bottom w:val="single" w:sz="8" w:color="BFE4FF"/>
            </w:tcBorders>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75,946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BFE4FF"/>
            </w:tcBorders>
            <w:shd w:val="clear" w:color="auto" w:fill="BFE4FF"/>
          </w:tcPr>
          <w:p>
            <w:pPr>
              <w:spacing w:after="0"/>
              <w:rPr>
                <w:sz w:val="21"/>
                <w:szCs w:val="21"/>
                <w:color w:val="auto"/>
              </w:rPr>
            </w:pPr>
          </w:p>
        </w:tc>
        <w:tc>
          <w:tcPr>
            <w:tcW w:w="1520" w:type="dxa"/>
            <w:vAlign w:val="bottom"/>
            <w:tcBorders>
              <w:bottom w:val="single" w:sz="8" w:color="BFE4FF"/>
            </w:tcBorders>
            <w:shd w:val="clear" w:color="auto" w:fill="BFE4FF"/>
          </w:tcPr>
          <w:p>
            <w:pPr>
              <w:spacing w:after="0"/>
              <w:rPr>
                <w:sz w:val="21"/>
                <w:szCs w:val="21"/>
                <w:color w:val="auto"/>
              </w:rPr>
            </w:pPr>
          </w:p>
        </w:tc>
        <w:tc>
          <w:tcPr>
            <w:tcW w:w="4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60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26,945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49,001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BFE4FF"/>
            </w:tcBorders>
          </w:tcPr>
          <w:p>
            <w:pPr>
              <w:spacing w:after="0"/>
              <w:rPr>
                <w:sz w:val="2"/>
                <w:szCs w:val="2"/>
                <w:color w:val="auto"/>
              </w:rPr>
            </w:pPr>
          </w:p>
        </w:tc>
        <w:tc>
          <w:tcPr>
            <w:tcW w:w="1520" w:type="dxa"/>
            <w:vAlign w:val="bottom"/>
            <w:tcBorders>
              <w:bottom w:val="single" w:sz="8" w:color="BFE4FF"/>
            </w:tcBorders>
          </w:tcPr>
          <w:p>
            <w:pPr>
              <w:spacing w:after="0"/>
              <w:rPr>
                <w:sz w:val="2"/>
                <w:szCs w:val="2"/>
                <w:color w:val="auto"/>
              </w:rPr>
            </w:pPr>
          </w:p>
        </w:tc>
        <w:tc>
          <w:tcPr>
            <w:tcW w:w="4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BFE4FF"/>
            </w:tcBorders>
          </w:tcPr>
          <w:p>
            <w:pPr>
              <w:spacing w:after="0"/>
              <w:rPr>
                <w:sz w:val="2"/>
                <w:szCs w:val="2"/>
                <w:color w:val="auto"/>
              </w:rPr>
            </w:pPr>
          </w:p>
        </w:tc>
        <w:tc>
          <w:tcPr>
            <w:tcW w:w="14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00" w:type="dxa"/>
            <w:vAlign w:val="bottom"/>
            <w:tcBorders>
              <w:bottom w:val="single" w:sz="8" w:color="BFE4FF"/>
            </w:tcBorders>
          </w:tcPr>
          <w:p>
            <w:pPr>
              <w:spacing w:after="0"/>
              <w:rPr>
                <w:sz w:val="2"/>
                <w:szCs w:val="2"/>
                <w:color w:val="auto"/>
              </w:rPr>
            </w:pPr>
          </w:p>
        </w:tc>
        <w:tc>
          <w:tcPr>
            <w:tcW w:w="122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520" w:type="dxa"/>
            <w:vAlign w:val="bottom"/>
            <w:tcBorders>
              <w:bottom w:val="single" w:sz="8" w:color="BFE4FF"/>
            </w:tcBorders>
            <w:shd w:val="clear" w:color="auto" w:fill="BFE4FF"/>
          </w:tcPr>
          <w:p>
            <w:pPr>
              <w:spacing w:after="0"/>
              <w:rPr>
                <w:sz w:val="22"/>
                <w:szCs w:val="22"/>
                <w:color w:val="auto"/>
              </w:rPr>
            </w:pPr>
          </w:p>
        </w:tc>
        <w:tc>
          <w:tcPr>
            <w:tcW w:w="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14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60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75,946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tcBorders>
          </w:tcPr>
          <w:p>
            <w:pPr>
              <w:spacing w:after="0" w:line="20" w:lineRule="exact"/>
              <w:rPr>
                <w:sz w:val="1"/>
                <w:szCs w:val="1"/>
                <w:color w:val="auto"/>
              </w:rPr>
            </w:pPr>
          </w:p>
        </w:tc>
        <w:tc>
          <w:tcPr>
            <w:tcW w:w="1520" w:type="dxa"/>
            <w:vAlign w:val="bottom"/>
            <w:tcBorders>
              <w:top w:val="single" w:sz="8" w:color="BFE4FF"/>
            </w:tcBorders>
          </w:tcPr>
          <w:p>
            <w:pPr>
              <w:spacing w:after="0" w:line="20" w:lineRule="exact"/>
              <w:rPr>
                <w:sz w:val="1"/>
                <w:szCs w:val="1"/>
                <w:color w:val="auto"/>
              </w:rPr>
            </w:pPr>
          </w:p>
        </w:tc>
        <w:tc>
          <w:tcPr>
            <w:tcW w:w="580" w:type="dxa"/>
            <w:vAlign w:val="bottom"/>
            <w:tcBorders>
              <w:top w:val="single" w:sz="8" w:color="BFE4FF"/>
              <w:bottom w:val="single" w:sz="8" w:color="BFE4FF"/>
            </w:tcBorders>
            <w:gridSpan w:val="3"/>
            <w:vMerge w:val="restart"/>
          </w:tcPr>
          <w:p>
            <w:pPr>
              <w:jc w:val="right"/>
              <w:ind w:right="360"/>
              <w:spacing w:after="0"/>
              <w:rPr>
                <w:sz w:val="20"/>
                <w:szCs w:val="20"/>
                <w:color w:val="auto"/>
              </w:rPr>
            </w:pPr>
            <w:r>
              <w:rPr>
                <w:rFonts w:ascii="Arial" w:cs="Arial" w:eastAsia="Arial" w:hAnsi="Arial"/>
                <w:sz w:val="18"/>
                <w:szCs w:val="18"/>
                <w:color w:val="auto"/>
                <w:w w:val="99"/>
              </w:rPr>
              <w:t>15</w:t>
            </w:r>
          </w:p>
        </w:tc>
        <w:tc>
          <w:tcPr>
            <w:tcW w:w="14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00" w:type="dxa"/>
            <w:vAlign w:val="bottom"/>
            <w:tcBorders>
              <w:top w:val="single" w:sz="8" w:color="BFE4FF"/>
            </w:tcBorders>
          </w:tcPr>
          <w:p>
            <w:pPr>
              <w:spacing w:after="0" w:line="20" w:lineRule="exact"/>
              <w:rPr>
                <w:sz w:val="1"/>
                <w:szCs w:val="1"/>
                <w:color w:val="auto"/>
              </w:rPr>
            </w:pPr>
          </w:p>
        </w:tc>
        <w:tc>
          <w:tcPr>
            <w:tcW w:w="12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December 31, 2018</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20" w:type="dxa"/>
            <w:vAlign w:val="bottom"/>
            <w:gridSpan w:val="3"/>
          </w:tcPr>
          <w:p>
            <w:pPr>
              <w:ind w:left="940"/>
              <w:spacing w:after="0"/>
              <w:rPr>
                <w:sz w:val="20"/>
                <w:szCs w:val="20"/>
                <w:color w:val="auto"/>
              </w:rPr>
            </w:pPr>
            <w:r>
              <w:rPr>
                <w:rFonts w:ascii="Arial" w:cs="Arial" w:eastAsia="Arial" w:hAnsi="Arial"/>
                <w:sz w:val="14"/>
                <w:szCs w:val="14"/>
                <w:b w:val="1"/>
                <w:bCs w:val="1"/>
                <w:color w:val="auto"/>
              </w:rPr>
              <w:t>Gross Unrealized</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9"/>
              </w:rPr>
              <w:t>Losses</w:t>
            </w: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spacing w:after="0"/>
              <w:rPr>
                <w:sz w:val="21"/>
                <w:szCs w:val="21"/>
                <w:color w:val="auto"/>
              </w:rPr>
            </w:pPr>
          </w:p>
        </w:tc>
        <w:tc>
          <w:tcPr>
            <w:tcW w:w="13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notes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13,168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10,167</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asset-backed securities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75,515</w:t>
            </w: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ind w:left="1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BFE4FF"/>
            </w:tcBorders>
            <w:shd w:val="clear" w:color="auto" w:fill="BFE4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6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64,638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BFE4FF"/>
            </w:tcBorders>
          </w:tcPr>
          <w:p>
            <w:pPr>
              <w:spacing w:after="0"/>
              <w:rPr>
                <w:sz w:val="2"/>
                <w:szCs w:val="2"/>
                <w:color w:val="auto"/>
              </w:rPr>
            </w:pPr>
          </w:p>
        </w:tc>
        <w:tc>
          <w:tcPr>
            <w:tcW w:w="15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BFE4FF"/>
            </w:tcBorders>
          </w:tcPr>
          <w:p>
            <w:pPr>
              <w:spacing w:after="0"/>
              <w:rPr>
                <w:sz w:val="2"/>
                <w:szCs w:val="2"/>
                <w:color w:val="auto"/>
              </w:rPr>
            </w:pPr>
          </w:p>
        </w:tc>
        <w:tc>
          <w:tcPr>
            <w:tcW w:w="14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20" w:type="dxa"/>
            <w:vAlign w:val="bottom"/>
            <w:tcBorders>
              <w:bottom w:val="single" w:sz="8" w:color="BFE4FF"/>
            </w:tcBorders>
          </w:tcPr>
          <w:p>
            <w:pPr>
              <w:spacing w:after="0"/>
              <w:rPr>
                <w:sz w:val="2"/>
                <w:szCs w:val="2"/>
                <w:color w:val="auto"/>
              </w:rPr>
            </w:pPr>
          </w:p>
        </w:tc>
        <w:tc>
          <w:tcPr>
            <w:tcW w:w="120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14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62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tcBorders>
          </w:tcPr>
          <w:p>
            <w:pPr>
              <w:spacing w:after="0" w:line="20" w:lineRule="exact"/>
              <w:rPr>
                <w:sz w:val="1"/>
                <w:szCs w:val="1"/>
                <w:color w:val="auto"/>
              </w:rPr>
            </w:pPr>
          </w:p>
        </w:tc>
        <w:tc>
          <w:tcPr>
            <w:tcW w:w="15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tcBorders>
          </w:tcPr>
          <w:p>
            <w:pPr>
              <w:spacing w:after="0" w:line="20" w:lineRule="exact"/>
              <w:rPr>
                <w:sz w:val="1"/>
                <w:szCs w:val="1"/>
                <w:color w:val="auto"/>
              </w:rPr>
            </w:pPr>
          </w:p>
        </w:tc>
        <w:tc>
          <w:tcPr>
            <w:tcW w:w="14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20" w:type="dxa"/>
            <w:vAlign w:val="bottom"/>
            <w:tcBorders>
              <w:top w:val="single" w:sz="8" w:color="BFE4FF"/>
            </w:tcBorders>
          </w:tcPr>
          <w:p>
            <w:pPr>
              <w:spacing w:after="0" w:line="20" w:lineRule="exact"/>
              <w:rPr>
                <w:sz w:val="1"/>
                <w:szCs w:val="1"/>
                <w:color w:val="auto"/>
              </w:rPr>
            </w:pPr>
          </w:p>
        </w:tc>
        <w:tc>
          <w:tcPr>
            <w:tcW w:w="12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At March 31, 2019 and December 31, 2018, the Company invested $5.0 million in overnight repurchase agreement securities classified as cash equivalents on the balance sheet.</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were no marketable securities that the Company considers to be other-than-temporarily impaired as of March 31, 2019. The Company's investment strategy is to buy short-duration marketable securities with a high credit rating. As of March 31, 2019, all marketable securities held by the Company had remaining contractual maturities of one year or less.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statements of operations. There have been no impairments of the Company’s assets measured and carried at fair value during the three months ended March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There was no movement between level 1 and level 2 or between level 2 and level 3.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420"/>
          </w:cols>
          <w:pgMar w:left="240" w:top="914" w:right="239" w:bottom="1440" w:gutter="0" w:footer="0" w:header="0"/>
        </w:sectPr>
      </w:pPr>
    </w:p>
    <w:p>
      <w:pPr>
        <w:spacing w:after="0" w:line="400"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00" w:space="720"/>
            <w:col w:w="2800"/>
          </w:cols>
          <w:pgMar w:left="240" w:top="914"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21,945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21,945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19,505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U.S. 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75,946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21,945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0"/>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16</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91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11.Net Loss Per Common Share</w:t>
      </w:r>
    </w:p>
    <w:p>
      <w:pPr>
        <w:spacing w:after="0" w:line="229" w:lineRule="exact"/>
        <w:rPr>
          <w:sz w:val="20"/>
          <w:szCs w:val="20"/>
          <w:color w:val="auto"/>
        </w:rPr>
      </w:pPr>
    </w:p>
    <w:p>
      <w:pPr>
        <w:ind w:right="60" w:firstLine="243"/>
        <w:spacing w:after="0" w:line="277" w:lineRule="auto"/>
        <w:rPr>
          <w:sz w:val="20"/>
          <w:szCs w:val="20"/>
          <w:color w:val="auto"/>
        </w:rPr>
      </w:pPr>
      <w:r>
        <w:rPr>
          <w:rFonts w:ascii="Arial" w:cs="Arial" w:eastAsia="Arial" w:hAnsi="Arial"/>
          <w:sz w:val="18"/>
          <w:szCs w:val="18"/>
          <w:color w:val="auto"/>
        </w:rPr>
        <w:t>The following reflects the net loss attributable to common shareholders and share data used in the basic and diluted earnings per share computations using the two class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(7,659)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 for basic and diluted EPS: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43,725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36,140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shareholders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Common equivalent shares are not included in the diluted per share calculation where the effect of their inclusion would be anti-dilutive. The number of common equivalent shares (options of 6.0 million, restricted stock unit awards of 0.2 million and less than 0.1 million of warrants) that have been excluded from the computations of diluted net loss per common share at March 31, 2019 and 2018 were 6.2 million in the aggregate for both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leases facilities in Ann Arbor, Michigan and Cambridge, Massachusetts. The Cambridge facility includes clean rooms, laboratories for MACI and Epicel manufacturing and office space. The Company also pays for use of an offsite warehouse space and leases various vehicles and computer equipment.</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6"/>
          <w:szCs w:val="16"/>
          <w:color w:val="222222"/>
        </w:rPr>
        <w:t>contribution toward the cost of tenant</w:t>
      </w:r>
      <w:r>
        <w:rPr>
          <w:rFonts w:ascii="Arial" w:cs="Arial" w:eastAsia="Arial" w:hAnsi="Arial"/>
          <w:sz w:val="16"/>
          <w:szCs w:val="16"/>
          <w:color w:val="auto"/>
        </w:rPr>
        <w:t xml:space="preserve"> </w:t>
      </w:r>
      <w:r>
        <w:rPr>
          <w:rFonts w:ascii="Arial" w:cs="Arial" w:eastAsia="Arial" w:hAnsi="Arial"/>
          <w:sz w:val="16"/>
          <w:szCs w:val="16"/>
          <w:color w:val="222222"/>
        </w:rPr>
        <w:t xml:space="preserve">improvements is recorded as part of the operating lease assets under the new leasing guidance described below, on the Company's condensed consolidated balance sheet. As of March 31, 2019, the Company has recorded $1.9 million </w:t>
      </w:r>
      <w:r>
        <w:rPr>
          <w:rFonts w:ascii="Arial" w:cs="Arial" w:eastAsia="Arial" w:hAnsi="Arial"/>
          <w:sz w:val="16"/>
          <w:szCs w:val="16"/>
          <w:color w:val="000000"/>
        </w:rPr>
        <w:t>of leasehold improvements funded by the tenant improvement allowance</w:t>
      </w:r>
      <w:r>
        <w:rPr>
          <w:rFonts w:ascii="Arial" w:cs="Arial" w:eastAsia="Arial" w:hAnsi="Arial"/>
          <w:sz w:val="16"/>
          <w:szCs w:val="16"/>
          <w:color w:val="222222"/>
        </w:rPr>
        <w:t>.</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adopted the updated leasing guidance as described in note 7, as of January 1, 2019.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lease expense is recorded on a straight-line basis over the lease term.</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On May 6, 2019, the Company entered into exclusive license and supply agreements with MediWound Ltd. (MediWound) to commercialize 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any improvements to Nexobrid in all countries of North America (the Territory). NexoBrid is a topically-administered biological product that enzymatically removes nonviable burn tissue, or eschar, in patients with deep partial and full-thickness thermal burns.</w:t>
      </w:r>
    </w:p>
    <w:p>
      <w:pPr>
        <w:spacing w:after="0" w:line="20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NexoBrid is currently in clinical development in the Territory, and pursuant to the terms of the License Agreement, MediWound will continue to conduct all clinical activities described in the development plan to support the filing of a biologics license application (BLA) with the United States Food and Drug Administration under the supervision of a Central Steering Committee comprised of members of each party.</w:t>
      </w:r>
    </w:p>
    <w:p>
      <w:pPr>
        <w:spacing w:after="0" w:line="18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Within ten days from May 7, 2019, the Company is obligated to pay MediWound $17.5 million. The Company is also obligated to pay MediWound $7.5 million upon U.S. regulatory approval of the BLA for NexoBrid and up to $125 million contingent upon meeting certain sales milestones. The first sales milestone of $7.5 million would be triggered when NexoBrid annual net sales in North America exceed $75 million. The Company also will pay MediWound tiered royalties on net sales ranging from single-digit to low double-digit percentages, subject to customary reductions. The U.S. Biomedical Advanced Research and Development Authority (BARDA) has committed to procure NexoBrid, and the Company will pay a percentage of gross profits to Mediwound on initial committed amounts and a royalty on any additional BARDA purchases of NexoBrid beyond the initial committed amount. The Company also entered into a supply agreement with MediWound under which MediWound will manufacture NexoBrid for the Company on a unit price basis which may be increased based on a published index.</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adult and pediatric patients with deep-dermal or full-thickness burns comprising greater than or equal to 30 percent of total body surface area (TBSA).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approved and marketed products include two approved autologous cell therapy products: MACI, a third generation autologous implant for the repair of symptomatic, full-thickness cartilage defects of the knee in adult patients and Epicel, a permanent skin replacement for full thickness burns in adults and pediatrics with greater than or equal to 30% of TBSA, both of which are currently marketed in the U.S. We also own Carticel which is no longer marketed in the U.S.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MACI is a third generation autologous implant for the repair of symptomatic, single or multiple full-thickness cartilage defects of the knee with or without bone involvement in adults. MACI replaced Carticel, an earlier generation ACI product for the treatment and repair of cartilage defects in the knee and was the first FDA-approved autologous cartilage repair product.</w:t>
      </w:r>
    </w:p>
    <w:p>
      <w:pPr>
        <w:spacing w:after="0" w:line="19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In the U.S., the physician target audience which repairs cartilage defects is very concentrated and is comprised of a group of physicians who self-identify as or have the formal specialty of sports medicine physicians. We believe this target audience is approximately 2,500 to 3,000 physicians. In addition to these physicians there is a population of 4,000 to 8,000 general orthopedic surgeons who treat cartilage injuries, although typically at a much lower average volume relative to the sports medicine physicians. As we look to more effectively engage this customer base, we expanded our field force from 40 to 48 representatives, whom we anticipate to be in the field in the second quarter of 2019. Most private payers have a medical policy that covers treatment with MACI with all of the top 30 largest commercial payers having a formal medical policy for MACI or ACI in general. For those private payers which have not yet approved a medical policy for MACI, for medically appropriate cases we can often obtain approval on a case by case basis. For the three months ended March 31, 2019 and 2018, net revenues for MACI were $16.6 million and $12.1 million, respectively.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Epicel is a permanent skin replacement for full thickness burns greater than or equal to 30% of TBSA. Epicel is regulated by the Center for Biologics Evaluation and Research, or CBER of the U.S. Food and Drug Administration, or FDA under medical device authorities, and is the only FDA-approved autologous epidermal product available for large total surface area burns. Epicel was designated as a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9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18" w:name="page19"/>
    <w:bookmarkEnd w:id="18"/>
    <w:p>
      <w:pPr>
        <w:jc w:val="both"/>
        <w:ind w:firstLine="243"/>
        <w:spacing w:after="0" w:line="272" w:lineRule="auto"/>
        <w:rPr>
          <w:sz w:val="20"/>
          <w:szCs w:val="20"/>
          <w:color w:val="auto"/>
        </w:rPr>
      </w:pPr>
      <w:r>
        <w:rPr>
          <w:rFonts w:ascii="Arial" w:cs="Arial" w:eastAsia="Arial" w:hAnsi="Arial"/>
          <w:sz w:val="17"/>
          <w:szCs w:val="17"/>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5-person field force. For the three months ended March 31, 2019 and 2018, net revenues for Epicel were $5.2 million and $6.0 million, respectively.</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18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Ixmyelocel-T has been granted a U.S. Orphan Drug designation by the FDA for the treatment of DCM. We completed enrolling and treating patients in our completed Phase 2b ixCELL-DCM study in February, 2015. Patients were followed for 12 months for the primary efficacy endpoint of major cardiac adverse events, or MACE. On March 10, 2016, we announced the trial had met its primary endpoint of reduction in clinical cardiac events and that the incidence of adverse events, including serious adverse events, in patients treated with ixmyelocel-T was comparable to patients in the placebo group. Patients were then followed for an additional 12 months for safety. Because the trial met the primary endpoint, patients who received placebo or were randomized to ixmyelocel-T in the double-blind portion of the trial but did not receive ixmyelocel-T were offered the option to receive ixmyelocel-T. We successfully treated the last patients in February 2017, and the last follow-up visit occurred approximately one year later. In addition, we have conducted clinical studies for the treatment of critical limb ischemia, and an ixmyelocel-T investigator-initiated clinical study was conducted for the treatment of craniofacial reconstruction.</w:t>
      </w:r>
    </w:p>
    <w:p>
      <w:pPr>
        <w:spacing w:after="0" w:line="16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net loss for the three months ended March 31, 2019 and 2018 totaled $2.8 million and $7.7 million,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21,810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18,027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7,666</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10,361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14,683</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revenues increased for the three months ended March 31, 2019 compared to the same period the previous year as an increase in cartilage implants more than offset a reduction in Epicel grafts in the quarter compared to the prior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5,972</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21,810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18,027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0" w:right="239" w:bottom="1440" w:gutter="0" w:footer="0" w:header="0"/>
          <w:type w:val="continuous"/>
        </w:sectPr>
      </w:pPr>
    </w:p>
    <w:bookmarkStart w:id="19" w:name="page20"/>
    <w:bookmarkEnd w:id="19"/>
    <w:p>
      <w:pPr>
        <w:jc w:val="both"/>
        <w:ind w:firstLine="391"/>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Over the last four years ACI (MACI and Carticel prior to its replacement) sales volumes from the first through the fourth quarter have on</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represented 20%, 24%, 22% and 35% respectively, of total annual volumes. MACI orders are stronger in the fourth quarter due to a number of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Over the last four years the percentage of annual product orders for Epicel has on average been 28%, 25%, 21% and 27% from the first to the fourth quarters.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10,361</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2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Gross profit increased for the three months ended March 31, 2019 compared to the same period in 2018 due primarily to an increase in MACI sales combined with our highly fixed manufacturing cost structure which consists mainly of labor and facility costs that do not materially fluctuate with volume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3,729</w:t>
            </w:r>
          </w:p>
        </w:tc>
      </w:tr>
      <w:tr>
        <w:trPr>
          <w:trHeight w:val="432"/>
        </w:trPr>
        <w:tc>
          <w:tcPr>
            <w:tcW w:w="8360" w:type="dxa"/>
            <w:vAlign w:val="bottom"/>
            <w:gridSpan w:val="2"/>
          </w:tcPr>
          <w:p>
            <w:pPr>
              <w:ind w:left="240"/>
              <w:spacing w:after="0"/>
              <w:rPr>
                <w:sz w:val="20"/>
                <w:szCs w:val="20"/>
                <w:color w:val="auto"/>
              </w:rPr>
            </w:pPr>
            <w:r>
              <w:rPr>
                <w:rFonts w:ascii="Arial" w:cs="Arial" w:eastAsia="Arial" w:hAnsi="Arial"/>
                <w:sz w:val="18"/>
                <w:szCs w:val="18"/>
                <w:color w:val="auto"/>
                <w:w w:val="92"/>
              </w:rPr>
              <w:t>The following table summarizes the approximate allocation of cost for our research and development projects: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15"/>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2,456</w:t>
            </w:r>
          </w:p>
        </w:tc>
      </w:tr>
      <w:tr>
        <w:trPr>
          <w:trHeight w:val="27"/>
        </w:trPr>
        <w:tc>
          <w:tcPr>
            <w:tcW w:w="8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717</w:t>
            </w:r>
          </w:p>
        </w:tc>
      </w:tr>
      <w:tr>
        <w:trPr>
          <w:trHeight w:val="25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research and development costs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3,729</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92"/>
        <w:spacing w:after="0" w:line="279" w:lineRule="auto"/>
        <w:rPr>
          <w:sz w:val="20"/>
          <w:szCs w:val="20"/>
          <w:color w:val="auto"/>
        </w:rPr>
      </w:pPr>
      <w:r>
        <w:rPr>
          <w:rFonts w:ascii="Arial" w:cs="Arial" w:eastAsia="Arial" w:hAnsi="Arial"/>
          <w:sz w:val="17"/>
          <w:szCs w:val="17"/>
          <w:color w:val="auto"/>
        </w:rPr>
        <w:t>Research and development costs for the three months ended March 31, 2019 were $3.0 million versus $3.7 million for the same period a year ago. These expenses include research costs associated with manufacturing process improvement activities, the ongoing MACI pediatric trial, pharmacovigilance and other reporting and compliance requirements, as well as medical affairs and external grants. The reduction was driven by clinical study start-up costs related to the MACI pediatric trial incurred in 2018 and a reduction to other outside expenditures compared to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13,520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10,954</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costs for the three months ended March 31, 2019 were $13.5 million compared to $11.0 million for the same period a year ago. The increase in selling, general and administrative costs for the three months ended March 31, 2019 is due primarily to a $1.1 million increase in stock based compensation expenses, an incremental $0.6 million in MACI sales force expenses driven by the expansion in the second quarter of 2018 and a $0.6 million increase in selling expenses and patient reimbursement support services. The increase in selling expenses and patient reimbursement support services is primarily driven by higher MACI sales volume and the revision to our distributor model as of June 15, 2018, compared to the same period a year ago.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(increase) in fair value of warrants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change in other income and expense is due to the increase in our stock price in 2018 resulting in an increase in the fair value of warrants compared to no expense or income due to a change in the fair value of warrants in 2019. We did not experience a change in warrant value for the three months ended March 31, 2019 due to the expiration of the 2013 warrants in 2018 which contributed to the valuation change. In addition, all outstanding debt was repaid in December 2018. The interest income for the three months ended March 31, 2019 is a result of our investments in various marketable debt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1,342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changes in stock-based compensation expense are due primarily to fluctuations in the fair value of the options granted in 2019 compared to 2018 as a result in the increase in stock price. In addition, we granted restricted stock units in 2019 and none in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Since the acquisition in 2014 of MACI, Epicel and Carticel from Sanofi, our primary focus has been to invest in our existing commercial business with the goal of growing revenue. We have raised significant funds in order to complete our product development programs, and complete clinical trials needed to market and commercialize our products. To date, we have financed our operations primarily through public and private sales of our equity securities. At present revenue levels, we do not currently anticipate the need to finance our operations through the sales of equity securities.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totaled $35.1 million, and short term investments totaled $49.0 million as of March 31, 2019. The cash provided by operations of $0.2 million was a result of a net loss of $2.8 million, offset largely by collections on prior quarter sales and by noncash charges including $2.6 million of stock compensation expense, $0.2 million due to the amortization of premiums and discounts on marketable securities and $0.3 million of depreciation expense.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cash and cash equivalents totaled $29.8 million as of March 31, 2018. During the three months ended March 31, 2018, the cash provided by operations was $0.4 million was a result of a net loss of $7.7 million. The cash provided by operations was offset by collections on prior quarter sales and noncash charges including $1.3 million of stock compensation expense, $2.9 million due to the change in fair value of warrants and $0.4 million of depreciation expense.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change in cash used for investing activities as of March 31, 2019 is the result of $10.7 million in short term investments purchases offset by $26.6 million of short term investment maturities and property plant and equipment purchases of $0.2 million primarily for manufacturing upgrades and leasehold improvements through March 31, 2019. The change in cash used for investing activities is the result of the purchases of $0.2 million of property plant and equipment for manufacturing upgrades through March 31, 2018.</w:t>
      </w:r>
    </w:p>
    <w:p>
      <w:pPr>
        <w:spacing w:after="0" w:line="187"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The change in cash provided from financing activities is the result of net proceeds from the exercise of stock options of $1.0 million during the three months ended March 31, 2019. The change in cash provided from financing activities is the result of proceeds from the exercise of stock options of $1.0 million and exercise of warrants of $1.7 million during the three months ended March 31, 2018.</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believe that, based on current revenue levels, cash on hand, cash equivalents and short term investments we are in a position to operate our business without the need to finance our operations through the sales of equity securities. If revenues decline for a sustained period of time, we may need to access additional capital;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2019,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2018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months ended March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9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70" w:lineRule="exact"/>
        <w:rPr>
          <w:sz w:val="20"/>
          <w:szCs w:val="20"/>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reimbursement for our products;</w:t>
      </w:r>
    </w:p>
    <w:p>
      <w:pPr>
        <w:sectPr>
          <w:pgSz w:w="11900" w:h="16847" w:orient="portrait"/>
          <w:cols w:equalWidth="0" w:num="1">
            <w:col w:w="11420"/>
          </w:cols>
          <w:pgMar w:left="240" w:top="580" w:right="239" w:bottom="0" w:gutter="0" w:footer="0" w:header="0"/>
        </w:sectPr>
      </w:pPr>
    </w:p>
    <w:bookmarkStart w:id="22" w:name="page23"/>
    <w:bookmarkEnd w:id="22"/>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features and successes of our cellular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March 31, 2019, we would not expect our operating results or cash flows to be affected to any significant degree by the effect of a sudden change in market interest rates or credit conditions on our securities portfolio. For additional information regarding our market risk, refer to Item 7A. Quantitative and Qualitative Disclosures About Market Risk in our Annual Report on Form 10-K for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March 31, 2019,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There were no changes in our internal control over financial reporting during the quarter ended March 31, 2019, that have materially affected, or are reasonably likely to materially affect, our internal control over financial reporting. We implemented internal controls to ensure management properly assessed the impact of the new lease accounting standards on our condensed consolidated financial statements to facilitate adoption of the new leasing standards effective January 1, 2019. There were no significant changes to our internal control over financial reporting due to the adoption of the new standards.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52"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have been no material changes from the risk factors previously disclosed in the Company's Annual Report on Form 10-K for the year ended December 31, 2018. The risks described in the Annual Report on Form 10-K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did not have any repurchases or unregistered issuances of its equity securities during the quarter ended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40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00" w:type="dxa"/>
            <w:vAlign w:val="bottom"/>
            <w:gridSpan w:val="6"/>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40" w:type="dxa"/>
            <w:vAlign w:val="bottom"/>
            <w:tcBorders>
              <w:top w:val="single" w:sz="8" w:color="auto"/>
              <w:bottom w:val="single" w:sz="8" w:color="0000FF"/>
            </w:tcBorders>
            <w:gridSpan w:val="8"/>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Certification of Chief Executive Officer pursuant to Section 302 of the Sarbanes-Oxley Act of 2002.</w:t>
              </w:r>
            </w:hyperlink>
          </w:p>
        </w:tc>
        <w:tc>
          <w:tcPr>
            <w:tcW w:w="2080" w:type="dxa"/>
            <w:vAlign w:val="bottom"/>
            <w:tcBorders>
              <w:top w:val="single" w:sz="8" w:color="auto"/>
            </w:tcBorders>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Certification of Chief Executive Officer pursuant to Section 906 of the Sarbanes-Oxley Act of 2002.</w:t>
              </w:r>
            </w:hyperlink>
          </w:p>
        </w:tc>
        <w:tc>
          <w:tcPr>
            <w:tcW w:w="2080" w:type="dxa"/>
            <w:vAlign w:val="bottom"/>
          </w:tcPr>
          <w:p>
            <w:pPr>
              <w:spacing w:after="0"/>
              <w:rPr>
                <w:sz w:val="24"/>
                <w:szCs w:val="24"/>
                <w:color w:val="auto"/>
              </w:rPr>
            </w:pPr>
          </w:p>
        </w:tc>
      </w:tr>
      <w:tr>
        <w:trPr>
          <w:trHeight w:val="574"/>
        </w:trPr>
        <w:tc>
          <w:tcPr>
            <w:tcW w:w="1620" w:type="dxa"/>
            <w:vAlign w:val="bottom"/>
          </w:tcPr>
          <w:p>
            <w:pPr>
              <w:jc w:val="cente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XBRL Instance Document</w:t>
            </w:r>
          </w:p>
        </w:tc>
        <w:tc>
          <w:tcPr>
            <w:tcW w:w="2140" w:type="dxa"/>
            <w:vAlign w:val="bottom"/>
            <w:gridSpan w:val="2"/>
          </w:tcPr>
          <w:p>
            <w:pPr>
              <w:spacing w:after="0"/>
              <w:rPr>
                <w:sz w:val="24"/>
                <w:szCs w:val="24"/>
                <w:color w:val="auto"/>
              </w:rPr>
            </w:pP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XBRL Taxonomy Extension Schema Document</w:t>
            </w:r>
          </w:p>
        </w:tc>
      </w:tr>
      <w:tr>
        <w:trPr>
          <w:trHeight w:val="20"/>
        </w:trPr>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XBRL Taxonomy Extension Calculation Linkbase Document</w:t>
            </w:r>
          </w:p>
        </w:tc>
        <w:tc>
          <w:tcPr>
            <w:tcW w:w="4880" w:type="dxa"/>
            <w:vAlign w:val="bottom"/>
            <w:gridSpan w:val="4"/>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0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XBRL Taxonomy Extension Label Linkbase Document</w:t>
            </w:r>
          </w:p>
        </w:tc>
        <w:tc>
          <w:tcPr>
            <w:tcW w:w="5300" w:type="dxa"/>
            <w:vAlign w:val="bottom"/>
            <w:gridSpan w:val="6"/>
          </w:tcPr>
          <w:p>
            <w:pPr>
              <w:spacing w:after="0"/>
              <w:rPr>
                <w:sz w:val="24"/>
                <w:szCs w:val="24"/>
                <w:color w:val="auto"/>
              </w:rPr>
            </w:pPr>
          </w:p>
        </w:tc>
      </w:tr>
      <w:tr>
        <w:trPr>
          <w:trHeight w:val="520"/>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4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XBRL Taxonomy Extension Presentation Linkbase Document</w:t>
            </w:r>
          </w:p>
        </w:tc>
        <w:tc>
          <w:tcPr>
            <w:tcW w:w="4820" w:type="dxa"/>
            <w:vAlign w:val="bottom"/>
            <w:gridSpan w:val="3"/>
          </w:tcPr>
          <w:p>
            <w:pPr>
              <w:spacing w:after="0"/>
              <w:rPr>
                <w:sz w:val="24"/>
                <w:szCs w:val="24"/>
                <w:color w:val="auto"/>
              </w:rPr>
            </w:pPr>
          </w:p>
        </w:tc>
      </w:tr>
      <w:tr>
        <w:trPr>
          <w:trHeight w:val="574"/>
        </w:trPr>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101 DEF**</w:t>
            </w:r>
          </w:p>
        </w:tc>
        <w:tc>
          <w:tcPr>
            <w:tcW w:w="20" w:type="dxa"/>
            <w:vAlign w:val="bottom"/>
          </w:tcPr>
          <w:p>
            <w:pPr>
              <w:spacing w:after="0"/>
              <w:rPr>
                <w:sz w:val="24"/>
                <w:szCs w:val="24"/>
                <w:color w:val="auto"/>
              </w:rPr>
            </w:pPr>
          </w:p>
        </w:tc>
        <w:tc>
          <w:tcPr>
            <w:tcW w:w="9320" w:type="dxa"/>
            <w:vAlign w:val="bottom"/>
            <w:gridSpan w:val="9"/>
          </w:tcPr>
          <w:p>
            <w:pPr>
              <w:spacing w:after="0"/>
              <w:rPr>
                <w:sz w:val="20"/>
                <w:szCs w:val="20"/>
                <w:color w:val="auto"/>
              </w:rPr>
            </w:pPr>
            <w:r>
              <w:rPr>
                <w:rFonts w:ascii="Arial" w:cs="Arial" w:eastAsia="Arial" w:hAnsi="Arial"/>
                <w:sz w:val="18"/>
                <w:szCs w:val="18"/>
                <w:color w:val="0000FF"/>
              </w:rPr>
              <w:t>XBRL Taxonomy Extension Definition Linkbase Document</w:t>
            </w:r>
          </w:p>
        </w:tc>
      </w:tr>
      <w:tr>
        <w:trPr>
          <w:trHeight w:val="480"/>
        </w:trPr>
        <w:tc>
          <w:tcPr>
            <w:tcW w:w="208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891"/>
        </w:trPr>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gridSpan w:val="4"/>
          </w:tcPr>
          <w:p>
            <w:pPr>
              <w:jc w:val="right"/>
              <w:ind w:right="3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240" w:top="580" w:right="6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7, 2019</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May 7, 2019</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2019,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7, 2019</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March 31, 2019,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7, 2019</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decimal"/>
      <w:start w:val="6"/>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1."/>
      <w:numFmt w:val="decimal"/>
      <w:start w:val="8"/>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lvl w:ilvl="1">
      <w:lvlJc w:val="left"/>
      <w:lvlText w:val="(%2)"/>
      <w:numFmt w:val="lowerLetter"/>
      <w:start w:val="1"/>
    </w:lvl>
  </w:abstractNum>
  <w:abstractNum w:abstractNumId="14">
    <w:nsid w:val="519B500D"/>
    <w:multiLevelType w:val="hybridMultilevel"/>
    <w:lvl w:ilvl="0">
      <w:lvlJc w:val="left"/>
      <w:lvlText w:val="%1."/>
      <w:numFmt w:val="decimal"/>
      <w:start w:val="5"/>
    </w:lvl>
    <w:lvl w:ilvl="1">
      <w:lvlJc w:val="left"/>
      <w:lvlText w:val="(%2)"/>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5"/>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2019-12-28T12:39:41Z</dcterms:created>
  <dcterms:modified xsi:type="dcterms:W3CDTF">2019-12-28T12:39:41Z</dcterms:modified>
</cp:coreProperties>
</file>