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Halpin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BLUE SKY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Vericel Corp</w:t>
              </w:r>
            </w:hyperlink>
            <w:r>
              <w:rPr/>
              <w:t xml:space="preserve"> [ </w:t>
            </w:r>
            <w:r>
              <w:rPr>
                <w:rFonts w:ascii="Times;serif" w:hAnsi="Times;serif"/>
                <w:color w:val="0000FF"/>
                <w:sz w:val="24"/>
                <w:shd w:fill="FFFFFF" w:val="clear"/>
              </w:rPr>
              <w:t>VCEL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94"/>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26,394</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46.84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16,394</w:t>
            </w:r>
            <w:r>
              <w:rPr>
                <w:rFonts w:ascii="Times;serif" w:hAnsi="Times;serif"/>
                <w:color w:val="008000"/>
                <w:position w:val="7"/>
                <w:sz w:val="16"/>
                <w:sz w:val="20"/>
                <w:shd w:fill="FFFFFF" w:val="clear"/>
              </w:rPr>
              <w:t>(1)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16.66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include shares acquired pursuant to the Issuer's 2015 Employee Stock Purchase Plan in transactions that were exempt under both Rule 16b-3(d) and Rule 16b-3(c).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by an automatic sale pursuant to a Rule 10b5-1 trading plan adopted by the reporting person on December 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representing the right to purchase 76,250 shares, became exercisable in equal quarterly installments, contingent upon continued service to the Company, with the first vesting date on May 6, 2019, which was one quarter after the date on which the option was granted.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Flynn, as Attorney-in-Fact for Michael Halpin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8858" TargetMode="External"/><Relationship Id="rId5" Type="http://schemas.openxmlformats.org/officeDocument/2006/relationships/hyperlink" Target="http://www.sec.gov/cgi-bin/browse-edgar?action=getcompany&amp;CIK=00008873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3734</Characters>
  <CharactersWithSpaces>4338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