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1228725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1160780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81" w:lineRule="exact"/>
        <w:rPr>
          <w:sz w:val="24"/>
          <w:szCs w:val="24"/>
          <w:color w:val="auto"/>
        </w:rPr>
      </w:pPr>
    </w:p>
    <w:p>
      <w:pPr>
        <w:jc w:val="center"/>
        <w:ind w:left="5400" w:right="220" w:hanging="5177"/>
        <w:spacing w:after="0" w:line="238" w:lineRule="auto"/>
        <w:tabs>
          <w:tab w:leader="none" w:pos="52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jc w:val="center"/>
        <w:ind w:right="-19"/>
        <w:spacing w:after="0" w:line="188" w:lineRule="auto"/>
        <w:rPr>
          <w:sz w:val="20"/>
          <w:szCs w:val="20"/>
          <w:color w:val="auto"/>
        </w:rPr>
      </w:pPr>
      <w:r>
        <w:rPr>
          <w:rFonts w:ascii="Times New Roman" w:cs="Times New Roman" w:eastAsia="Times New Roman" w:hAnsi="Times New Roman"/>
          <w:sz w:val="18"/>
          <w:szCs w:val="18"/>
          <w:b w:val="1"/>
          <w:bCs w:val="1"/>
          <w:color w:val="auto"/>
        </w:rPr>
        <w:t>or</w:t>
      </w:r>
    </w:p>
    <w:p>
      <w:pPr>
        <w:ind w:left="540" w:hanging="346"/>
        <w:spacing w:after="0" w:line="222" w:lineRule="auto"/>
        <w:tabs>
          <w:tab w:leader="none" w:pos="5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jc w:val="center"/>
        <w:ind w:right="-19"/>
        <w:spacing w:after="0" w:line="223" w:lineRule="auto"/>
        <w:rPr>
          <w:sz w:val="20"/>
          <w:szCs w:val="20"/>
          <w:color w:val="auto"/>
        </w:rPr>
      </w:pPr>
      <w:r>
        <w:rPr>
          <w:rFonts w:ascii="Times New Roman" w:cs="Times New Roman" w:eastAsia="Times New Roman" w:hAnsi="Times New Roman"/>
          <w:sz w:val="22"/>
          <w:szCs w:val="22"/>
          <w:b w:val="1"/>
          <w:bCs w:val="1"/>
          <w:color w:val="auto"/>
        </w:rPr>
        <w:t>1934</w:t>
      </w: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Commission File Number 001-35280</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99060</wp:posOffset>
            </wp:positionV>
            <wp:extent cx="12687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94"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4"/>
          <w:szCs w:val="14"/>
          <w:b w:val="1"/>
          <w:bCs w:val="1"/>
          <w:color w:val="auto"/>
        </w:rPr>
        <w:t>Michigan</w:t>
      </w:r>
    </w:p>
    <w:p>
      <w:pPr>
        <w:spacing w:after="0" w:line="30"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94-3096597</w:t>
      </w:r>
    </w:p>
    <w:p>
      <w:pPr>
        <w:spacing w:after="0" w:line="30"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83" w:lineRule="exact"/>
        <w:rPr>
          <w:sz w:val="24"/>
          <w:szCs w:val="24"/>
          <w:color w:val="auto"/>
        </w:rPr>
      </w:pPr>
    </w:p>
    <w:p>
      <w:pPr>
        <w:sectPr>
          <w:pgSz w:w="11900" w:h="16838" w:orient="portrait"/>
          <w:cols w:equalWidth="0" w:num="2">
            <w:col w:w="6440" w:space="720"/>
            <w:col w:w="408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64 Sidney Street</w:t>
      </w:r>
    </w:p>
    <w:p>
      <w:pPr>
        <w:jc w:val="center"/>
        <w:spacing w:after="0" w:line="193" w:lineRule="auto"/>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1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110490</wp:posOffset>
            </wp:positionV>
            <wp:extent cx="12687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4120" w:type="dxa"/>
            <w:vAlign w:val="bottom"/>
          </w:tcPr>
          <w:p>
            <w:pPr>
              <w:jc w:val="center"/>
              <w:ind w:left="222"/>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r>
      <w:tr>
        <w:trPr>
          <w:trHeight w:val="304"/>
        </w:trPr>
        <w:tc>
          <w:tcPr>
            <w:tcW w:w="34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12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4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12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rPr>
              <w:t>VCEL</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r>
    </w:tbl>
    <w:p>
      <w:pPr>
        <w:spacing w:after="0" w:line="208" w:lineRule="exact"/>
        <w:rPr>
          <w:sz w:val="24"/>
          <w:szCs w:val="24"/>
          <w:color w:val="auto"/>
        </w:rPr>
      </w:pPr>
    </w:p>
    <w:p>
      <w:pPr>
        <w:jc w:val="both"/>
        <w:ind w:right="360" w:firstLine="324"/>
        <w:spacing w:after="0" w:line="26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w:t>
      </w:r>
    </w:p>
    <w:p>
      <w:pPr>
        <w:spacing w:after="0" w:line="105" w:lineRule="exact"/>
        <w:rPr>
          <w:sz w:val="24"/>
          <w:szCs w:val="24"/>
          <w:color w:val="auto"/>
        </w:rPr>
      </w:pPr>
    </w:p>
    <w:p>
      <w:pPr>
        <w:ind w:right="80" w:firstLine="324"/>
        <w:spacing w:after="0" w:line="24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w:t>
      </w:r>
    </w:p>
    <w:p>
      <w:pPr>
        <w:spacing w:after="0" w:line="103" w:lineRule="exact"/>
        <w:rPr>
          <w:sz w:val="24"/>
          <w:szCs w:val="24"/>
          <w:color w:val="auto"/>
        </w:rPr>
      </w:pPr>
    </w:p>
    <w:p>
      <w:pPr>
        <w:jc w:val="center"/>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2880" w:type="dxa"/>
        <w:tblCellMar>
          <w:top w:w="0" w:type="dxa"/>
          <w:left w:w="0" w:type="dxa"/>
          <w:bottom w:w="0" w:type="dxa"/>
          <w:right w:w="0" w:type="dxa"/>
        </w:tblCellMar>
      </w:tblPr>
      <w:tr>
        <w:trPr>
          <w:trHeight w:val="189"/>
        </w:trPr>
        <w:tc>
          <w:tcPr>
            <w:tcW w:w="212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auto"/>
              </w:rPr>
              <w:t>Large accelerated filer</w:t>
            </w:r>
          </w:p>
        </w:tc>
        <w:tc>
          <w:tcPr>
            <w:tcW w:w="14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12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auto"/>
              </w:rPr>
              <w:t>Non-accelerated filer</w:t>
            </w:r>
          </w:p>
        </w:tc>
        <w:tc>
          <w:tcPr>
            <w:tcW w:w="14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0" w:lineRule="exact"/>
        <w:rPr>
          <w:sz w:val="24"/>
          <w:szCs w:val="24"/>
          <w:color w:val="auto"/>
        </w:rPr>
      </w:pPr>
    </w:p>
    <w:p>
      <w:pPr>
        <w:ind w:right="260" w:firstLine="324"/>
        <w:spacing w:after="0" w:line="28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52" w:lineRule="exact"/>
        <w:rPr>
          <w:sz w:val="24"/>
          <w:szCs w:val="24"/>
          <w:color w:val="auto"/>
        </w:rPr>
      </w:pPr>
    </w:p>
    <w:p>
      <w:pPr>
        <w:ind w:left="340"/>
        <w:spacing w:after="0" w:line="1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p>
    <w:p>
      <w:pPr>
        <w:spacing w:after="0" w:line="32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As of October 30, 2020, 45,428,794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766445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2480" w:type="dxa"/>
            <w:vAlign w:val="bottom"/>
            <w:tcBorders>
              <w:bottom w:val="single" w:sz="8" w:color="0000FF"/>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80" w:type="dxa"/>
            <w:vAlign w:val="bottom"/>
            <w:gridSpan w:val="7"/>
          </w:tcPr>
          <w:p>
            <w:pPr>
              <w:spacing w:after="0"/>
              <w:rPr>
                <w:sz w:val="16"/>
                <w:szCs w:val="16"/>
                <w:color w:val="auto"/>
              </w:rPr>
            </w:pPr>
          </w:p>
        </w:tc>
        <w:tc>
          <w:tcPr>
            <w:tcW w:w="700" w:type="dxa"/>
            <w:vAlign w:val="bottom"/>
          </w:tcPr>
          <w:p>
            <w:pPr>
              <w:jc w:val="right"/>
              <w:spacing w:after="0" w:line="194" w:lineRule="exact"/>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60" w:type="dxa"/>
            <w:vAlign w:val="bottom"/>
            <w:gridSpan w:val="11"/>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Condensed Consolidated Balance Sheets as of September 30, 2020 and December 31, 2019</w:t>
              </w:r>
            </w:hyperlink>
          </w:p>
        </w:tc>
        <w:tc>
          <w:tcPr>
            <w:tcW w:w="700" w:type="dxa"/>
            <w:vAlign w:val="bottom"/>
          </w:tcPr>
          <w:p>
            <w:pPr>
              <w:jc w:val="right"/>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60" w:type="dxa"/>
            <w:vAlign w:val="bottom"/>
            <w:gridSpan w:val="11"/>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u w:val="single" w:color="auto"/>
                  <w:color w:val="0000FF"/>
                </w:rPr>
                <w:t>Condensed Consolidated Statements of Operations for the three and</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FF"/>
              </w:rPr>
              <w:t xml:space="preserve">nine </w:t>
            </w:r>
            <w:hyperlink w:anchor="page3">
              <w:r>
                <w:rPr>
                  <w:rFonts w:ascii="Times New Roman" w:cs="Times New Roman" w:eastAsia="Times New Roman" w:hAnsi="Times New Roman"/>
                  <w:sz w:val="18"/>
                  <w:szCs w:val="18"/>
                  <w:color w:val="0000FF"/>
                </w:rPr>
                <w:t xml:space="preserve">months ended </w:t>
              </w:r>
              <w:r>
                <w:rPr>
                  <w:rFonts w:ascii="Times New Roman" w:cs="Times New Roman" w:eastAsia="Times New Roman" w:hAnsi="Times New Roman"/>
                  <w:sz w:val="18"/>
                  <w:szCs w:val="18"/>
                  <w:u w:val="single" w:color="auto"/>
                  <w:color w:val="0000FF"/>
                </w:rPr>
                <w:t>September 30, 2020 and 2019</w:t>
              </w:r>
            </w:hyperlink>
          </w:p>
        </w:tc>
        <w:tc>
          <w:tcPr>
            <w:tcW w:w="70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60" w:type="dxa"/>
            <w:vAlign w:val="bottom"/>
            <w:gridSpan w:val="11"/>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Condensed Consolidated Statements of Comprehensive Income (Loss) for the three and nine months ended September 30, 2020</w:t>
              </w:r>
            </w:hyperlink>
          </w:p>
        </w:tc>
        <w:tc>
          <w:tcPr>
            <w:tcW w:w="70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and 2019</w:t>
              </w:r>
            </w:hyperlink>
          </w:p>
        </w:tc>
        <w:tc>
          <w:tcPr>
            <w:tcW w:w="85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60" w:type="dxa"/>
            <w:vAlign w:val="bottom"/>
            <w:gridSpan w:val="11"/>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u w:val="single" w:color="auto"/>
                  <w:color w:val="0000FF"/>
                </w:rPr>
                <w:t>Consolidated Statements of Shareholders' Equity from December 31, 2019 to September</w:t>
              </w:r>
              <w:r>
                <w:rPr>
                  <w:rFonts w:ascii="Times New Roman" w:cs="Times New Roman" w:eastAsia="Times New Roman" w:hAnsi="Times New Roman"/>
                  <w:sz w:val="18"/>
                  <w:szCs w:val="18"/>
                  <w:color w:val="0000FF"/>
                </w:rPr>
                <w:t xml:space="preserve"> 30, 2020 and from December 31, 2018</w:t>
              </w:r>
            </w:hyperlink>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380" w:type="dxa"/>
            <w:vAlign w:val="bottom"/>
            <w:gridSpan w:val="8"/>
          </w:tcPr>
          <w:p>
            <w:pPr>
              <w:spacing w:after="0" w:line="156"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 xml:space="preserve">to </w:t>
              </w:r>
              <w:r>
                <w:rPr>
                  <w:rFonts w:ascii="Times New Roman" w:cs="Times New Roman" w:eastAsia="Times New Roman" w:hAnsi="Times New Roman"/>
                  <w:sz w:val="18"/>
                  <w:szCs w:val="18"/>
                  <w:u w:val="single" w:color="auto"/>
                  <w:color w:val="0000FF"/>
                </w:rPr>
                <w:t>September 30, 2019</w:t>
              </w:r>
            </w:hyperlink>
          </w:p>
        </w:tc>
        <w:tc>
          <w:tcPr>
            <w:tcW w:w="284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700" w:type="dxa"/>
            <w:vAlign w:val="bottom"/>
          </w:tcPr>
          <w:p>
            <w:pPr>
              <w:jc w:val="right"/>
              <w:spacing w:after="0" w:line="156" w:lineRule="exact"/>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60" w:type="dxa"/>
            <w:vAlign w:val="bottom"/>
            <w:gridSpan w:val="11"/>
          </w:tcPr>
          <w:p>
            <w:pPr>
              <w:spacing w:after="0"/>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 xml:space="preserve">Condensed Consolidated Statements of Cash Flows for the nine months ended </w:t>
              </w:r>
              <w:r>
                <w:rPr>
                  <w:rFonts w:ascii="Times New Roman" w:cs="Times New Roman" w:eastAsia="Times New Roman" w:hAnsi="Times New Roman"/>
                  <w:sz w:val="18"/>
                  <w:szCs w:val="18"/>
                  <w:u w:val="single" w:color="auto"/>
                  <w:color w:val="0000FF"/>
                </w:rPr>
                <w:t>September 30, 2020 and 2019</w:t>
              </w:r>
            </w:hyperlink>
          </w:p>
        </w:tc>
        <w:tc>
          <w:tcPr>
            <w:tcW w:w="700" w:type="dxa"/>
            <w:vAlign w:val="bottom"/>
          </w:tcPr>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80" w:type="dxa"/>
            <w:vAlign w:val="bottom"/>
            <w:tcBorders>
              <w:top w:val="single" w:sz="8" w:color="0000FF"/>
            </w:tcBorders>
            <w:gridSpan w:val="6"/>
          </w:tcPr>
          <w:p>
            <w:pPr>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Notes to Condensed Consolidated Financial Statements</w:t>
              </w:r>
            </w:hyperlink>
          </w:p>
        </w:tc>
        <w:tc>
          <w:tcPr>
            <w:tcW w:w="3580" w:type="dxa"/>
            <w:vAlign w:val="bottom"/>
            <w:gridSpan w:val="5"/>
          </w:tcPr>
          <w:p>
            <w:pPr>
              <w:spacing w:after="0"/>
              <w:rPr>
                <w:sz w:val="24"/>
                <w:szCs w:val="24"/>
                <w:color w:val="auto"/>
              </w:rPr>
            </w:pPr>
          </w:p>
        </w:tc>
        <w:tc>
          <w:tcPr>
            <w:tcW w:w="700" w:type="dxa"/>
            <w:vAlign w:val="bottom"/>
          </w:tcPr>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11"/>
          </w:tcPr>
          <w:p>
            <w:pPr>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700" w:type="dxa"/>
            <w:vAlign w:val="bottom"/>
          </w:tcPr>
          <w:p>
            <w:pPr>
              <w:jc w:val="right"/>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24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11"/>
          </w:tcPr>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Quantitative and Qualitative Disclosures About Market Risk</w:t>
              </w:r>
            </w:hyperlink>
          </w:p>
        </w:tc>
        <w:tc>
          <w:tcPr>
            <w:tcW w:w="700" w:type="dxa"/>
            <w:vAlign w:val="bottom"/>
          </w:tcPr>
          <w:p>
            <w:pPr>
              <w:jc w:val="right"/>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29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11"/>
          </w:tcPr>
          <w:p>
            <w:pPr>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Controls and Procedures</w:t>
              </w:r>
            </w:hyperlink>
          </w:p>
        </w:tc>
        <w:tc>
          <w:tcPr>
            <w:tcW w:w="700" w:type="dxa"/>
            <w:vAlign w:val="bottom"/>
          </w:tcPr>
          <w:p>
            <w:pPr>
              <w:jc w:val="right"/>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30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11"/>
          </w:tcPr>
          <w:p>
            <w:pPr>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Legal Proceedings</w:t>
              </w:r>
            </w:hyperlink>
          </w:p>
        </w:tc>
        <w:tc>
          <w:tcPr>
            <w:tcW w:w="700" w:type="dxa"/>
            <w:vAlign w:val="bottom"/>
          </w:tcPr>
          <w:p>
            <w:pPr>
              <w:jc w:val="right"/>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31</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11"/>
          </w:tcPr>
          <w:p>
            <w:pPr>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Risk Factors</w:t>
              </w:r>
            </w:hyperlink>
          </w:p>
        </w:tc>
        <w:tc>
          <w:tcPr>
            <w:tcW w:w="700" w:type="dxa"/>
            <w:vAlign w:val="bottom"/>
          </w:tcPr>
          <w:p>
            <w:pPr>
              <w:jc w:val="right"/>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31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11"/>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Unregistered Sales of Equity Securities and Use of Proceeds</w:t>
              </w:r>
            </w:hyperlink>
          </w:p>
        </w:tc>
        <w:tc>
          <w:tcPr>
            <w:tcW w:w="700" w:type="dxa"/>
            <w:vAlign w:val="bottom"/>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11"/>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Defaults Upon Senior Securities</w:t>
              </w:r>
            </w:hyperlink>
          </w:p>
        </w:tc>
        <w:tc>
          <w:tcPr>
            <w:tcW w:w="700" w:type="dxa"/>
            <w:vAlign w:val="bottom"/>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11"/>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Mine Safety Disclosures</w:t>
              </w:r>
            </w:hyperlink>
          </w:p>
        </w:tc>
        <w:tc>
          <w:tcPr>
            <w:tcW w:w="700" w:type="dxa"/>
            <w:vAlign w:val="bottom"/>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11"/>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Other Information</w:t>
              </w:r>
            </w:hyperlink>
          </w:p>
        </w:tc>
        <w:tc>
          <w:tcPr>
            <w:tcW w:w="700" w:type="dxa"/>
            <w:vAlign w:val="bottom"/>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Exhibits</w:t>
            </w:r>
          </w:p>
        </w:tc>
        <w:tc>
          <w:tcPr>
            <w:tcW w:w="700" w:type="dxa"/>
            <w:vAlign w:val="bottom"/>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2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692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340" w:type="dxa"/>
            <w:vAlign w:val="bottom"/>
          </w:tcPr>
          <w:p>
            <w:pPr>
              <w:spacing w:after="0"/>
              <w:rPr>
                <w:sz w:val="24"/>
                <w:szCs w:val="24"/>
                <w:color w:val="auto"/>
              </w:rPr>
            </w:pPr>
          </w:p>
        </w:tc>
        <w:tc>
          <w:tcPr>
            <w:tcW w:w="692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VERICEL CORPORATION</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92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spacing w:after="0"/>
              <w:rPr>
                <w:sz w:val="20"/>
                <w:szCs w:val="20"/>
                <w:color w:val="auto"/>
              </w:rPr>
            </w:pPr>
          </w:p>
        </w:tc>
        <w:tc>
          <w:tcPr>
            <w:tcW w:w="692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(Unaudited, amounts in thousands)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5"/>
        </w:trPr>
        <w:tc>
          <w:tcPr>
            <w:tcW w:w="13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4"/>
                <w:szCs w:val="24"/>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1340" w:type="dxa"/>
            <w:vAlign w:val="bottom"/>
            <w:tcBorders>
              <w:bottom w:val="single" w:sz="8" w:color="CCEEFF"/>
            </w:tcBorders>
          </w:tcPr>
          <w:p>
            <w:pPr>
              <w:spacing w:after="0"/>
              <w:rPr>
                <w:sz w:val="16"/>
                <w:szCs w:val="16"/>
                <w:color w:val="auto"/>
              </w:rPr>
            </w:pPr>
          </w:p>
        </w:tc>
        <w:tc>
          <w:tcPr>
            <w:tcW w:w="69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4"/>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6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26,889</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42,829</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$187 and $306, respectively)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32,168</w:t>
            </w:r>
          </w:p>
        </w:tc>
        <w:tc>
          <w:tcPr>
            <w:tcW w:w="0" w:type="dxa"/>
            <w:vAlign w:val="bottom"/>
          </w:tcPr>
          <w:p>
            <w:pPr>
              <w:spacing w:after="0"/>
              <w:rPr>
                <w:sz w:val="1"/>
                <w:szCs w:val="1"/>
                <w:color w:val="auto"/>
              </w:rPr>
            </w:pPr>
          </w:p>
        </w:tc>
      </w:tr>
      <w:tr>
        <w:trPr>
          <w:trHeight w:val="229"/>
        </w:trPr>
        <w:tc>
          <w:tcPr>
            <w:tcW w:w="1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6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0" w:type="dxa"/>
            <w:vAlign w:val="bottom"/>
          </w:tcPr>
          <w:p>
            <w:pPr>
              <w:spacing w:after="0"/>
              <w:rPr>
                <w:sz w:val="1"/>
                <w:szCs w:val="1"/>
                <w:color w:val="auto"/>
              </w:rPr>
            </w:pPr>
          </w:p>
        </w:tc>
      </w:tr>
      <w:tr>
        <w:trPr>
          <w:trHeight w:val="223"/>
        </w:trPr>
        <w:tc>
          <w:tcPr>
            <w:tcW w:w="8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111,655</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0" w:type="dxa"/>
            <w:vAlign w:val="bottom"/>
          </w:tcPr>
          <w:p>
            <w:pPr>
              <w:spacing w:after="0"/>
              <w:rPr>
                <w:sz w:val="1"/>
                <w:szCs w:val="1"/>
                <w:color w:val="auto"/>
              </w:rPr>
            </w:pPr>
          </w:p>
        </w:tc>
      </w:tr>
      <w:tr>
        <w:trPr>
          <w:trHeight w:val="229"/>
        </w:trPr>
        <w:tc>
          <w:tcPr>
            <w:tcW w:w="1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6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leased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25,103</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0" w:type="dxa"/>
            <w:vAlign w:val="bottom"/>
          </w:tcPr>
          <w:p>
            <w:pPr>
              <w:spacing w:after="0"/>
              <w:rPr>
                <w:sz w:val="1"/>
                <w:szCs w:val="1"/>
                <w:color w:val="auto"/>
              </w:rPr>
            </w:pPr>
          </w:p>
        </w:tc>
      </w:tr>
      <w:tr>
        <w:trPr>
          <w:trHeight w:val="248"/>
        </w:trPr>
        <w:tc>
          <w:tcPr>
            <w:tcW w:w="13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69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Current liabilities:</w:t>
            </w:r>
          </w:p>
        </w:tc>
        <w:tc>
          <w:tcPr>
            <w:tcW w:w="6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69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8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19,795</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8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42,147</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 45,315 and</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502,587</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489,749</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44,864, respectively</w:t>
            </w:r>
          </w:p>
        </w:tc>
        <w:tc>
          <w:tcPr>
            <w:tcW w:w="20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(378,679)</w:t>
            </w:r>
          </w:p>
        </w:tc>
        <w:tc>
          <w:tcPr>
            <w:tcW w:w="0" w:type="dxa"/>
            <w:vAlign w:val="bottom"/>
          </w:tcPr>
          <w:p>
            <w:pPr>
              <w:spacing w:after="0"/>
              <w:rPr>
                <w:sz w:val="1"/>
                <w:szCs w:val="1"/>
                <w:color w:val="auto"/>
              </w:rPr>
            </w:pPr>
          </w:p>
        </w:tc>
      </w:tr>
      <w:tr>
        <w:trPr>
          <w:trHeight w:val="223"/>
        </w:trPr>
        <w:tc>
          <w:tcPr>
            <w:tcW w:w="8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111,091</w:t>
            </w:r>
          </w:p>
        </w:tc>
        <w:tc>
          <w:tcPr>
            <w:tcW w:w="0" w:type="dxa"/>
            <w:vAlign w:val="bottom"/>
          </w:tcPr>
          <w:p>
            <w:pPr>
              <w:spacing w:after="0"/>
              <w:rPr>
                <w:sz w:val="1"/>
                <w:szCs w:val="1"/>
                <w:color w:val="auto"/>
              </w:rPr>
            </w:pPr>
          </w:p>
        </w:tc>
      </w:tr>
      <w:tr>
        <w:trPr>
          <w:trHeight w:val="223"/>
        </w:trPr>
        <w:tc>
          <w:tcPr>
            <w:tcW w:w="8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153,238</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to the Condensed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30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52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31,020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78,460</w:t>
            </w:r>
          </w:p>
        </w:tc>
        <w:tc>
          <w:tcPr>
            <w:tcW w:w="0" w:type="dxa"/>
            <w:vAlign w:val="bottom"/>
          </w:tcPr>
          <w:p>
            <w:pPr>
              <w:spacing w:after="0"/>
              <w:rPr>
                <w:sz w:val="1"/>
                <w:szCs w:val="1"/>
                <w:color w:val="auto"/>
              </w:rPr>
            </w:pPr>
          </w:p>
        </w:tc>
      </w:tr>
      <w:tr>
        <w:trPr>
          <w:trHeight w:val="22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8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32,258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78,950</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26,986</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22,471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51,474</w:t>
            </w:r>
          </w:p>
        </w:tc>
        <w:tc>
          <w:tcPr>
            <w:tcW w:w="0" w:type="dxa"/>
            <w:vAlign w:val="bottom"/>
          </w:tcPr>
          <w:p>
            <w:pPr>
              <w:spacing w:after="0"/>
              <w:rPr>
                <w:sz w:val="1"/>
                <w:szCs w:val="1"/>
                <w:color w:val="auto"/>
              </w:rPr>
            </w:pPr>
          </w:p>
        </w:tc>
      </w:tr>
      <w:tr>
        <w:trPr>
          <w:trHeight w:val="223"/>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16,041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44,761</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18,954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71,935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30"/>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income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income (loss) per share attributable to common shareholders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00" w:type="dxa"/>
            <w:vAlign w:val="bottom"/>
            <w:vMerge w:val="continue"/>
          </w:tcPr>
          <w:p>
            <w:pPr>
              <w:spacing w:after="0"/>
              <w:rPr>
                <w:sz w:val="10"/>
                <w:szCs w:val="10"/>
                <w:color w:val="auto"/>
              </w:rPr>
            </w:pPr>
          </w:p>
        </w:tc>
        <w:tc>
          <w:tcPr>
            <w:tcW w:w="860" w:type="dxa"/>
            <w:vAlign w:val="bottom"/>
            <w:vMerge w:val="restart"/>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0"/>
                <w:szCs w:val="10"/>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8"/>
        </w:trPr>
        <w:tc>
          <w:tcPr>
            <w:tcW w:w="52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86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45,272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income (loss) per share attributable to common shareholders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00" w:type="dxa"/>
            <w:vAlign w:val="bottom"/>
            <w:vMerge w:val="continue"/>
          </w:tcPr>
          <w:p>
            <w:pPr>
              <w:spacing w:after="0"/>
              <w:rPr>
                <w:sz w:val="10"/>
                <w:szCs w:val="10"/>
                <w:color w:val="auto"/>
              </w:rPr>
            </w:pPr>
          </w:p>
        </w:tc>
        <w:tc>
          <w:tcPr>
            <w:tcW w:w="860" w:type="dxa"/>
            <w:vAlign w:val="bottom"/>
            <w:vMerge w:val="restart"/>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0"/>
                <w:szCs w:val="10"/>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8"/>
        </w:trPr>
        <w:tc>
          <w:tcPr>
            <w:tcW w:w="52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86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(Diluted)</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47,314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to the Condensed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 w:name="page5"/>
    <w:bookmarkEnd w:id="4"/>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r>
        <w:rPr>
          <w:rFonts w:ascii="Times New Roman" w:cs="Times New Roman" w:eastAsia="Times New Roman" w:hAnsi="Times New Roman"/>
          <w:sz w:val="18"/>
          <w:szCs w:val="18"/>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44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w:t>
            </w:r>
          </w:p>
        </w:tc>
      </w:tr>
      <w:tr>
        <w:trPr>
          <w:trHeight w:val="229"/>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(19,137)</w:t>
            </w:r>
          </w:p>
        </w:tc>
      </w:tr>
      <w:tr>
        <w:trPr>
          <w:trHeight w:val="21"/>
        </w:trPr>
        <w:tc>
          <w:tcPr>
            <w:tcW w:w="4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accompanying Notes to the Condensed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887" w:right="619" w:bottom="1440" w:gutter="0" w:footer="0" w:header="0"/>
        </w:sectPr>
      </w:pPr>
    </w:p>
    <w:bookmarkStart w:id="5" w:name="page6"/>
    <w:bookmarkEnd w:id="5"/>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300" w:type="dxa"/>
            <w:vAlign w:val="bottom"/>
          </w:tcPr>
          <w:p>
            <w:pPr>
              <w:spacing w:after="0"/>
              <w:rPr>
                <w:sz w:val="17"/>
                <w:szCs w:val="17"/>
                <w:color w:val="auto"/>
              </w:rPr>
            </w:pPr>
          </w:p>
        </w:tc>
        <w:tc>
          <w:tcPr>
            <w:tcW w:w="238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7"/>
                <w:szCs w:val="17"/>
                <w:color w:val="auto"/>
              </w:rPr>
            </w:pP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5"/>
        </w:trPr>
        <w:tc>
          <w:tcPr>
            <w:tcW w:w="3300" w:type="dxa"/>
            <w:vAlign w:val="bottom"/>
          </w:tcPr>
          <w:p>
            <w:pPr>
              <w:spacing w:after="0"/>
              <w:rPr>
                <w:sz w:val="10"/>
                <w:szCs w:val="10"/>
                <w:color w:val="auto"/>
              </w:rPr>
            </w:pPr>
          </w:p>
        </w:tc>
        <w:tc>
          <w:tcPr>
            <w:tcW w:w="12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0"/>
                <w:szCs w:val="10"/>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0"/>
                <w:szCs w:val="10"/>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0"/>
                <w:szCs w:val="10"/>
                <w:color w:val="auto"/>
              </w:rPr>
            </w:pPr>
          </w:p>
        </w:tc>
        <w:tc>
          <w:tcPr>
            <w:tcW w:w="1360" w:type="dxa"/>
            <w:vAlign w:val="bottom"/>
            <w:gridSpan w:val="2"/>
          </w:tcPr>
          <w:p>
            <w:pPr>
              <w:jc w:val="center"/>
              <w:ind w:right="320"/>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0"/>
                <w:szCs w:val="10"/>
                <w:color w:val="auto"/>
              </w:rPr>
            </w:pPr>
          </w:p>
        </w:tc>
        <w:tc>
          <w:tcPr>
            <w:tcW w:w="1200" w:type="dxa"/>
            <w:vAlign w:val="bottom"/>
            <w:gridSpan w:val="2"/>
          </w:tcPr>
          <w:p>
            <w:pPr>
              <w:jc w:val="center"/>
              <w:ind w:right="32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080" w:type="dxa"/>
            <w:vAlign w:val="bottom"/>
          </w:tcPr>
          <w:p>
            <w:pPr>
              <w:jc w:val="center"/>
              <w:ind w:right="60"/>
              <w:spacing w:after="0" w:line="11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4"/>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2019</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489,749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(378,679)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111,091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00" w:type="dxa"/>
            <w:vAlign w:val="bottom"/>
            <w:tcBorders>
              <w:top w:val="single" w:sz="8" w:color="CCEEFF"/>
            </w:tcBorders>
            <w:vMerge w:val="continue"/>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(4,705)</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(4,705)</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Compensation expense related to stock options</w:t>
            </w: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and restricted stock units granted, net of</w:t>
            </w:r>
          </w:p>
        </w:tc>
        <w:tc>
          <w:tcPr>
            <w:tcW w:w="12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2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Shares issued under the Employee Stock Purchase</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stock upon restricted stock unit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w:t>
            </w:r>
          </w:p>
        </w:tc>
        <w:tc>
          <w:tcPr>
            <w:tcW w:w="1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 withheld for employee tax</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remittance</w:t>
            </w:r>
          </w:p>
        </w:tc>
        <w:tc>
          <w:tcPr>
            <w:tcW w:w="1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2020</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493,774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(383,384)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110,452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00" w:type="dxa"/>
            <w:vAlign w:val="bottom"/>
            <w:tcBorders>
              <w:top w:val="single" w:sz="8" w:color="CCEEFF"/>
            </w:tcBorders>
            <w:vMerge w:val="continue"/>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(8,269)</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(8,269)</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Compensation expense related to stock options</w:t>
            </w: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and restricted stock units granted, net of</w:t>
            </w:r>
          </w:p>
        </w:tc>
        <w:tc>
          <w:tcPr>
            <w:tcW w:w="12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2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Shares issued under the Employee Stock Purchase</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2020</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45,194</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499,103</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(391,653)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107,596</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3,618</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Compensation expense related to stock options</w:t>
            </w: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and restricted stock units granted, net of</w:t>
            </w:r>
          </w:p>
        </w:tc>
        <w:tc>
          <w:tcPr>
            <w:tcW w:w="12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issued under the Employee Stock Purchase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SEPTEMBER 30, 2020</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45,315</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502,587</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(388,035)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114,630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3385820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887" w:right="379" w:bottom="1440" w:gutter="0" w:footer="0" w:header="0"/>
        </w:sectPr>
      </w:pPr>
    </w:p>
    <w:bookmarkStart w:id="6" w:name="page7"/>
    <w:bookmarkEnd w:id="6"/>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00" w:type="dxa"/>
            <w:vAlign w:val="bottom"/>
          </w:tcPr>
          <w:p>
            <w:pPr>
              <w:spacing w:after="0"/>
              <w:rPr>
                <w:sz w:val="16"/>
                <w:szCs w:val="16"/>
                <w:color w:val="auto"/>
              </w:rPr>
            </w:pPr>
          </w:p>
        </w:tc>
        <w:tc>
          <w:tcPr>
            <w:tcW w:w="25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4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2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1"/>
                <w:szCs w:val="11"/>
                <w:color w:val="auto"/>
              </w:rPr>
            </w:pP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5"/>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2018</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471,180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102,231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Compensation expense related to stock options</w:t>
            </w: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and restricted stock units granted, net of</w:t>
            </w:r>
          </w:p>
        </w:tc>
        <w:tc>
          <w:tcPr>
            <w:tcW w:w="12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forfeitures</w:t>
            </w:r>
          </w:p>
        </w:tc>
        <w:tc>
          <w:tcPr>
            <w:tcW w:w="12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Shares issued under the Employee Stock Purchase</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w:t>
            </w:r>
          </w:p>
        </w:tc>
        <w:tc>
          <w:tcPr>
            <w:tcW w:w="1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2019</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474,806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(371,858)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103,055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(19,792)</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(19,792)</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Compensation expense related to stock options</w:t>
            </w: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and restricted stock units granted, net of</w:t>
            </w:r>
          </w:p>
        </w:tc>
        <w:tc>
          <w:tcPr>
            <w:tcW w:w="12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forfeitures</w:t>
            </w:r>
          </w:p>
        </w:tc>
        <w:tc>
          <w:tcPr>
            <w:tcW w:w="12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Shares issued under the Employee Stock Purchase</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w:t>
            </w:r>
          </w:p>
        </w:tc>
        <w:tc>
          <w:tcPr>
            <w:tcW w:w="1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2019</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480,050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88,542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Compensation expense related to stock options</w:t>
            </w: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and restricted stock units granted, net of</w:t>
            </w:r>
          </w:p>
        </w:tc>
        <w:tc>
          <w:tcPr>
            <w:tcW w:w="12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forfeitures</w:t>
            </w:r>
          </w:p>
        </w:tc>
        <w:tc>
          <w:tcPr>
            <w:tcW w:w="12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Shares issued under the Employee Stock Purchase</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w:t>
            </w:r>
          </w:p>
        </w:tc>
        <w:tc>
          <w:tcPr>
            <w:tcW w:w="1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Exercise of warrants resulting in issuance of</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1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BALANCE, SEPTEMBER 30, 2019</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44,520</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485,141</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(388,180)</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96,990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3848735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w:t>
            </w:r>
          </w:p>
        </w:tc>
      </w:tr>
      <w:tr>
        <w:trPr>
          <w:trHeight w:val="230"/>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for) operating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30"/>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r>
      <w:tr>
        <w:trPr>
          <w:trHeight w:val="229"/>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sale of fixed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9"/>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and interest accretion related to operating leases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r>
      <w:tr>
        <w:trPr>
          <w:trHeight w:val="229"/>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r>
      <w:tr>
        <w:trPr>
          <w:trHeight w:val="229"/>
        </w:trPr>
        <w:tc>
          <w:tcPr>
            <w:tcW w:w="8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r>
      <w:tr>
        <w:trPr>
          <w:trHeight w:val="230"/>
        </w:trPr>
        <w:tc>
          <w:tcPr>
            <w:tcW w:w="8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8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29"/>
        </w:trPr>
        <w:tc>
          <w:tcPr>
            <w:tcW w:w="8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r>
      <w:tr>
        <w:trPr>
          <w:trHeight w:val="229"/>
        </w:trPr>
        <w:tc>
          <w:tcPr>
            <w:tcW w:w="8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non-current assets and liabilities,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(46,303)</w:t>
            </w:r>
          </w:p>
        </w:tc>
      </w:tr>
      <w:tr>
        <w:trPr>
          <w:trHeight w:val="230"/>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73,777</w:t>
            </w:r>
          </w:p>
        </w:tc>
      </w:tr>
      <w:tr>
        <w:trPr>
          <w:trHeight w:val="229"/>
        </w:trPr>
        <w:tc>
          <w:tcPr>
            <w:tcW w:w="8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23"/>
        </w:trPr>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proceeds from common stock issuance due to stock option exercises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r>
      <w:tr>
        <w:trPr>
          <w:trHeight w:val="230"/>
        </w:trPr>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employee's behalf for taxes related to vesting of restricted stock unit awards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18,619</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to the Condensed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30" w:right="3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243"/>
        <w:spacing w:after="0" w:line="241" w:lineRule="auto"/>
        <w:rPr>
          <w:sz w:val="20"/>
          <w:szCs w:val="20"/>
          <w:color w:val="auto"/>
        </w:rPr>
      </w:pPr>
      <w:r>
        <w:rPr>
          <w:rFonts w:ascii="Times New Roman" w:cs="Times New Roman" w:eastAsia="Times New Roman" w:hAnsi="Times New Roman"/>
          <w:sz w:val="18"/>
          <w:szCs w:val="18"/>
          <w:color w:val="auto"/>
        </w:rPr>
        <w:t>Vericel Corporation, a Michigan corporation (together with its consolidated subsidiaries referred to herein as the Company, Vericel, we, us or our), was incorporated in March 1989 and began employee-based operations in 1991. The Company is a fully-integrated, commercial-stage biopharmaceutical company and is a leader in advanced therapies for the sports medicine and severe burn care markets. Vericel currently markets two cell therapy products in the United States,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Vericel obtained both products in May 2014, as part of the acquisition of certain assets and the assumption of certain liabilities of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(Sanofi).</w:t>
      </w:r>
    </w:p>
    <w:p>
      <w:pPr>
        <w:spacing w:after="0" w:line="223" w:lineRule="exact"/>
        <w:rPr>
          <w:sz w:val="20"/>
          <w:szCs w:val="20"/>
          <w:color w:val="auto"/>
        </w:rPr>
      </w:pPr>
    </w:p>
    <w:p>
      <w:pPr>
        <w:jc w:val="both"/>
        <w:ind w:firstLine="243"/>
        <w:spacing w:after="0" w:line="207" w:lineRule="auto"/>
        <w:rPr>
          <w:sz w:val="20"/>
          <w:szCs w:val="20"/>
          <w:color w:val="auto"/>
        </w:rPr>
      </w:pPr>
      <w:r>
        <w:rPr>
          <w:rFonts w:ascii="Times New Roman" w:cs="Times New Roman" w:eastAsia="Times New Roman" w:hAnsi="Times New Roman"/>
          <w:sz w:val="18"/>
          <w:szCs w:val="18"/>
          <w:color w:val="auto"/>
        </w:rPr>
        <w:t>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(cultured epidermal autografts) is a permanent skin replacement for the treatment of adult and pediatric patients with deep-dermal or full-thickness burns comprising greater than or equal to 30 percent of total body surface area (TBSA). The Company also holds an exclusive license from MediWound Ltd. (MediWound) for North American rights to NexoBrid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a registration-stage biological orphan product for debridement of severe thermal burns. The Company operates its business primarily in the U.S. in one reportable segment — the research, product development, manufacture and distribution of biopharmaceuticals for use in the treatment of specific diseases.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pandemic caused by the spread of a novel strain of coronavirus (COVID-19) has created significant volatility, uncertainty, and economic disruption in both domestic and international markets. The virus was first reported in China and rapidly spread globally. The World Health Organization (WHO) declared the outbreak a pandemic on March 11, 2020, and the President of the United States declared a national health emergency immediately thereafter. Following the President’s declaration, state governments, including those in Massachusetts and Michigan where the Company’s operations are located, began issuing orders requiring businesses that do not conduct essential services to temporarily close their physical workplaces to employees and customers. The status and application of those orders have varied on a state-by-state basis. Because Vericel is deemed an essential business, the Company continues to be exempt from such state orders in their current forms.</w:t>
      </w:r>
    </w:p>
    <w:p>
      <w:pPr>
        <w:spacing w:after="0" w:line="21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Notwithstanding being an essential business, the Company’s business and operations have been adversely impacted by the effects of COVID-19. In mid-March, the American College of Surgeons and United States Surgeon General recommended that each hospital, health system, and surgeon minimize, postpone, or cancel electively scheduled surgeries. These recommendations were followed by numerous state level executive orders either restricting or partially restricting elective surgeries. Because MACI is an elective surgical procedure, as a result of these restrictions, beginning in mid-March 2020, the Company began to experience a significant increase in cancellations of scheduled MACI procedures as well as a slowdown in new MACI orders. By early April 2020, 45 states, representing over 95% of total U.S. surgical capacity had issued either mandates or recommendations and guidelines suspending elective surgical procedures. The widespread suspension of elective procedures impacted the Company’s business and operations during the first and second quarters of 2020. These restrictions began to ease in May and, by the end of September 2020, there were no state orders in place that directly impacted a surgeon's or patient's ability to move forward with a MACI surgery. Because Epicel is used almost exclusively in the emergent setting by burn centers and surgeons throughout the country, Epicel revenue and procedure volumes have been less affected by the pandemic. Although hospitals are now better prepared for a subsequent surge in COVID-19 patients, the risk remains that regional or local restrictions could again be placed on the performance of elective surgical procedures if the number of COVID-19 infections in the United States continues to rise.</w:t>
      </w:r>
    </w:p>
    <w:p>
      <w:pPr>
        <w:spacing w:after="0" w:line="21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March 2020, the Company put in place a comprehensive workplace protection plan, which institutes protective measures in response to COVID-19. These measures include mandatory employee training on social distancing and hygiene protocols, conducting daily health screenings of all employees, vendors and visitors entering our facilities, canceling all international business travel, limiting domestic business travel to essential purposes, requesting that employees limit non-essential personal travel, enhancing our facilities’ janitorial and sanitary procedures, making certain physical modifications and enhancements to our facilities to enable effective social distancing among employees, providing certain personal protective equipment to employees working in our offices, encouraging employees to work from home to the extent their job function enables them to do so, limiting third-party access to our facilities, encouraging the use of virtual employee meetings, modifying the manner and schedule of on-site production activities, and providing guidance to our field-based commercial teams concerning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communications and contact with customers and healthcare professionals. The Company is reviewing these measures regularly as the pandemic evolves and may take additional actions to the extent required.</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222222"/>
        </w:rPr>
        <w:t>Going Concern</w:t>
      </w:r>
    </w:p>
    <w:p>
      <w:pPr>
        <w:spacing w:after="0" w:line="229" w:lineRule="exact"/>
        <w:rPr>
          <w:sz w:val="20"/>
          <w:szCs w:val="20"/>
          <w:color w:val="auto"/>
        </w:rPr>
      </w:pPr>
    </w:p>
    <w:p>
      <w:pPr>
        <w:jc w:val="both"/>
        <w:ind w:firstLine="243"/>
        <w:spacing w:after="0" w:line="238" w:lineRule="auto"/>
        <w:rPr>
          <w:sz w:val="20"/>
          <w:szCs w:val="20"/>
          <w:color w:val="auto"/>
        </w:rPr>
      </w:pPr>
      <w:r>
        <w:rPr>
          <w:rFonts w:ascii="Times New Roman" w:cs="Times New Roman" w:eastAsia="Times New Roman" w:hAnsi="Times New Roman"/>
          <w:sz w:val="18"/>
          <w:szCs w:val="18"/>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For the three and nine months ended </w:t>
      </w:r>
      <w:r>
        <w:rPr>
          <w:rFonts w:ascii="Times New Roman" w:cs="Times New Roman" w:eastAsia="Times New Roman" w:hAnsi="Times New Roman"/>
          <w:sz w:val="18"/>
          <w:szCs w:val="18"/>
          <w:color w:val="000000"/>
        </w:rPr>
        <w:t>September 30, 2020, the Company had</w:t>
      </w:r>
      <w:r>
        <w:rPr>
          <w:rFonts w:ascii="Times New Roman" w:cs="Times New Roman" w:eastAsia="Times New Roman" w:hAnsi="Times New Roman"/>
          <w:sz w:val="18"/>
          <w:szCs w:val="18"/>
          <w:color w:val="222222"/>
        </w:rPr>
        <w:t xml:space="preserve"> net income of $3.6 million and a net loss of $9.4 million, respectively, and had an accumulated deficit of $388.0 million as of September 30, 2020. The Company had cash and cash equivalents of $43.5 million and investments of $42.0 million as of September 30, 2020. The Company expects that existing cash, cash equivalents and investments will be sufficient to support the </w:t>
      </w:r>
      <w:r>
        <w:rPr>
          <w:rFonts w:ascii="Times New Roman" w:cs="Times New Roman" w:eastAsia="Times New Roman" w:hAnsi="Times New Roman"/>
          <w:sz w:val="18"/>
          <w:szCs w:val="18"/>
          <w:color w:val="000000"/>
        </w:rPr>
        <w:t>Company’s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current operations through at least 12 months from the issuance of these financial statements. However, the effects of the COVID-19 pandemic continue to evolve and may result in irrecoverable losses of customers and significantly impact long-term liquidity requiring the Company to engage in layoffs, furloughs and/or reductions in salaries. </w:t>
      </w:r>
      <w:r>
        <w:rPr>
          <w:rFonts w:ascii="Times New Roman" w:cs="Times New Roman" w:eastAsia="Times New Roman" w:hAnsi="Times New Roman"/>
          <w:sz w:val="18"/>
          <w:szCs w:val="18"/>
          <w:color w:val="263238"/>
        </w:rPr>
        <w:t>To the extent the United States experiences a resurgence in COVID-19 infections and elective surgery restrictions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63238"/>
        </w:rPr>
        <w:t xml:space="preserve">are reinstated on a widespread basis and significantly impact </w:t>
      </w:r>
      <w:r>
        <w:rPr>
          <w:rFonts w:ascii="Times New Roman" w:cs="Times New Roman" w:eastAsia="Times New Roman" w:hAnsi="Times New Roman"/>
          <w:sz w:val="18"/>
          <w:szCs w:val="18"/>
          <w:color w:val="000000"/>
        </w:rPr>
        <w:t>the Company’s business, the Company may need to a</w:t>
      </w:r>
      <w:r>
        <w:rPr>
          <w:rFonts w:ascii="Times New Roman" w:cs="Times New Roman" w:eastAsia="Times New Roman" w:hAnsi="Times New Roman"/>
          <w:sz w:val="18"/>
          <w:szCs w:val="18"/>
          <w:color w:val="222222"/>
        </w:rPr>
        <w:t>ccess additional capital; however, the</w:t>
      </w:r>
      <w:r>
        <w:rPr>
          <w:rFonts w:ascii="Times New Roman" w:cs="Times New Roman" w:eastAsia="Times New Roman" w:hAnsi="Times New Roman"/>
          <w:sz w:val="18"/>
          <w:szCs w:val="18"/>
          <w:color w:val="263238"/>
        </w:rPr>
        <w:t xml:space="preserve"> </w:t>
      </w:r>
      <w:r>
        <w:rPr>
          <w:rFonts w:ascii="Times New Roman" w:cs="Times New Roman" w:eastAsia="Times New Roman" w:hAnsi="Times New Roman"/>
          <w:sz w:val="18"/>
          <w:szCs w:val="18"/>
          <w:color w:val="222222"/>
        </w:rPr>
        <w:t xml:space="preserve">Company may not be able to obtain financing on acceptable terms or at all, particularly in light of the impact of COVID-19 on the global economy and financial markets. The terms of any financing may adversely affect the holdings or the rights of the </w:t>
      </w:r>
      <w:r>
        <w:rPr>
          <w:rFonts w:ascii="Times New Roman" w:cs="Times New Roman" w:eastAsia="Times New Roman" w:hAnsi="Times New Roman"/>
          <w:sz w:val="18"/>
          <w:szCs w:val="18"/>
          <w:color w:val="000000"/>
        </w:rPr>
        <w:t>Company’s</w:t>
      </w:r>
      <w:r>
        <w:rPr>
          <w:rFonts w:ascii="Times New Roman" w:cs="Times New Roman" w:eastAsia="Times New Roman" w:hAnsi="Times New Roman"/>
          <w:sz w:val="18"/>
          <w:szCs w:val="18"/>
          <w:color w:val="222222"/>
        </w:rPr>
        <w:t xml:space="preserve"> shareholders.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31"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as of September 30, 2020 and for the </w:t>
      </w:r>
      <w:r>
        <w:rPr>
          <w:rFonts w:ascii="Times New Roman" w:cs="Times New Roman" w:eastAsia="Times New Roman" w:hAnsi="Times New Roman"/>
          <w:sz w:val="18"/>
          <w:szCs w:val="18"/>
          <w:color w:val="222222"/>
        </w:rPr>
        <w:t>three and nine months ended</w:t>
      </w:r>
      <w:r>
        <w:rPr>
          <w:rFonts w:ascii="Times New Roman" w:cs="Times New Roman" w:eastAsia="Times New Roman" w:hAnsi="Times New Roman"/>
          <w:sz w:val="18"/>
          <w:szCs w:val="18"/>
          <w:color w:val="auto"/>
        </w:rPr>
        <w:t xml:space="preserve"> September 30, 2020 are unaudited and have been prepared in accordance with the rules and regulations of the U.S. Securities and Exchange Commission (SEC). The preparation of condensed consolidated financial statements in conformity with U.S. generally accepted accounting principles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We base our estimates on historical experience and on various other assumptions that we believe are reasonable, the results of which form the basis for making judgments about the carrying values of assets, liabilities and equity and the amount of revenues and expenses. The full extent to which the COVID-19 pandemic will continue to directly or indirectly impact our business, results of operations and financial condition, including sales,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continue to contain or treat COVID-19, as well as the economic impact on our customers. We have made estimates of the impact of COVID-19 within our financial statements and there may be changes to those estimates in future periods. Actual results may differ from these estimates. As of September 30, 2020, the Company has not recorded impairments to investments, inventory, other current assets or long-lived assets as a result of the COVID-19 pandemic and does not expect material impairments in the future. The Company has assessed the impact of COVID-19 on accounts receivables (see note 4).</w:t>
      </w:r>
    </w:p>
    <w:p>
      <w:pPr>
        <w:spacing w:after="0" w:line="19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the notes thereto included in our Annual Report on Form 10-K for the year ended December 31, 2019, as filed with the SEC on February 25, 2020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688340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Consolidated Statement of Cash Flows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certain supplementary cash flows information for the nine months ended September 30, 2020 and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Supplementary Cash Flows information:</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information:</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 and lease liability recognized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r>
      <w:tr>
        <w:trPr>
          <w:trHeight w:val="229"/>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to property, plant and equipment included in accounts payable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Warrants exercised for common stock</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information:</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paid (net of interest capitalized)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306" w:lineRule="exact"/>
        <w:rPr>
          <w:sz w:val="20"/>
          <w:szCs w:val="20"/>
          <w:color w:val="auto"/>
        </w:rPr>
      </w:pPr>
    </w:p>
    <w:p>
      <w:pPr>
        <w:jc w:val="both"/>
        <w:ind w:right="160" w:firstLine="243"/>
        <w:spacing w:after="0" w:line="266" w:lineRule="auto"/>
        <w:rPr>
          <w:sz w:val="20"/>
          <w:szCs w:val="20"/>
          <w:color w:val="auto"/>
        </w:rPr>
      </w:pPr>
      <w:r>
        <w:rPr>
          <w:rFonts w:ascii="Times New Roman" w:cs="Times New Roman" w:eastAsia="Times New Roman" w:hAnsi="Times New Roman"/>
          <w:sz w:val="18"/>
          <w:szCs w:val="18"/>
          <w:color w:val="auto"/>
        </w:rPr>
        <w:t>Total cash, cash equivalents, and restricted cash of $43.7 million as of September 30, 2020, shown in the statement of cash flows is comprised of cash and cash equivalents of $43.5 million and restricted cash of $0.2 million which is included in other long-term assets on the consolidated balance sheet. As of September 30, 2019, cash and cash equivalents were $36.9 million and the Company did not have any restricted cash.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Measuring Credit Losses on Financial Instruments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FASB issued updated guidance on measuring credit losses on financial instruments. The guidance removes the thresholds that companies apply to measure credit losses on financial instruments measured at amortized cost, such as loans, receivables, and held-to-maturity debt securities. Prior to the updated guidance, credit losses were recognized when it was probable that the loss had been incurred. The revised guidance removes all recognition thresholds and requires companies to recognize an allowance for credit losses for the difference between the amortized cost basis of a financial instrument and the amount of amortized cost that a company expected to collect over the instrument’s contractual life. The Accounting Standard Update (ASU)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became effective for the Company January 1, 2020. See note 4 and note 8 for further discussion.</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Fair Value Measurement Disclosure</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FASB issued updated guidance through ASU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Requirements for Fair Value Measurement. </w:t>
      </w:r>
      <w:r>
        <w:rPr>
          <w:rFonts w:ascii="Times New Roman" w:cs="Times New Roman" w:eastAsia="Times New Roman" w:hAnsi="Times New Roman"/>
          <w:sz w:val="18"/>
          <w:szCs w:val="18"/>
          <w:color w:val="auto"/>
        </w:rPr>
        <w:t>The revised guidance created a more consistent disclosure framework that increased clarity and removed,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modified and added certain fair value disclosures to improve the effectiveness of the Company’s disclosures in the notes of the financial statements. This guidance became effective for the Company January 1, 2020 and had no impact on its condensed consolidated financial statements.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Simplifying the Accounting for Income Taxes</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Simplifying the Accounting for Income Taxes (ASC 740).</w:t>
      </w:r>
      <w:r>
        <w:rPr>
          <w:rFonts w:ascii="Times New Roman" w:cs="Times New Roman" w:eastAsia="Times New Roman" w:hAnsi="Times New Roman"/>
          <w:sz w:val="18"/>
          <w:szCs w:val="18"/>
          <w:color w:val="auto"/>
        </w:rPr>
        <w:t xml:space="preserve"> The ASU enhances and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is effective for the Company for annual and interim periods beginning after December 31, 2020; however, early adoption is permitted. The Company is currently in the process of evaluating the impact on its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of Net Product Sales and Other Revenue</w:t>
      </w:r>
    </w:p>
    <w:p>
      <w:pPr>
        <w:spacing w:after="0" w:line="17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recognizes product revenue from sales of MACI biopsy kits, MACI implants, Epicel grafts and other revenue following the five-step model in Accounting Standards Codification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MACI Biopsy Kits</w:t>
      </w:r>
    </w:p>
    <w:p>
      <w:pPr>
        <w:spacing w:after="0" w:line="17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MACI biopsy kits are sold directly to hospitals based on contracted rates in an approved contract or sales order. The Company recognizes MACI kit revenue upon delivery of the biopsy kit, at which time the customer (the facility) is in control of the kit. The kit is used by the doctor to provide a sample of cartilage tissue to the Company, which can later be used to manufacture a MACI implant. The ordering of the kit does not obligate the Company to manufacture an implant nor does the receipt of the cartilage tissue. The customer’s order of an implant is separate from the process of ordering the biopsy kit. Therefore, the sale of the biopsy kit and any subsequent sale of an implant are distinct contracts and are accounted for separately.</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173" w:lineRule="exact"/>
        <w:rPr>
          <w:sz w:val="20"/>
          <w:szCs w:val="20"/>
          <w:color w:val="auto"/>
        </w:rPr>
      </w:pPr>
    </w:p>
    <w:p>
      <w:pPr>
        <w:jc w:val="both"/>
        <w:ind w:firstLine="202"/>
        <w:spacing w:after="0" w:line="256" w:lineRule="auto"/>
        <w:rPr>
          <w:sz w:val="20"/>
          <w:szCs w:val="20"/>
          <w:color w:val="auto"/>
        </w:rPr>
      </w:pPr>
      <w:r>
        <w:rPr>
          <w:rFonts w:ascii="Times New Roman" w:cs="Times New Roman" w:eastAsia="Times New Roman" w:hAnsi="Times New Roman"/>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both specialty pharmacies a fee for each patient to whom MACI is dispensed. Both Orsini and AllCare perform collection activities to collect payment from customers. The Company has engaged a third-party to provide services in connection with a patient support program to manage patient cases and to ensure complete and correct billing information is provided to the insurers and hospitals. In addition, the Company also sells MACI directly to DMS Pharmaceutical (DMS) for military patients. The sales directly to DMS are made at a contracted rate.</w:t>
      </w:r>
    </w:p>
    <w:p>
      <w:pPr>
        <w:spacing w:after="0" w:line="214" w:lineRule="exact"/>
        <w:rPr>
          <w:sz w:val="20"/>
          <w:szCs w:val="20"/>
          <w:color w:val="auto"/>
        </w:rPr>
      </w:pPr>
    </w:p>
    <w:p>
      <w:pPr>
        <w:jc w:val="both"/>
        <w:ind w:right="20" w:firstLine="243"/>
        <w:spacing w:after="0" w:line="258"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product to a patient. The Company recognizes product revenues from sales of all MACI implants upon delivery at which time the customer obtains control of the implant and the claim is billable. The total consideration which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210"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 xml:space="preserve">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or a fee schedule.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Times New Roman" w:cs="Times New Roman" w:eastAsia="Times New Roman" w:hAnsi="Times New Roman"/>
          <w:sz w:val="18"/>
          <w:szCs w:val="18"/>
          <w:i w:val="1"/>
          <w:iCs w:val="1"/>
          <w:color w:val="auto"/>
        </w:rPr>
        <w:t>ASC 326, Financial Instruments - Credit Losses.</w:t>
      </w:r>
      <w:r>
        <w:rPr>
          <w:rFonts w:ascii="Times New Roman" w:cs="Times New Roman" w:eastAsia="Times New Roman" w:hAnsi="Times New Roman"/>
          <w:sz w:val="18"/>
          <w:szCs w:val="18"/>
          <w:color w:val="auto"/>
        </w:rPr>
        <w:t xml:space="preserve"> The Company assesses risk and determines a loss percentage by pooling account receivables based on similar risk characteristics. The loss percentage is based on current and historical information as well as reasonable and supportable forecasts. This loss percentage was applied to the accounts receivables as of September 30, 2020. The total allowance for uncollectible consideration as of September 30, 2020 and December 31, 2019 was $4.6 million and $3.9 million, respectively. The allowance includes less than $0.1 million related to COVID-19 potential impacts on accounts receivable from third-party insurers, government payers, hospitals and patients. Changes to the estimate of the amount of consideration that will not be collected could have a material impact to the revenue recognized. A 0.5% increase to the estimated uncollectible percentage could result in approximately a $0.2 million decrease in the revenue recognized for the nine months ended September 30, 2020.</w:t>
      </w:r>
    </w:p>
    <w:p>
      <w:pPr>
        <w:spacing w:after="0" w:line="22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in estimates related to prior period sales for the three and nine months ended September 30, 2020 resulted in an increase to revenue of less than $0.01 million and $0.7 million, respectively. During the same periods in 2019, the changes in estimates related to prior period sales resulted in an increase to revenue of $0.7 million and $0.4 million, respectively. The changes in estimates recorded during the three and nine months ended September 30, 2020, were primarily due to completion of the billing claims process for implants that occurred in 2019. Upon completion of the billing claims process, the Company concluded that it was probable that a significant reversal in the amount of revenue recognized would not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ind w:left="260"/>
        <w:spacing w:after="0"/>
        <w:rPr>
          <w:sz w:val="20"/>
          <w:szCs w:val="20"/>
          <w:color w:val="auto"/>
        </w:rPr>
      </w:pPr>
      <w:r>
        <w:rPr>
          <w:rFonts w:ascii="Times New Roman" w:cs="Times New Roman" w:eastAsia="Times New Roman" w:hAnsi="Times New Roman"/>
          <w:sz w:val="18"/>
          <w:szCs w:val="18"/>
          <w:i w:val="1"/>
          <w:iCs w:val="1"/>
          <w:color w:val="auto"/>
        </w:rPr>
        <w:t>Epicel</w:t>
      </w:r>
    </w:p>
    <w:p>
      <w:pPr>
        <w:spacing w:after="0" w:line="17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sells Epicel directly to hospitals based on contracted rates stated in an approved contract or purchase order. Similar to MACI, there is no obligation to manufacture Epicel grafts upon receipt of a skin biopsy, and Vericel has no contractual right to receive payment until the product is delivered to the hospital. The Company recognizes product revenues from sales of Epicel upon delivery to the hospital, at which time the customer is in control of the Epicel grafts and the claim is billable to the hospital.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NexoBrid</w:t>
      </w:r>
    </w:p>
    <w:p>
      <w:pPr>
        <w:spacing w:after="0" w:line="17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entered into exclusive license and supply agreements with MediWound, under which MediWound will manufacture and supply NexoBrid on a unit price basis, which may be increased pursuant to the terms of the agreement. The U.S. Biomedical Advanced Research and Development Authority (BARDA) has committed to procure NexoBrid. As of September 30, 2020, the Company does not hold a direct contract or distribution agreement with BARDA, or take title to the product. The Company recognizes income from sales of NexoBrid to BARDA upon delivery, at which time BARDA is in control of the product. During the three months ended September 30, 2020, the first order of NexoBrid was delivered and the Company recognized $1.2 million of revenue. See note 11 for further discussion of the NexoBrid license and supply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773430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3" w:name="page14"/>
    <w:bookmarkEnd w:id="13"/>
    <w:p>
      <w:pPr>
        <w:ind w:left="260"/>
        <w:spacing w:after="0"/>
        <w:rPr>
          <w:sz w:val="20"/>
          <w:szCs w:val="20"/>
          <w:color w:val="auto"/>
        </w:rPr>
      </w:pPr>
      <w:r>
        <w:rPr>
          <w:rFonts w:ascii="Times New Roman" w:cs="Times New Roman" w:eastAsia="Times New Roman" w:hAnsi="Times New Roman"/>
          <w:sz w:val="18"/>
          <w:szCs w:val="18"/>
          <w:i w:val="1"/>
          <w:iCs w:val="1"/>
          <w:color w:val="auto"/>
        </w:rPr>
        <w:t>Revenue by Product and Customer</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and description below shows the products from which the Company generated its revenue:</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 implants and kits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3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Implants based on contracted rate sold through a specialty pharmacy</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14,897</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36,084</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34,555</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3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Implants subject to third party reimbursement sold through a specialty</w:t>
            </w: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pharmacy (b)</w:t>
            </w: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Implants sold direct based on contracted rates (c)</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Implants sold direct subject to third party reimbursement (d)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Biopsy kits - direct bill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estimates related to prior periods (e)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bill (hospital)</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20,445</w:t>
            </w:r>
          </w:p>
        </w:tc>
        <w:tc>
          <w:tcPr>
            <w:tcW w:w="0" w:type="dxa"/>
            <w:vAlign w:val="bottom"/>
          </w:tcPr>
          <w:p>
            <w:pPr>
              <w:spacing w:after="0"/>
              <w:rPr>
                <w:sz w:val="1"/>
                <w:szCs w:val="1"/>
                <w:color w:val="auto"/>
              </w:rPr>
            </w:pPr>
          </w:p>
        </w:tc>
      </w:tr>
      <w:tr>
        <w:trPr>
          <w:trHeight w:val="223"/>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product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78,460</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 (f)</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78,950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78,460</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0980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78" w:lineRule="exact"/>
        <w:rPr>
          <w:sz w:val="20"/>
          <w:szCs w:val="20"/>
          <w:color w:val="auto"/>
        </w:rPr>
      </w:pPr>
    </w:p>
    <w:p>
      <w:pPr>
        <w:ind w:left="20" w:right="80" w:firstLine="6"/>
        <w:spacing w:after="0" w:line="237" w:lineRule="auto"/>
        <w:tabs>
          <w:tab w:leader="none" w:pos="2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implants sold through Orsini and AllCare in both 2020 and 2019 whereby such specialty pharmacies have a direct contract with the underlying insurance provider. The amount of reimbursement is based on contracted rates at the time of sale supported by the pharmacy's direct contracts.</w:t>
      </w:r>
    </w:p>
    <w:p>
      <w:pPr>
        <w:spacing w:after="0" w:line="158" w:lineRule="exact"/>
        <w:rPr>
          <w:rFonts w:ascii="Times New Roman" w:cs="Times New Roman" w:eastAsia="Times New Roman" w:hAnsi="Times New Roman"/>
          <w:sz w:val="18"/>
          <w:szCs w:val="18"/>
          <w:color w:val="auto"/>
        </w:rPr>
      </w:pPr>
    </w:p>
    <w:p>
      <w:pPr>
        <w:ind w:left="20" w:right="80" w:firstLine="6"/>
        <w:spacing w:after="0" w:line="237" w:lineRule="auto"/>
        <w:tabs>
          <w:tab w:leader="none" w:pos="2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implants sold through Orsini or AllCare whereby such specialty pharmacy does not have a direct contract with the underlying payer. The amount of reimbursement is established based on a payer or state fee schedule and/or payer history.</w:t>
      </w:r>
    </w:p>
    <w:p>
      <w:pPr>
        <w:spacing w:after="0" w:line="158" w:lineRule="exact"/>
        <w:rPr>
          <w:rFonts w:ascii="Times New Roman" w:cs="Times New Roman" w:eastAsia="Times New Roman" w:hAnsi="Times New Roman"/>
          <w:sz w:val="18"/>
          <w:szCs w:val="18"/>
          <w:color w:val="auto"/>
        </w:rPr>
      </w:pPr>
    </w:p>
    <w:p>
      <w:pPr>
        <w:ind w:left="20" w:right="80" w:firstLine="6"/>
        <w:spacing w:after="0" w:line="237" w:lineRule="auto"/>
        <w:tabs>
          <w:tab w:leader="none" w:pos="2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implants sold directly from the Company to the facility based on a contract and known price agreed upon prior to the surgery date. Also represents direct sales under a contract to the specialty distributor DMS.</w:t>
      </w:r>
    </w:p>
    <w:p>
      <w:pPr>
        <w:spacing w:after="0" w:line="158" w:lineRule="exact"/>
        <w:rPr>
          <w:rFonts w:ascii="Times New Roman" w:cs="Times New Roman" w:eastAsia="Times New Roman" w:hAnsi="Times New Roman"/>
          <w:sz w:val="18"/>
          <w:szCs w:val="18"/>
          <w:color w:val="auto"/>
        </w:rPr>
      </w:pPr>
    </w:p>
    <w:p>
      <w:pPr>
        <w:ind w:left="20" w:right="80" w:firstLine="6"/>
        <w:spacing w:after="0" w:line="237" w:lineRule="auto"/>
        <w:tabs>
          <w:tab w:leader="none" w:pos="2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158" w:lineRule="exact"/>
        <w:rPr>
          <w:rFonts w:ascii="Times New Roman" w:cs="Times New Roman" w:eastAsia="Times New Roman" w:hAnsi="Times New Roman"/>
          <w:sz w:val="18"/>
          <w:szCs w:val="18"/>
          <w:color w:val="auto"/>
        </w:rPr>
      </w:pPr>
    </w:p>
    <w:p>
      <w:pPr>
        <w:jc w:val="both"/>
        <w:ind w:left="20" w:right="80" w:firstLine="6"/>
        <w:spacing w:after="0" w:line="226" w:lineRule="auto"/>
        <w:tabs>
          <w:tab w:leader="none" w:pos="2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changes in estimates related to implants sold through Orsini or AllCare in which such specialty pharmacy does not have a direct contract with the underlying payer. The initial estimate of the amount of reimbursement is established based on a payer or state fee schedule and/or payer history. The change in estimates is a result of additional information or actual cash collections received in the current period.</w:t>
      </w:r>
    </w:p>
    <w:p>
      <w:pPr>
        <w:spacing w:after="0" w:line="144" w:lineRule="exact"/>
        <w:rPr>
          <w:rFonts w:ascii="Times New Roman" w:cs="Times New Roman" w:eastAsia="Times New Roman" w:hAnsi="Times New Roman"/>
          <w:sz w:val="18"/>
          <w:szCs w:val="18"/>
          <w:color w:val="auto"/>
        </w:rPr>
      </w:pPr>
    </w:p>
    <w:p>
      <w:pPr>
        <w:ind w:left="260" w:hanging="234"/>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income from sales of NexoBrid to BARDA, pursuant to the license agreement between the Company and MediWound.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43" w:lineRule="exact"/>
        <w:rPr>
          <w:sz w:val="20"/>
          <w:szCs w:val="20"/>
          <w:color w:val="auto"/>
        </w:rPr>
      </w:pPr>
    </w:p>
    <w:p>
      <w:pPr>
        <w:jc w:val="both"/>
        <w:ind w:firstLine="243"/>
        <w:spacing w:after="0" w:line="236" w:lineRule="auto"/>
        <w:rPr>
          <w:sz w:val="20"/>
          <w:szCs w:val="20"/>
          <w:color w:val="auto"/>
        </w:rPr>
      </w:pPr>
      <w:r>
        <w:rPr>
          <w:rFonts w:ascii="Times New Roman" w:cs="Times New Roman" w:eastAsia="Times New Roman" w:hAnsi="Times New Roman"/>
          <w:sz w:val="18"/>
          <w:szCs w:val="18"/>
          <w:color w:val="auto"/>
        </w:rPr>
        <w:t>The Company's total Epicel revenue concentration from a customer for the three months ended September 30, 2019 was 10%. For the Company's total Epicel and MACI revenue and accounts receivable balances there were no other customers for the three and nine months ended September 30, 2020, and for the nine months ended September 30, 2019, with a concentration greater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1167130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5. Selected Balance Sheet Components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Inventory as of September 30, 2020 and December 31, 2019:</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7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0" w:type="dxa"/>
            <w:vAlign w:val="bottom"/>
          </w:tcPr>
          <w:p>
            <w:pPr>
              <w:spacing w:after="0"/>
              <w:rPr>
                <w:sz w:val="1"/>
                <w:szCs w:val="1"/>
                <w:color w:val="auto"/>
              </w:rPr>
            </w:pPr>
          </w:p>
        </w:tc>
      </w:tr>
      <w:tr>
        <w:trPr>
          <w:trHeight w:val="21"/>
        </w:trPr>
        <w:tc>
          <w:tcPr>
            <w:tcW w:w="7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8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and Equipment, net as of September 30, 2020 and December 31, 2019:</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Pr>
          <w:p>
            <w:pPr>
              <w:spacing w:after="0"/>
              <w:rPr>
                <w:sz w:val="24"/>
                <w:szCs w:val="24"/>
                <w:color w:val="auto"/>
              </w:rPr>
            </w:pPr>
          </w:p>
        </w:tc>
        <w:tc>
          <w:tcPr>
            <w:tcW w:w="14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7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Financing right-of-use lease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16,364</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and nine months ended September 30, 2020 was $0.6 million and $1.6 million, respectively, and $0.4 million and $1.2 million for the same periods in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Accrued Expenses as of September 30, 2020 and December 31, 2019 are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6"/>
                <w:szCs w:val="16"/>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 related compensation</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r>
      <w:tr>
        <w:trPr>
          <w:trHeight w:val="230"/>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related accruals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30"/>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23"/>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w:t>
            </w:r>
          </w:p>
        </w:tc>
      </w:tr>
      <w:tr>
        <w:trPr>
          <w:trHeight w:val="20"/>
        </w:trPr>
        <w:tc>
          <w:tcPr>
            <w:tcW w:w="7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459"/>
        </w:trPr>
        <w:tc>
          <w:tcPr>
            <w:tcW w:w="7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leases facilities in Ann Arbor, Michigan and Cambridge, Massachusetts. The Ann Arbor facility includes office space, and the Cambridge facilities include clean rooms, laboratories for MACI and Epicel manufacturing and office space. The Company also leases offsite warehouse space, vehicles and computer equipment. Certain of the Company’s lease agreements include lease payments that are adjusted periodically for an index or rate. The leases are initially measured using the projected payments adjusted for the index or rate in effect at the commencement date. The Company’s lease agreements do not contain any material residual value guarantees or material restrictive covenants. All operating lease commitments with a lease term greater than 12 months are recognized as right to use assets and liabilities, on a discounted basis on the balance sheet. Effective October 21, 2020 the Company entered into an agreement for one of its Cambridge, Massachusetts facility leases. This agreement extended the terms of the lease to expire on February 29, 2032, with monthly contractual lease payments ranging from $0.4 million to $0.6 million.</w:t>
      </w:r>
    </w:p>
    <w:p>
      <w:pPr>
        <w:spacing w:after="0" w:line="21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Leases with an initial term of 12 months or less are not recorded on the balance sheet and for both the three and nine months ended September 30, 2020 and 2019, lease expense of less than </w:t>
      </w:r>
      <w:r>
        <w:rPr>
          <w:rFonts w:ascii="Times New Roman" w:cs="Times New Roman" w:eastAsia="Times New Roman" w:hAnsi="Times New Roman"/>
          <w:sz w:val="18"/>
          <w:szCs w:val="18"/>
          <w:color w:val="222222"/>
        </w:rPr>
        <w:t>$0.1 million</w:t>
      </w:r>
      <w:r>
        <w:rPr>
          <w:rFonts w:ascii="Times New Roman" w:cs="Times New Roman" w:eastAsia="Times New Roman" w:hAnsi="Times New Roman"/>
          <w:sz w:val="18"/>
          <w:szCs w:val="18"/>
          <w:color w:val="auto"/>
        </w:rPr>
        <w:t xml:space="preserve"> was recorded related to short-term leases. The </w:t>
      </w:r>
      <w:r>
        <w:rPr>
          <w:rFonts w:ascii="Times New Roman" w:cs="Times New Roman" w:eastAsia="Times New Roman" w:hAnsi="Times New Roman"/>
          <w:sz w:val="18"/>
          <w:szCs w:val="18"/>
          <w:color w:val="222222"/>
        </w:rPr>
        <w:t>contribution toward the cost of tenant improvements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recorded as a reduction of the operating lease assets. For the </w:t>
      </w:r>
      <w:r>
        <w:rPr>
          <w:rFonts w:ascii="Times New Roman" w:cs="Times New Roman" w:eastAsia="Times New Roman" w:hAnsi="Times New Roman"/>
          <w:sz w:val="18"/>
          <w:szCs w:val="18"/>
          <w:color w:val="000000"/>
        </w:rPr>
        <w:t>three and nine months ended September 30, 2020</w:t>
      </w:r>
      <w:r>
        <w:rPr>
          <w:rFonts w:ascii="Times New Roman" w:cs="Times New Roman" w:eastAsia="Times New Roman" w:hAnsi="Times New Roman"/>
          <w:sz w:val="18"/>
          <w:szCs w:val="18"/>
          <w:color w:val="222222"/>
        </w:rPr>
        <w:t>, the Company recognized $1.6 million and $4.5 million of operating lease expense and $1.4 million and $4.0 million for the same periods in 2019.</w:t>
      </w:r>
    </w:p>
    <w:p>
      <w:pPr>
        <w:spacing w:after="0" w:line="207"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222222"/>
        </w:rPr>
        <w:t xml:space="preserve">For both the </w:t>
      </w:r>
      <w:r>
        <w:rPr>
          <w:rFonts w:ascii="Times New Roman" w:cs="Times New Roman" w:eastAsia="Times New Roman" w:hAnsi="Times New Roman"/>
          <w:sz w:val="18"/>
          <w:szCs w:val="18"/>
          <w:color w:val="000000"/>
        </w:rPr>
        <w:t>three and nine months ended September 30, 2020 and 2019, the Company recognized</w:t>
      </w:r>
      <w:r>
        <w:rPr>
          <w:rFonts w:ascii="Times New Roman" w:cs="Times New Roman" w:eastAsia="Times New Roman" w:hAnsi="Times New Roman"/>
          <w:sz w:val="18"/>
          <w:szCs w:val="18"/>
          <w:color w:val="222222"/>
        </w:rPr>
        <w:t xml:space="preserve"> less than $0.1 million of financing lease expense. The </w:t>
      </w:r>
      <w:r>
        <w:rPr>
          <w:rFonts w:ascii="Times New Roman" w:cs="Times New Roman" w:eastAsia="Times New Roman" w:hAnsi="Times New Roman"/>
          <w:sz w:val="18"/>
          <w:szCs w:val="18"/>
          <w:color w:val="000000"/>
        </w:rPr>
        <w:t>Company’s leases contain non-lease components and activities that do not transfer a good or service to the Company. The Company elected not to</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combine lease and non-lease components and therefore non-lease costs were not included in the net lease assets or lease liabilities.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leased assets and liabilities classified on the balance sheet, as of September 30, 2020 and December 31, 2019 are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1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9"/>
                <w:szCs w:val="19"/>
                <w:color w:val="auto"/>
              </w:rPr>
            </w:pPr>
          </w:p>
        </w:tc>
        <w:tc>
          <w:tcPr>
            <w:tcW w:w="6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Finance</w:t>
            </w:r>
          </w:p>
        </w:tc>
        <w:tc>
          <w:tcPr>
            <w:tcW w:w="6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00" w:type="dxa"/>
            <w:vAlign w:val="bottom"/>
            <w:gridSpan w:val="2"/>
            <w:vMerge w:val="continue"/>
          </w:tcPr>
          <w:p>
            <w:pPr>
              <w:spacing w:after="0"/>
              <w:rPr>
                <w:sz w:val="15"/>
                <w:szCs w:val="15"/>
                <w:color w:val="auto"/>
              </w:rPr>
            </w:pPr>
          </w:p>
        </w:tc>
        <w:tc>
          <w:tcPr>
            <w:tcW w:w="6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6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w:t>
            </w: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i w:val="1"/>
                <w:iCs w:val="1"/>
                <w:color w:val="auto"/>
              </w:rPr>
              <w:t>Non-current</w:t>
            </w:r>
          </w:p>
        </w:tc>
        <w:tc>
          <w:tcPr>
            <w:tcW w:w="6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w:t>
            </w: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8"/>
        </w:trPr>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Restricted Stock Units and Equity Incentive Plans</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has historically had various stock incentive plans and agreements that provide for the issuance of nonqualified and incentive stock options and restricted stock units as well as other equity awards. Such awards may be granted by the Company’s Board of Directors to certain of the Company’s employees, directors and consultants.</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Options granted to employees and non-employees under these plans expire no later than ten years from the date of grant. Options and restricted stock units generally become exercisable or vest over a four-year period, under a graded-vesting methodology for stock options and annually on the anniversary grant date for restricted stock units, following the date of grant. The Company generally issues new shares upon the exercise of stock options or vesting of restricted stock units.</w:t>
      </w:r>
    </w:p>
    <w:p>
      <w:pPr>
        <w:spacing w:after="0" w:line="20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2019 Omnibus Incentive Plan (2019 Plan) was approved on May 1, 2019 and provides incentives through the grant of stock options, stock appreciation rights, restricted stock awards and restricted stock units. The exercise price of stock options granted under the 2019 Plan shall not be less than the fair market value of the Company’s common stock on the date of grant. The 2019 Plan replaced the 1992 Stock Option Plan, the 2001 Stock Option Plan, the Amended and Restated 2004 Equity Incentive Plan, the 2009 Second Amended and Restated Omnibus Incentive Plan and the 2017 Omnibus Incentive Plan (Prior Plans), and no new grants have been granted under the Prior Plans after approval. However, the expiration or forfeiture of options previously granted under the Prior Plans will increase the number of shares available for issuance under the 2019 Plan.</w:t>
      </w:r>
    </w:p>
    <w:p>
      <w:pPr>
        <w:spacing w:after="0" w:line="214"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8"/>
          <w:szCs w:val="18"/>
          <w:color w:val="auto"/>
        </w:rPr>
        <w:t>The Amended and Restated 2019 Omnibus Incentive Plan (Amended and Restated 2019 Plan) was approved on April 29, 2020. The Amended and Restated 2019 Plan increased the total number of shares of the Company’s common stock reserved for issuance under the 2019 Plan by 2,400,000 shares, revised the ratio at which “full-value” awards are counted against the share reserve from 1.25 to 1.4, and extended the term of the plan to April 29, 2030.</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2020, there were 4,553,487 shares available for future grant under the Amended and Restated 2019 Plan.</w:t>
      </w:r>
    </w:p>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Employees are able to purchase stock under the Vericel Corporation Employee Stock Purchase Plan (ESPP). The ESPP allows for the issuance of an aggregate of 1,000,000 shares of common stock of which 693,498 shares have been issued since the inception of the plan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options at the grant date, which corresponds to the first day of each purchase period and is amortized over the purchase period. In October 2020, employees purchased 20,591 shares resulting in proceeds from the sale of common stock of $0.3 million under the ESPP for the third quarter of 2020.</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Service-Based Stock Options</w:t>
      </w:r>
    </w:p>
    <w:p>
      <w:pPr>
        <w:spacing w:after="0" w:line="22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granted service-based options to purchase common stock of 28,000 and 1,324,890, respectively, and 111,600 and 1,750,110, respectively, for the same periods in 2019. The exercise price of the options is the fair market value per share of common stock on the grant date, and the options generally vest over four years (other than non-employee director options which vest over one year) and have a term of ten years. The Company issues new shares upon the exercise of stock options. The weighted average grant-date fair value of service-based options granted during the three and nine months ended September 30, 2020 was $10.81 and $8.70, respectively and $13.28 and $12.77, respectively, for the same periods in 2019.</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2020 and September 30, 2019, the Company granted 196,836 and 186,922 service-based restricted stock units, respectively. The restricted stock units vest annually over four years in equal installments commencing on the first anniversary of the grant date (other than non-employee director options which vest over one year from the grant date). The Company issues new shares upon the vesting of restricted stock units. Restricted stock awards are recorded at fair value at the date of grant, which is based on the closing share price on the grant date. Compensation expense is recorded for restricted stock units that are expected to vest based on their fair value at grant date and is amortized over the expected vesting period. The weighted average grant-date fair value of restricted stock units granted during the 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September 30, 2020 was $11.41, and $17.71 for the same period in 2019. The aggregate fair value of restricted stock units granted in the nine months ended September 30, 2020 was $2.2 million, and $3.3 million for the same period in 2019.</w:t>
      </w:r>
    </w:p>
    <w:p>
      <w:pPr>
        <w:spacing w:after="0" w:line="18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32,840 shares of common stock were issued upon the vesting of restricted stock units. These amounts are net of 13,872 shares, that were withheld for payment of taxes on the behalf of employees, during the nine months ended September 30, 2020.</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Non-cash stock-based compensation expense (employee stock purchase plan, service-based stock options and restricted stock units) included in cost of goods sold, research and development expenses and selling, general and administrative expenses is summarized in the following table: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3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29"/>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r>
      <w:tr>
        <w:trPr>
          <w:trHeight w:val="223"/>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w:t>
            </w: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Cash Equivalents and Investments</w:t>
      </w:r>
    </w:p>
    <w:p>
      <w:pPr>
        <w:spacing w:after="0" w:line="241" w:lineRule="exact"/>
        <w:rPr>
          <w:sz w:val="20"/>
          <w:szCs w:val="20"/>
          <w:color w:val="auto"/>
        </w:rPr>
      </w:pPr>
    </w:p>
    <w:p>
      <w:pPr>
        <w:jc w:val="both"/>
        <w:ind w:firstLine="243"/>
        <w:spacing w:after="0" w:line="237" w:lineRule="auto"/>
        <w:rPr>
          <w:sz w:val="20"/>
          <w:szCs w:val="20"/>
          <w:color w:val="auto"/>
        </w:rPr>
      </w:pPr>
      <w:r>
        <w:rPr>
          <w:rFonts w:ascii="Times New Roman" w:cs="Times New Roman" w:eastAsia="Times New Roman" w:hAnsi="Times New Roman"/>
          <w:sz w:val="18"/>
          <w:szCs w:val="18"/>
          <w:color w:val="auto"/>
        </w:rPr>
        <w:t xml:space="preserve">Marketable debt securities held by the Company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and carried at fair value in the accompanying condensed consolidated balance sheets on a settlement date basis. The following tables summarize the gross unrealized gains and losses of the Company’s marketable securities as of September 30, 2020 and December 31, 2019: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60" w:type="dxa"/>
            <w:vAlign w:val="bottom"/>
            <w:tcBorders>
              <w:bottom w:val="single" w:sz="8" w:color="BFE4FF"/>
            </w:tcBorders>
          </w:tcPr>
          <w:p>
            <w:pPr>
              <w:spacing w:after="0"/>
              <w:rPr>
                <w:sz w:val="18"/>
                <w:szCs w:val="18"/>
                <w:color w:val="auto"/>
              </w:rPr>
            </w:pPr>
          </w:p>
        </w:tc>
        <w:tc>
          <w:tcPr>
            <w:tcW w:w="178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Borders>
              <w:bottom w:val="single" w:sz="8" w:color="BFE4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BFE4FF"/>
            </w:tcBorders>
          </w:tcPr>
          <w:p>
            <w:pPr>
              <w:spacing w:after="0"/>
              <w:rPr>
                <w:sz w:val="18"/>
                <w:szCs w:val="18"/>
                <w:color w:val="auto"/>
              </w:rPr>
            </w:pPr>
          </w:p>
        </w:tc>
        <w:tc>
          <w:tcPr>
            <w:tcW w:w="880" w:type="dxa"/>
            <w:vAlign w:val="bottom"/>
            <w:tcBorders>
              <w:bottom w:val="single" w:sz="8" w:color="auto"/>
            </w:tcBorders>
            <w:gridSpan w:val="2"/>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BFE4FF"/>
            </w:tcBorders>
          </w:tcPr>
          <w:p>
            <w:pPr>
              <w:spacing w:after="0"/>
              <w:rPr>
                <w:sz w:val="18"/>
                <w:szCs w:val="18"/>
                <w:color w:val="auto"/>
              </w:rPr>
            </w:pPr>
          </w:p>
        </w:tc>
        <w:tc>
          <w:tcPr>
            <w:tcW w:w="60" w:type="dxa"/>
            <w:vAlign w:val="bottom"/>
            <w:tcBorders>
              <w:bottom w:val="single" w:sz="8" w:color="BFE4FF"/>
            </w:tcBorders>
          </w:tcPr>
          <w:p>
            <w:pPr>
              <w:spacing w:after="0"/>
              <w:rPr>
                <w:sz w:val="18"/>
                <w:szCs w:val="18"/>
                <w:color w:val="auto"/>
              </w:rPr>
            </w:pPr>
          </w:p>
        </w:tc>
        <w:tc>
          <w:tcPr>
            <w:tcW w:w="1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28"/>
        </w:trPr>
        <w:tc>
          <w:tcPr>
            <w:tcW w:w="36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500" w:type="dxa"/>
            <w:vAlign w:val="bottom"/>
            <w:shd w:val="clear" w:color="auto" w:fill="BFE4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28,059</w:t>
            </w:r>
          </w:p>
        </w:tc>
        <w:tc>
          <w:tcPr>
            <w:tcW w:w="120" w:type="dxa"/>
            <w:vAlign w:val="bottom"/>
            <w:shd w:val="clear" w:color="auto" w:fill="BFE4FF"/>
          </w:tcPr>
          <w:p>
            <w:pPr>
              <w:spacing w:after="0"/>
              <w:rPr>
                <w:sz w:val="19"/>
                <w:szCs w:val="19"/>
                <w:color w:val="auto"/>
              </w:rPr>
            </w:pPr>
          </w:p>
        </w:tc>
        <w:tc>
          <w:tcPr>
            <w:tcW w:w="380" w:type="dxa"/>
            <w:vAlign w:val="bottom"/>
            <w:shd w:val="clear" w:color="auto" w:fill="BFE4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4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760" w:type="dxa"/>
            <w:vAlign w:val="bottom"/>
            <w:shd w:val="clear" w:color="auto" w:fill="BFE4FF"/>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BFE4FF"/>
          </w:tcPr>
          <w:p>
            <w:pPr>
              <w:spacing w:after="0"/>
              <w:rPr>
                <w:sz w:val="19"/>
                <w:szCs w:val="19"/>
                <w:color w:val="auto"/>
              </w:rPr>
            </w:pPr>
          </w:p>
        </w:tc>
        <w:tc>
          <w:tcPr>
            <w:tcW w:w="580" w:type="dxa"/>
            <w:vAlign w:val="bottom"/>
            <w:gridSpan w:val="2"/>
            <w:shd w:val="clear" w:color="auto" w:fill="BFE4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BFE4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4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28,059</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0" w:type="dxa"/>
            <w:vAlign w:val="bottom"/>
          </w:tcPr>
          <w:p>
            <w:pPr>
              <w:spacing w:after="0"/>
              <w:rPr>
                <w:sz w:val="1"/>
                <w:szCs w:val="1"/>
                <w:color w:val="auto"/>
              </w:rPr>
            </w:pPr>
          </w:p>
        </w:tc>
      </w:tr>
      <w:tr>
        <w:trPr>
          <w:trHeight w:val="229"/>
        </w:trPr>
        <w:tc>
          <w:tcPr>
            <w:tcW w:w="36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5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11,161</w:t>
            </w:r>
          </w:p>
        </w:tc>
        <w:tc>
          <w:tcPr>
            <w:tcW w:w="12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4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580" w:type="dxa"/>
            <w:vAlign w:val="bottom"/>
            <w:gridSpan w:val="2"/>
            <w:shd w:val="clear" w:color="auto" w:fill="BFE4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w:t>
            </w:r>
          </w:p>
        </w:tc>
        <w:tc>
          <w:tcPr>
            <w:tcW w:w="0" w:type="dxa"/>
            <w:vAlign w:val="bottom"/>
          </w:tcPr>
          <w:p>
            <w:pPr>
              <w:spacing w:after="0"/>
              <w:rPr>
                <w:sz w:val="1"/>
                <w:szCs w:val="1"/>
                <w:color w:val="auto"/>
              </w:rPr>
            </w:pPr>
          </w:p>
        </w:tc>
      </w:tr>
      <w:tr>
        <w:trPr>
          <w:trHeight w:val="230"/>
        </w:trPr>
        <w:tc>
          <w:tcPr>
            <w:tcW w:w="36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5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2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4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580" w:type="dxa"/>
            <w:vAlign w:val="bottom"/>
            <w:gridSpan w:val="2"/>
            <w:shd w:val="clear" w:color="auto" w:fill="BFE4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asset-backed securities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0" w:type="dxa"/>
            <w:vAlign w:val="bottom"/>
          </w:tcPr>
          <w:p>
            <w:pPr>
              <w:spacing w:after="0"/>
              <w:rPr>
                <w:sz w:val="1"/>
                <w:szCs w:val="1"/>
                <w:color w:val="auto"/>
              </w:rPr>
            </w:pPr>
          </w:p>
        </w:tc>
      </w:tr>
      <w:tr>
        <w:trPr>
          <w:trHeight w:val="248"/>
        </w:trPr>
        <w:tc>
          <w:tcPr>
            <w:tcW w:w="3660" w:type="dxa"/>
            <w:vAlign w:val="bottom"/>
            <w:tcBorders>
              <w:top w:val="single" w:sz="8" w:color="BFE4FF"/>
              <w:bottom w:val="single" w:sz="8" w:color="BFE4FF"/>
            </w:tcBorders>
            <w:shd w:val="clear" w:color="auto" w:fill="BFE4FF"/>
          </w:tcPr>
          <w:p>
            <w:pPr>
              <w:spacing w:after="0"/>
              <w:rPr>
                <w:sz w:val="21"/>
                <w:szCs w:val="21"/>
                <w:color w:val="auto"/>
              </w:rPr>
            </w:pPr>
          </w:p>
        </w:tc>
        <w:tc>
          <w:tcPr>
            <w:tcW w:w="500" w:type="dxa"/>
            <w:vAlign w:val="bottom"/>
            <w:tcBorders>
              <w:top w:val="single" w:sz="8" w:color="auto"/>
              <w:bottom w:val="single" w:sz="8" w:color="auto"/>
            </w:tcBorders>
            <w:shd w:val="clear" w:color="auto" w:fill="BFE4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BFE4FF"/>
          </w:tcPr>
          <w:p>
            <w:pPr>
              <w:spacing w:after="0"/>
              <w:rPr>
                <w:sz w:val="21"/>
                <w:szCs w:val="21"/>
                <w:color w:val="auto"/>
              </w:rPr>
            </w:pPr>
          </w:p>
        </w:tc>
        <w:tc>
          <w:tcPr>
            <w:tcW w:w="10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70,016</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380" w:type="dxa"/>
            <w:vAlign w:val="bottom"/>
            <w:tcBorders>
              <w:top w:val="single" w:sz="8" w:color="auto"/>
              <w:bottom w:val="single" w:sz="8" w:color="auto"/>
            </w:tcBorders>
            <w:shd w:val="clear" w:color="auto" w:fill="BFE4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BFE4FF"/>
          </w:tcPr>
          <w:p>
            <w:pPr>
              <w:spacing w:after="0"/>
              <w:rPr>
                <w:sz w:val="21"/>
                <w:szCs w:val="21"/>
                <w:color w:val="auto"/>
              </w:rPr>
            </w:pPr>
          </w:p>
        </w:tc>
        <w:tc>
          <w:tcPr>
            <w:tcW w:w="380" w:type="dxa"/>
            <w:vAlign w:val="bottom"/>
            <w:tcBorders>
              <w:top w:val="single" w:sz="8" w:color="auto"/>
              <w:bottom w:val="single" w:sz="8" w:color="auto"/>
            </w:tcBorders>
            <w:shd w:val="clear" w:color="auto" w:fill="BFE4FF"/>
          </w:tcPr>
          <w:p>
            <w:pPr>
              <w:spacing w:after="0"/>
              <w:rPr>
                <w:sz w:val="21"/>
                <w:szCs w:val="21"/>
                <w:color w:val="auto"/>
              </w:rPr>
            </w:pPr>
          </w:p>
        </w:tc>
        <w:tc>
          <w:tcPr>
            <w:tcW w:w="4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Borders>
              <w:top w:val="single" w:sz="8" w:color="auto"/>
              <w:bottom w:val="single" w:sz="8" w:color="auto"/>
            </w:tcBorders>
            <w:shd w:val="clear" w:color="auto" w:fill="BFE4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760" w:type="dxa"/>
            <w:vAlign w:val="bottom"/>
            <w:tcBorders>
              <w:top w:val="single" w:sz="8" w:color="auto"/>
              <w:bottom w:val="single" w:sz="8" w:color="auto"/>
            </w:tcBorders>
            <w:shd w:val="clear" w:color="auto" w:fill="BFE4FF"/>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BFE4FF"/>
          </w:tcPr>
          <w:p>
            <w:pPr>
              <w:spacing w:after="0"/>
              <w:rPr>
                <w:sz w:val="21"/>
                <w:szCs w:val="21"/>
                <w:color w:val="auto"/>
              </w:rPr>
            </w:pPr>
          </w:p>
        </w:tc>
        <w:tc>
          <w:tcPr>
            <w:tcW w:w="460" w:type="dxa"/>
            <w:vAlign w:val="bottom"/>
            <w:tcBorders>
              <w:top w:val="single" w:sz="8" w:color="auto"/>
              <w:bottom w:val="single" w:sz="8" w:color="auto"/>
            </w:tcBorders>
            <w:shd w:val="clear" w:color="auto" w:fill="BFE4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1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shd w:val="clear" w:color="auto" w:fill="BFE4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BFE4FF"/>
          </w:tcPr>
          <w:p>
            <w:pPr>
              <w:spacing w:after="0"/>
              <w:rPr>
                <w:sz w:val="21"/>
                <w:szCs w:val="21"/>
                <w:color w:val="auto"/>
              </w:rPr>
            </w:pPr>
          </w:p>
        </w:tc>
        <w:tc>
          <w:tcPr>
            <w:tcW w:w="40" w:type="dxa"/>
            <w:vAlign w:val="bottom"/>
            <w:tcBorders>
              <w:top w:val="single" w:sz="8" w:color="BFE4FF"/>
              <w:bottom w:val="single" w:sz="8" w:color="BFE4FF"/>
            </w:tcBorders>
            <w:shd w:val="clear" w:color="auto" w:fill="BFE4FF"/>
          </w:tcPr>
          <w:p>
            <w:pPr>
              <w:spacing w:after="0"/>
              <w:rPr>
                <w:sz w:val="21"/>
                <w:szCs w:val="21"/>
                <w:color w:val="auto"/>
              </w:rPr>
            </w:pPr>
          </w:p>
        </w:tc>
        <w:tc>
          <w:tcPr>
            <w:tcW w:w="60" w:type="dxa"/>
            <w:vAlign w:val="bottom"/>
            <w:tcBorders>
              <w:top w:val="single" w:sz="8" w:color="BFE4FF"/>
              <w:bottom w:val="single" w:sz="8" w:color="BFE4FF"/>
            </w:tcBorders>
            <w:shd w:val="clear" w:color="auto" w:fill="BFE4FF"/>
          </w:tcPr>
          <w:p>
            <w:pPr>
              <w:spacing w:after="0"/>
              <w:rPr>
                <w:sz w:val="21"/>
                <w:szCs w:val="21"/>
                <w:color w:val="auto"/>
              </w:rPr>
            </w:pPr>
          </w:p>
        </w:tc>
        <w:tc>
          <w:tcPr>
            <w:tcW w:w="460" w:type="dxa"/>
            <w:vAlign w:val="bottom"/>
            <w:tcBorders>
              <w:top w:val="single" w:sz="8" w:color="auto"/>
              <w:bottom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70,094</w:t>
            </w:r>
          </w:p>
        </w:tc>
        <w:tc>
          <w:tcPr>
            <w:tcW w:w="0" w:type="dxa"/>
            <w:vAlign w:val="bottom"/>
          </w:tcPr>
          <w:p>
            <w:pPr>
              <w:spacing w:after="0"/>
              <w:rPr>
                <w:sz w:val="1"/>
                <w:szCs w:val="1"/>
                <w:color w:val="auto"/>
              </w:rPr>
            </w:pPr>
          </w:p>
        </w:tc>
      </w:tr>
      <w:tr>
        <w:trPr>
          <w:trHeight w:val="20"/>
        </w:trPr>
        <w:tc>
          <w:tcPr>
            <w:tcW w:w="3660" w:type="dxa"/>
            <w:vAlign w:val="bottom"/>
            <w:tcBorders>
              <w:top w:val="single" w:sz="8" w:color="BFE4FF"/>
              <w:bottom w:val="single" w:sz="8" w:color="BFE4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Classified as:</w:t>
            </w:r>
          </w:p>
        </w:tc>
        <w:tc>
          <w:tcPr>
            <w:tcW w:w="500" w:type="dxa"/>
            <w:vAlign w:val="bottom"/>
            <w:tcBorders>
              <w:top w:val="single" w:sz="8" w:color="BFE4FF"/>
              <w:bottom w:val="single" w:sz="8" w:color="auto"/>
            </w:tcBorders>
          </w:tcPr>
          <w:p>
            <w:pPr>
              <w:spacing w:after="0" w:line="20" w:lineRule="exact"/>
              <w:rPr>
                <w:sz w:val="1"/>
                <w:szCs w:val="1"/>
                <w:color w:val="auto"/>
              </w:rPr>
            </w:pPr>
          </w:p>
        </w:tc>
        <w:tc>
          <w:tcPr>
            <w:tcW w:w="240" w:type="dxa"/>
            <w:vAlign w:val="bottom"/>
            <w:tcBorders>
              <w:top w:val="single" w:sz="8" w:color="BFE4FF"/>
              <w:bottom w:val="single" w:sz="8" w:color="auto"/>
            </w:tcBorders>
          </w:tcPr>
          <w:p>
            <w:pPr>
              <w:spacing w:after="0" w:line="20" w:lineRule="exact"/>
              <w:rPr>
                <w:sz w:val="1"/>
                <w:szCs w:val="1"/>
                <w:color w:val="auto"/>
              </w:rPr>
            </w:pPr>
          </w:p>
        </w:tc>
        <w:tc>
          <w:tcPr>
            <w:tcW w:w="104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bottom w:val="single" w:sz="8" w:color="auto"/>
            </w:tcBorders>
          </w:tcPr>
          <w:p>
            <w:pPr>
              <w:spacing w:after="0" w:line="20" w:lineRule="exact"/>
              <w:rPr>
                <w:sz w:val="1"/>
                <w:szCs w:val="1"/>
                <w:color w:val="auto"/>
              </w:rPr>
            </w:pPr>
          </w:p>
        </w:tc>
        <w:tc>
          <w:tcPr>
            <w:tcW w:w="380" w:type="dxa"/>
            <w:vAlign w:val="bottom"/>
            <w:tcBorders>
              <w:top w:val="single" w:sz="8" w:color="BFE4FF"/>
              <w:bottom w:val="single" w:sz="8" w:color="auto"/>
            </w:tcBorders>
          </w:tcPr>
          <w:p>
            <w:pPr>
              <w:spacing w:after="0" w:line="20" w:lineRule="exact"/>
              <w:rPr>
                <w:sz w:val="1"/>
                <w:szCs w:val="1"/>
                <w:color w:val="auto"/>
              </w:rPr>
            </w:pPr>
          </w:p>
        </w:tc>
        <w:tc>
          <w:tcPr>
            <w:tcW w:w="420" w:type="dxa"/>
            <w:vAlign w:val="bottom"/>
            <w:tcBorders>
              <w:top w:val="single" w:sz="8" w:color="BFE4FF"/>
              <w:bottom w:val="single" w:sz="8" w:color="auto"/>
            </w:tcBorders>
          </w:tcPr>
          <w:p>
            <w:pPr>
              <w:spacing w:after="0" w:line="20" w:lineRule="exact"/>
              <w:rPr>
                <w:sz w:val="1"/>
                <w:szCs w:val="1"/>
                <w:color w:val="auto"/>
              </w:rPr>
            </w:pPr>
          </w:p>
        </w:tc>
        <w:tc>
          <w:tcPr>
            <w:tcW w:w="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7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4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60" w:type="dxa"/>
            <w:vAlign w:val="bottom"/>
            <w:tcBorders>
              <w:top w:val="single" w:sz="8" w:color="BFE4FF"/>
              <w:bottom w:val="single" w:sz="8" w:color="auto"/>
            </w:tcBorders>
          </w:tcPr>
          <w:p>
            <w:pPr>
              <w:spacing w:after="0" w:line="20" w:lineRule="exact"/>
              <w:rPr>
                <w:sz w:val="1"/>
                <w:szCs w:val="1"/>
                <w:color w:val="auto"/>
              </w:rPr>
            </w:pPr>
          </w:p>
        </w:tc>
        <w:tc>
          <w:tcPr>
            <w:tcW w:w="40" w:type="dxa"/>
            <w:vAlign w:val="bottom"/>
            <w:tcBorders>
              <w:top w:val="single" w:sz="8" w:color="BFE4FF"/>
            </w:tcBorders>
          </w:tcPr>
          <w:p>
            <w:pPr>
              <w:spacing w:after="0" w:line="20" w:lineRule="exact"/>
              <w:rPr>
                <w:sz w:val="1"/>
                <w:szCs w:val="1"/>
                <w:color w:val="auto"/>
              </w:rPr>
            </w:pPr>
          </w:p>
        </w:tc>
        <w:tc>
          <w:tcPr>
            <w:tcW w:w="6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BFE4FF"/>
              <w:bottom w:val="single" w:sz="8" w:color="auto"/>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42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520" w:type="dxa"/>
            <w:vAlign w:val="bottom"/>
            <w:gridSpan w:val="2"/>
            <w:shd w:val="clear" w:color="auto" w:fill="BFE4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28,059</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500" w:type="dxa"/>
            <w:vAlign w:val="bottom"/>
            <w:tcBorders>
              <w:bottom w:val="single" w:sz="8" w:color="BFE4FF"/>
            </w:tcBorders>
          </w:tcPr>
          <w:p>
            <w:pPr>
              <w:spacing w:after="0"/>
              <w:rPr>
                <w:sz w:val="19"/>
                <w:szCs w:val="19"/>
                <w:color w:val="auto"/>
              </w:rPr>
            </w:pPr>
          </w:p>
        </w:tc>
        <w:tc>
          <w:tcPr>
            <w:tcW w:w="240" w:type="dxa"/>
            <w:vAlign w:val="bottom"/>
            <w:tcBorders>
              <w:bottom w:val="single" w:sz="8" w:color="BFE4FF"/>
            </w:tcBorders>
          </w:tcPr>
          <w:p>
            <w:pPr>
              <w:spacing w:after="0"/>
              <w:rPr>
                <w:sz w:val="19"/>
                <w:szCs w:val="19"/>
                <w:color w:val="auto"/>
              </w:rPr>
            </w:pPr>
          </w:p>
        </w:tc>
        <w:tc>
          <w:tcPr>
            <w:tcW w:w="1040" w:type="dxa"/>
            <w:vAlign w:val="bottom"/>
            <w:tcBorders>
              <w:bottom w:val="single" w:sz="8" w:color="BFE4FF"/>
            </w:tcBorders>
          </w:tcPr>
          <w:p>
            <w:pPr>
              <w:spacing w:after="0"/>
              <w:rPr>
                <w:sz w:val="19"/>
                <w:szCs w:val="19"/>
                <w:color w:val="auto"/>
              </w:rPr>
            </w:pPr>
          </w:p>
        </w:tc>
        <w:tc>
          <w:tcPr>
            <w:tcW w:w="120" w:type="dxa"/>
            <w:vAlign w:val="bottom"/>
            <w:tcBorders>
              <w:bottom w:val="single" w:sz="8" w:color="BFE4FF"/>
            </w:tcBorders>
          </w:tcPr>
          <w:p>
            <w:pPr>
              <w:spacing w:after="0"/>
              <w:rPr>
                <w:sz w:val="19"/>
                <w:szCs w:val="19"/>
                <w:color w:val="auto"/>
              </w:rPr>
            </w:pPr>
          </w:p>
        </w:tc>
        <w:tc>
          <w:tcPr>
            <w:tcW w:w="380" w:type="dxa"/>
            <w:vAlign w:val="bottom"/>
            <w:tcBorders>
              <w:bottom w:val="single" w:sz="8" w:color="BFE4FF"/>
            </w:tcBorders>
          </w:tcPr>
          <w:p>
            <w:pPr>
              <w:spacing w:after="0"/>
              <w:rPr>
                <w:sz w:val="19"/>
                <w:szCs w:val="19"/>
                <w:color w:val="auto"/>
              </w:rPr>
            </w:pPr>
          </w:p>
        </w:tc>
        <w:tc>
          <w:tcPr>
            <w:tcW w:w="100" w:type="dxa"/>
            <w:vAlign w:val="bottom"/>
            <w:tcBorders>
              <w:bottom w:val="single" w:sz="8" w:color="BFE4FF"/>
            </w:tcBorders>
          </w:tcPr>
          <w:p>
            <w:pPr>
              <w:spacing w:after="0"/>
              <w:rPr>
                <w:sz w:val="19"/>
                <w:szCs w:val="19"/>
                <w:color w:val="auto"/>
              </w:rPr>
            </w:pPr>
          </w:p>
        </w:tc>
        <w:tc>
          <w:tcPr>
            <w:tcW w:w="380" w:type="dxa"/>
            <w:vAlign w:val="bottom"/>
            <w:tcBorders>
              <w:bottom w:val="single" w:sz="8" w:color="BFE4FF"/>
            </w:tcBorders>
          </w:tcPr>
          <w:p>
            <w:pPr>
              <w:spacing w:after="0"/>
              <w:rPr>
                <w:sz w:val="19"/>
                <w:szCs w:val="19"/>
                <w:color w:val="auto"/>
              </w:rPr>
            </w:pPr>
          </w:p>
        </w:tc>
        <w:tc>
          <w:tcPr>
            <w:tcW w:w="420" w:type="dxa"/>
            <w:vAlign w:val="bottom"/>
            <w:tcBorders>
              <w:bottom w:val="single" w:sz="8" w:color="BFE4FF"/>
            </w:tcBorders>
          </w:tcPr>
          <w:p>
            <w:pPr>
              <w:spacing w:after="0"/>
              <w:rPr>
                <w:sz w:val="19"/>
                <w:szCs w:val="19"/>
                <w:color w:val="auto"/>
              </w:rPr>
            </w:pPr>
          </w:p>
        </w:tc>
        <w:tc>
          <w:tcPr>
            <w:tcW w:w="60" w:type="dxa"/>
            <w:vAlign w:val="bottom"/>
            <w:tcBorders>
              <w:bottom w:val="single" w:sz="8" w:color="BFE4FF"/>
            </w:tcBorders>
          </w:tcPr>
          <w:p>
            <w:pPr>
              <w:spacing w:after="0"/>
              <w:rPr>
                <w:sz w:val="19"/>
                <w:szCs w:val="19"/>
                <w:color w:val="auto"/>
              </w:rPr>
            </w:pPr>
          </w:p>
        </w:tc>
        <w:tc>
          <w:tcPr>
            <w:tcW w:w="120" w:type="dxa"/>
            <w:vAlign w:val="bottom"/>
            <w:tcBorders>
              <w:bottom w:val="single" w:sz="8" w:color="BFE4FF"/>
            </w:tcBorders>
          </w:tcPr>
          <w:p>
            <w:pPr>
              <w:spacing w:after="0"/>
              <w:rPr>
                <w:sz w:val="19"/>
                <w:szCs w:val="19"/>
                <w:color w:val="auto"/>
              </w:rPr>
            </w:pPr>
          </w:p>
        </w:tc>
        <w:tc>
          <w:tcPr>
            <w:tcW w:w="760" w:type="dxa"/>
            <w:vAlign w:val="bottom"/>
            <w:tcBorders>
              <w:bottom w:val="single" w:sz="8" w:color="BFE4FF"/>
            </w:tcBorders>
          </w:tcPr>
          <w:p>
            <w:pPr>
              <w:spacing w:after="0"/>
              <w:rPr>
                <w:sz w:val="19"/>
                <w:szCs w:val="19"/>
                <w:color w:val="auto"/>
              </w:rPr>
            </w:pPr>
          </w:p>
        </w:tc>
        <w:tc>
          <w:tcPr>
            <w:tcW w:w="120" w:type="dxa"/>
            <w:vAlign w:val="bottom"/>
            <w:tcBorders>
              <w:bottom w:val="single" w:sz="8" w:color="BFE4FF"/>
            </w:tcBorders>
          </w:tcPr>
          <w:p>
            <w:pPr>
              <w:spacing w:after="0"/>
              <w:rPr>
                <w:sz w:val="19"/>
                <w:szCs w:val="19"/>
                <w:color w:val="auto"/>
              </w:rPr>
            </w:pPr>
          </w:p>
        </w:tc>
        <w:tc>
          <w:tcPr>
            <w:tcW w:w="460" w:type="dxa"/>
            <w:vAlign w:val="bottom"/>
            <w:tcBorders>
              <w:bottom w:val="single" w:sz="8" w:color="BFE4FF"/>
            </w:tcBorders>
          </w:tcPr>
          <w:p>
            <w:pPr>
              <w:spacing w:after="0"/>
              <w:rPr>
                <w:sz w:val="19"/>
                <w:szCs w:val="19"/>
                <w:color w:val="auto"/>
              </w:rPr>
            </w:pPr>
          </w:p>
        </w:tc>
        <w:tc>
          <w:tcPr>
            <w:tcW w:w="120" w:type="dxa"/>
            <w:vAlign w:val="bottom"/>
            <w:tcBorders>
              <w:bottom w:val="single" w:sz="8" w:color="BFE4FF"/>
            </w:tcBorders>
          </w:tcPr>
          <w:p>
            <w:pPr>
              <w:spacing w:after="0"/>
              <w:rPr>
                <w:sz w:val="19"/>
                <w:szCs w:val="19"/>
                <w:color w:val="auto"/>
              </w:rPr>
            </w:pPr>
          </w:p>
        </w:tc>
        <w:tc>
          <w:tcPr>
            <w:tcW w:w="160" w:type="dxa"/>
            <w:vAlign w:val="bottom"/>
            <w:tcBorders>
              <w:bottom w:val="single" w:sz="8" w:color="BFE4FF"/>
            </w:tcBorders>
          </w:tcPr>
          <w:p>
            <w:pPr>
              <w:spacing w:after="0"/>
              <w:rPr>
                <w:sz w:val="19"/>
                <w:szCs w:val="19"/>
                <w:color w:val="auto"/>
              </w:rPr>
            </w:pPr>
          </w:p>
        </w:tc>
        <w:tc>
          <w:tcPr>
            <w:tcW w:w="960" w:type="dxa"/>
            <w:vAlign w:val="bottom"/>
            <w:tcBorders>
              <w:bottom w:val="single" w:sz="8" w:color="BFE4FF"/>
            </w:tcBorders>
          </w:tcPr>
          <w:p>
            <w:pPr>
              <w:spacing w:after="0"/>
              <w:rPr>
                <w:sz w:val="19"/>
                <w:szCs w:val="19"/>
                <w:color w:val="auto"/>
              </w:rPr>
            </w:pPr>
          </w:p>
        </w:tc>
        <w:tc>
          <w:tcPr>
            <w:tcW w:w="120" w:type="dxa"/>
            <w:vAlign w:val="bottom"/>
            <w:tcBorders>
              <w:bottom w:val="single" w:sz="8" w:color="BFE4FF"/>
            </w:tcBorders>
          </w:tcPr>
          <w:p>
            <w:pPr>
              <w:spacing w:after="0"/>
              <w:rPr>
                <w:sz w:val="19"/>
                <w:szCs w:val="19"/>
                <w:color w:val="auto"/>
              </w:rPr>
            </w:pPr>
          </w:p>
        </w:tc>
        <w:tc>
          <w:tcPr>
            <w:tcW w:w="60" w:type="dxa"/>
            <w:vAlign w:val="bottom"/>
            <w:tcBorders>
              <w:bottom w:val="single" w:sz="8" w:color="BFE4FF"/>
            </w:tcBorders>
          </w:tcPr>
          <w:p>
            <w:pPr>
              <w:spacing w:after="0"/>
              <w:rPr>
                <w:sz w:val="19"/>
                <w:szCs w:val="19"/>
                <w:color w:val="auto"/>
              </w:rPr>
            </w:pPr>
          </w:p>
        </w:tc>
        <w:tc>
          <w:tcPr>
            <w:tcW w:w="40" w:type="dxa"/>
            <w:vAlign w:val="bottom"/>
            <w:tcBorders>
              <w:bottom w:val="single" w:sz="8" w:color="BFE4FF"/>
            </w:tcBorders>
          </w:tcPr>
          <w:p>
            <w:pPr>
              <w:spacing w:after="0"/>
              <w:rPr>
                <w:sz w:val="19"/>
                <w:szCs w:val="19"/>
                <w:color w:val="auto"/>
              </w:rPr>
            </w:pPr>
          </w:p>
        </w:tc>
        <w:tc>
          <w:tcPr>
            <w:tcW w:w="60" w:type="dxa"/>
            <w:vAlign w:val="bottom"/>
            <w:tcBorders>
              <w:bottom w:val="single" w:sz="8" w:color="BFE4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42,035</w:t>
            </w:r>
          </w:p>
        </w:tc>
        <w:tc>
          <w:tcPr>
            <w:tcW w:w="0" w:type="dxa"/>
            <w:vAlign w:val="bottom"/>
          </w:tcPr>
          <w:p>
            <w:pPr>
              <w:spacing w:after="0"/>
              <w:rPr>
                <w:sz w:val="1"/>
                <w:szCs w:val="1"/>
                <w:color w:val="auto"/>
              </w:rPr>
            </w:pPr>
          </w:p>
        </w:tc>
      </w:tr>
      <w:tr>
        <w:trPr>
          <w:trHeight w:val="248"/>
        </w:trPr>
        <w:tc>
          <w:tcPr>
            <w:tcW w:w="366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70,094</w:t>
            </w:r>
          </w:p>
        </w:tc>
        <w:tc>
          <w:tcPr>
            <w:tcW w:w="0" w:type="dxa"/>
            <w:vAlign w:val="bottom"/>
          </w:tcPr>
          <w:p>
            <w:pPr>
              <w:spacing w:after="0"/>
              <w:rPr>
                <w:sz w:val="1"/>
                <w:szCs w:val="1"/>
                <w:color w:val="auto"/>
              </w:rPr>
            </w:pPr>
          </w:p>
        </w:tc>
      </w:tr>
      <w:tr>
        <w:trPr>
          <w:trHeight w:val="20"/>
        </w:trPr>
        <w:tc>
          <w:tcPr>
            <w:tcW w:w="366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BFE4FF"/>
            </w:tcBorders>
          </w:tcPr>
          <w:p>
            <w:pPr>
              <w:spacing w:after="0" w:line="20" w:lineRule="exact"/>
              <w:rPr>
                <w:sz w:val="1"/>
                <w:szCs w:val="1"/>
                <w:color w:val="auto"/>
              </w:rPr>
            </w:pPr>
          </w:p>
        </w:tc>
        <w:tc>
          <w:tcPr>
            <w:tcW w:w="104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BFE4FF"/>
            </w:tcBorders>
          </w:tcPr>
          <w:p>
            <w:pPr>
              <w:spacing w:after="0" w:line="20" w:lineRule="exact"/>
              <w:rPr>
                <w:sz w:val="1"/>
                <w:szCs w:val="1"/>
                <w:color w:val="auto"/>
              </w:rPr>
            </w:pPr>
          </w:p>
        </w:tc>
        <w:tc>
          <w:tcPr>
            <w:tcW w:w="6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460" w:type="dxa"/>
            <w:vAlign w:val="bottom"/>
            <w:tcBorders>
              <w:top w:val="single" w:sz="8" w:color="BFE4FF"/>
              <w:bottom w:val="single" w:sz="8" w:color="BFE4FF"/>
            </w:tcBorders>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60" w:type="dxa"/>
            <w:vAlign w:val="bottom"/>
            <w:tcBorders>
              <w:top w:val="single" w:sz="8" w:color="BFE4FF"/>
            </w:tcBorders>
          </w:tcPr>
          <w:p>
            <w:pPr>
              <w:spacing w:after="0" w:line="20" w:lineRule="exact"/>
              <w:rPr>
                <w:sz w:val="1"/>
                <w:szCs w:val="1"/>
                <w:color w:val="auto"/>
              </w:rPr>
            </w:pPr>
          </w:p>
        </w:tc>
        <w:tc>
          <w:tcPr>
            <w:tcW w:w="96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60" w:type="dxa"/>
            <w:vAlign w:val="bottom"/>
            <w:tcBorders>
              <w:top w:val="single" w:sz="8" w:color="BFE4FF"/>
            </w:tcBorders>
          </w:tcPr>
          <w:p>
            <w:pPr>
              <w:spacing w:after="0" w:line="20" w:lineRule="exact"/>
              <w:rPr>
                <w:sz w:val="1"/>
                <w:szCs w:val="1"/>
                <w:color w:val="auto"/>
              </w:rPr>
            </w:pPr>
          </w:p>
        </w:tc>
        <w:tc>
          <w:tcPr>
            <w:tcW w:w="40" w:type="dxa"/>
            <w:vAlign w:val="bottom"/>
            <w:tcBorders>
              <w:top w:val="single" w:sz="8" w:color="BFE4FF"/>
            </w:tcBorders>
          </w:tcPr>
          <w:p>
            <w:pPr>
              <w:spacing w:after="0" w:line="20" w:lineRule="exact"/>
              <w:rPr>
                <w:sz w:val="1"/>
                <w:szCs w:val="1"/>
                <w:color w:val="auto"/>
              </w:rPr>
            </w:pPr>
          </w:p>
        </w:tc>
        <w:tc>
          <w:tcPr>
            <w:tcW w:w="6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BFE4FF"/>
              <w:bottom w:val="single" w:sz="8" w:color="auto"/>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80" w:type="dxa"/>
            <w:vAlign w:val="bottom"/>
          </w:tcPr>
          <w:p>
            <w:pPr>
              <w:spacing w:after="0"/>
              <w:rPr>
                <w:sz w:val="18"/>
                <w:szCs w:val="18"/>
                <w:color w:val="auto"/>
              </w:rPr>
            </w:pPr>
          </w:p>
        </w:tc>
        <w:tc>
          <w:tcPr>
            <w:tcW w:w="14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28"/>
        </w:trPr>
        <w:tc>
          <w:tcPr>
            <w:tcW w:w="366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500" w:type="dxa"/>
            <w:vAlign w:val="bottom"/>
            <w:tcBorders>
              <w:top w:val="single" w:sz="8" w:color="BFE4FF"/>
            </w:tcBorders>
            <w:shd w:val="clear" w:color="auto" w:fill="BFE4FF"/>
          </w:tcPr>
          <w:p>
            <w:pPr>
              <w:spacing w:after="0"/>
              <w:rPr>
                <w:sz w:val="19"/>
                <w:szCs w:val="19"/>
                <w:color w:val="auto"/>
              </w:rPr>
            </w:pPr>
          </w:p>
        </w:tc>
        <w:tc>
          <w:tcPr>
            <w:tcW w:w="240" w:type="dxa"/>
            <w:vAlign w:val="bottom"/>
            <w:tcBorders>
              <w:top w:val="single" w:sz="8" w:color="auto"/>
            </w:tcBorders>
            <w:shd w:val="clear" w:color="auto" w:fill="BFE4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BFE4FF"/>
          </w:tcPr>
          <w:p>
            <w:pPr>
              <w:spacing w:after="0"/>
              <w:rPr>
                <w:sz w:val="19"/>
                <w:szCs w:val="19"/>
                <w:color w:val="auto"/>
              </w:rPr>
            </w:pPr>
          </w:p>
        </w:tc>
        <w:tc>
          <w:tcPr>
            <w:tcW w:w="500" w:type="dxa"/>
            <w:vAlign w:val="bottom"/>
            <w:tcBorders>
              <w:top w:val="single" w:sz="8" w:color="auto"/>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98"/>
              </w:rPr>
              <w:t>5,381</w:t>
            </w:r>
          </w:p>
        </w:tc>
        <w:tc>
          <w:tcPr>
            <w:tcW w:w="100" w:type="dxa"/>
            <w:vAlign w:val="bottom"/>
            <w:tcBorders>
              <w:top w:val="single" w:sz="8" w:color="BFE4FF"/>
            </w:tcBorders>
            <w:shd w:val="clear" w:color="auto" w:fill="BFE4FF"/>
          </w:tcPr>
          <w:p>
            <w:pPr>
              <w:spacing w:after="0"/>
              <w:rPr>
                <w:sz w:val="19"/>
                <w:szCs w:val="19"/>
                <w:color w:val="auto"/>
              </w:rPr>
            </w:pPr>
          </w:p>
        </w:tc>
        <w:tc>
          <w:tcPr>
            <w:tcW w:w="38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BFE4FF"/>
          </w:tcPr>
          <w:p>
            <w:pPr>
              <w:spacing w:after="0"/>
              <w:rPr>
                <w:sz w:val="19"/>
                <w:szCs w:val="19"/>
                <w:color w:val="auto"/>
              </w:rPr>
            </w:pPr>
          </w:p>
        </w:tc>
        <w:tc>
          <w:tcPr>
            <w:tcW w:w="60" w:type="dxa"/>
            <w:vAlign w:val="bottom"/>
            <w:tcBorders>
              <w:top w:val="single" w:sz="8" w:color="auto"/>
            </w:tcBorders>
            <w:shd w:val="clear" w:color="auto" w:fill="BFE4FF"/>
          </w:tcPr>
          <w:p>
            <w:pPr>
              <w:spacing w:after="0"/>
              <w:rPr>
                <w:sz w:val="19"/>
                <w:szCs w:val="19"/>
                <w:color w:val="auto"/>
              </w:rPr>
            </w:pPr>
          </w:p>
        </w:tc>
        <w:tc>
          <w:tcPr>
            <w:tcW w:w="120" w:type="dxa"/>
            <w:vAlign w:val="bottom"/>
            <w:tcBorders>
              <w:top w:val="single" w:sz="8" w:color="auto"/>
            </w:tcBorders>
            <w:shd w:val="clear" w:color="auto" w:fill="BFE4FF"/>
          </w:tcPr>
          <w:p>
            <w:pPr>
              <w:spacing w:after="0"/>
              <w:rPr>
                <w:sz w:val="19"/>
                <w:szCs w:val="19"/>
                <w:color w:val="auto"/>
              </w:rPr>
            </w:pPr>
          </w:p>
        </w:tc>
        <w:tc>
          <w:tcPr>
            <w:tcW w:w="7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BFE4FF"/>
            </w:tcBorders>
            <w:shd w:val="clear" w:color="auto" w:fill="BFE4FF"/>
          </w:tcPr>
          <w:p>
            <w:pPr>
              <w:spacing w:after="0"/>
              <w:rPr>
                <w:sz w:val="19"/>
                <w:szCs w:val="19"/>
                <w:color w:val="auto"/>
              </w:rPr>
            </w:pPr>
          </w:p>
        </w:tc>
        <w:tc>
          <w:tcPr>
            <w:tcW w:w="46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spacing w:after="0"/>
              <w:rPr>
                <w:sz w:val="19"/>
                <w:szCs w:val="19"/>
                <w:color w:val="auto"/>
              </w:rPr>
            </w:pPr>
          </w:p>
        </w:tc>
        <w:tc>
          <w:tcPr>
            <w:tcW w:w="960" w:type="dxa"/>
            <w:vAlign w:val="bottom"/>
            <w:tcBorders>
              <w:top w:val="single" w:sz="8" w:color="auto"/>
            </w:tcBorders>
            <w:shd w:val="clear" w:color="auto" w:fill="BFE4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BFE4FF"/>
            </w:tcBorders>
            <w:shd w:val="clear" w:color="auto" w:fill="BFE4FF"/>
          </w:tcPr>
          <w:p>
            <w:pPr>
              <w:spacing w:after="0"/>
              <w:rPr>
                <w:sz w:val="19"/>
                <w:szCs w:val="19"/>
                <w:color w:val="auto"/>
              </w:rPr>
            </w:pPr>
          </w:p>
        </w:tc>
        <w:tc>
          <w:tcPr>
            <w:tcW w:w="100" w:type="dxa"/>
            <w:vAlign w:val="bottom"/>
            <w:tcBorders>
              <w:top w:val="single" w:sz="8" w:color="auto"/>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BFE4FF"/>
          </w:tcPr>
          <w:p>
            <w:pPr>
              <w:spacing w:after="0"/>
              <w:rPr>
                <w:sz w:val="19"/>
                <w:szCs w:val="19"/>
                <w:color w:val="auto"/>
              </w:rPr>
            </w:pPr>
          </w:p>
        </w:tc>
        <w:tc>
          <w:tcPr>
            <w:tcW w:w="460" w:type="dxa"/>
            <w:vAlign w:val="bottom"/>
            <w:tcBorders>
              <w:top w:val="single" w:sz="8" w:color="auto"/>
            </w:tcBorders>
            <w:shd w:val="clear" w:color="auto" w:fill="BFE4FF"/>
          </w:tcPr>
          <w:p>
            <w:pPr>
              <w:spacing w:after="0"/>
              <w:rPr>
                <w:sz w:val="19"/>
                <w:szCs w:val="19"/>
                <w:color w:val="auto"/>
              </w:rPr>
            </w:pPr>
          </w:p>
        </w:tc>
        <w:tc>
          <w:tcPr>
            <w:tcW w:w="9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3"/>
          </w:tcPr>
          <w:p>
            <w:pPr>
              <w:jc w:val="center"/>
              <w:ind w:left="811"/>
              <w:spacing w:after="0"/>
              <w:rPr>
                <w:sz w:val="20"/>
                <w:szCs w:val="20"/>
                <w:color w:val="auto"/>
              </w:rPr>
            </w:pPr>
            <w:r>
              <w:rPr>
                <w:rFonts w:ascii="Times New Roman" w:cs="Times New Roman" w:eastAsia="Times New Roman" w:hAnsi="Times New Roman"/>
                <w:sz w:val="18"/>
                <w:szCs w:val="18"/>
                <w:color w:val="auto"/>
                <w:w w:val="96"/>
              </w:rPr>
              <w:t>11,892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0" w:type="dxa"/>
            <w:vAlign w:val="bottom"/>
          </w:tcPr>
          <w:p>
            <w:pPr>
              <w:spacing w:after="0"/>
              <w:rPr>
                <w:sz w:val="1"/>
                <w:szCs w:val="1"/>
                <w:color w:val="auto"/>
              </w:rPr>
            </w:pPr>
          </w:p>
        </w:tc>
      </w:tr>
      <w:tr>
        <w:trPr>
          <w:trHeight w:val="230"/>
        </w:trPr>
        <w:tc>
          <w:tcPr>
            <w:tcW w:w="36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5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1540" w:type="dxa"/>
            <w:vAlign w:val="bottom"/>
            <w:gridSpan w:val="3"/>
            <w:shd w:val="clear" w:color="auto" w:fill="BFE4FF"/>
          </w:tcPr>
          <w:p>
            <w:pPr>
              <w:jc w:val="center"/>
              <w:ind w:left="791"/>
              <w:spacing w:after="0"/>
              <w:rPr>
                <w:sz w:val="20"/>
                <w:szCs w:val="20"/>
                <w:color w:val="auto"/>
              </w:rPr>
            </w:pPr>
            <w:r>
              <w:rPr>
                <w:rFonts w:ascii="Times New Roman" w:cs="Times New Roman" w:eastAsia="Times New Roman" w:hAnsi="Times New Roman"/>
                <w:sz w:val="18"/>
                <w:szCs w:val="18"/>
                <w:color w:val="auto"/>
              </w:rPr>
              <w:t>18,369</w:t>
            </w: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420" w:type="dxa"/>
            <w:vAlign w:val="bottom"/>
            <w:shd w:val="clear" w:color="auto" w:fill="BFE4FF"/>
          </w:tcPr>
          <w:p>
            <w:pPr>
              <w:spacing w:after="0"/>
              <w:rPr>
                <w:sz w:val="19"/>
                <w:szCs w:val="19"/>
                <w:color w:val="auto"/>
              </w:rPr>
            </w:pPr>
          </w:p>
        </w:tc>
        <w:tc>
          <w:tcPr>
            <w:tcW w:w="940" w:type="dxa"/>
            <w:vAlign w:val="bottom"/>
            <w:gridSpan w:val="3"/>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3"/>
          </w:tcPr>
          <w:p>
            <w:pPr>
              <w:jc w:val="center"/>
              <w:ind w:left="811"/>
              <w:spacing w:after="0"/>
              <w:rPr>
                <w:sz w:val="20"/>
                <w:szCs w:val="20"/>
                <w:color w:val="auto"/>
              </w:rPr>
            </w:pPr>
            <w:r>
              <w:rPr>
                <w:rFonts w:ascii="Times New Roman" w:cs="Times New Roman" w:eastAsia="Times New Roman" w:hAnsi="Times New Roman"/>
                <w:sz w:val="18"/>
                <w:szCs w:val="18"/>
                <w:color w:val="auto"/>
                <w:w w:val="96"/>
              </w:rPr>
              <w:t>11,291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0" w:type="dxa"/>
            <w:vAlign w:val="bottom"/>
          </w:tcPr>
          <w:p>
            <w:pPr>
              <w:spacing w:after="0"/>
              <w:rPr>
                <w:sz w:val="1"/>
                <w:szCs w:val="1"/>
                <w:color w:val="auto"/>
              </w:rPr>
            </w:pPr>
          </w:p>
        </w:tc>
      </w:tr>
      <w:tr>
        <w:trPr>
          <w:trHeight w:val="229"/>
        </w:trPr>
        <w:tc>
          <w:tcPr>
            <w:tcW w:w="36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U.S. asset-backed securities</w:t>
            </w:r>
          </w:p>
        </w:tc>
        <w:tc>
          <w:tcPr>
            <w:tcW w:w="5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1540" w:type="dxa"/>
            <w:vAlign w:val="bottom"/>
            <w:gridSpan w:val="3"/>
            <w:shd w:val="clear" w:color="auto" w:fill="BFE4FF"/>
          </w:tcPr>
          <w:p>
            <w:pPr>
              <w:jc w:val="center"/>
              <w:ind w:left="791"/>
              <w:spacing w:after="0"/>
              <w:rPr>
                <w:sz w:val="20"/>
                <w:szCs w:val="20"/>
                <w:color w:val="auto"/>
              </w:rPr>
            </w:pPr>
            <w:r>
              <w:rPr>
                <w:rFonts w:ascii="Times New Roman" w:cs="Times New Roman" w:eastAsia="Times New Roman" w:hAnsi="Times New Roman"/>
                <w:sz w:val="18"/>
                <w:szCs w:val="18"/>
                <w:color w:val="auto"/>
              </w:rPr>
              <w:t>10,503</w:t>
            </w: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420" w:type="dxa"/>
            <w:vAlign w:val="bottom"/>
            <w:shd w:val="clear" w:color="auto" w:fill="BFE4FF"/>
          </w:tcPr>
          <w:p>
            <w:pPr>
              <w:spacing w:after="0"/>
              <w:rPr>
                <w:sz w:val="19"/>
                <w:szCs w:val="19"/>
                <w:color w:val="auto"/>
              </w:rPr>
            </w:pPr>
          </w:p>
        </w:tc>
        <w:tc>
          <w:tcPr>
            <w:tcW w:w="940" w:type="dxa"/>
            <w:vAlign w:val="bottom"/>
            <w:gridSpan w:val="3"/>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10,509</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gridSpan w:val="3"/>
          </w:tcPr>
          <w:p>
            <w:pPr>
              <w:jc w:val="center"/>
              <w:ind w:left="791"/>
              <w:spacing w:after="0"/>
              <w:rPr>
                <w:sz w:val="20"/>
                <w:szCs w:val="20"/>
                <w:color w:val="auto"/>
              </w:rPr>
            </w:pPr>
            <w:r>
              <w:rPr>
                <w:rFonts w:ascii="Times New Roman" w:cs="Times New Roman" w:eastAsia="Times New Roman" w:hAnsi="Times New Roman"/>
                <w:sz w:val="18"/>
                <w:szCs w:val="18"/>
                <w:color w:val="auto"/>
              </w:rPr>
              <w:t>57,436</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57,457</w:t>
            </w:r>
          </w:p>
        </w:tc>
        <w:tc>
          <w:tcPr>
            <w:tcW w:w="0" w:type="dxa"/>
            <w:vAlign w:val="bottom"/>
          </w:tcPr>
          <w:p>
            <w:pPr>
              <w:spacing w:after="0"/>
              <w:rPr>
                <w:sz w:val="1"/>
                <w:szCs w:val="1"/>
                <w:color w:val="auto"/>
              </w:rPr>
            </w:pPr>
          </w:p>
        </w:tc>
      </w:tr>
      <w:tr>
        <w:trPr>
          <w:trHeight w:val="20"/>
        </w:trPr>
        <w:tc>
          <w:tcPr>
            <w:tcW w:w="3660" w:type="dxa"/>
            <w:vAlign w:val="bottom"/>
            <w:tcBorders>
              <w:bottom w:val="single" w:sz="8" w:color="BFE4FF"/>
            </w:tcBorders>
          </w:tcPr>
          <w:p>
            <w:pPr>
              <w:spacing w:after="0" w:line="20" w:lineRule="exact"/>
              <w:rPr>
                <w:sz w:val="1"/>
                <w:szCs w:val="1"/>
                <w:color w:val="auto"/>
              </w:rPr>
            </w:pPr>
          </w:p>
        </w:tc>
        <w:tc>
          <w:tcPr>
            <w:tcW w:w="50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shd w:val="clear" w:color="auto" w:fill="BFE4FF"/>
          </w:tcPr>
          <w:p>
            <w:pPr>
              <w:ind w:left="20"/>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500" w:type="dxa"/>
            <w:vAlign w:val="bottom"/>
            <w:shd w:val="clear" w:color="auto" w:fill="BFE4FF"/>
          </w:tcPr>
          <w:p>
            <w:pPr>
              <w:spacing w:after="0"/>
              <w:rPr>
                <w:sz w:val="17"/>
                <w:szCs w:val="17"/>
                <w:color w:val="auto"/>
              </w:rPr>
            </w:pPr>
          </w:p>
        </w:tc>
        <w:tc>
          <w:tcPr>
            <w:tcW w:w="240" w:type="dxa"/>
            <w:vAlign w:val="bottom"/>
            <w:shd w:val="clear" w:color="auto" w:fill="BFE4FF"/>
          </w:tcPr>
          <w:p>
            <w:pPr>
              <w:spacing w:after="0"/>
              <w:rPr>
                <w:sz w:val="17"/>
                <w:szCs w:val="17"/>
                <w:color w:val="auto"/>
              </w:rPr>
            </w:pPr>
          </w:p>
        </w:tc>
        <w:tc>
          <w:tcPr>
            <w:tcW w:w="104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38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380" w:type="dxa"/>
            <w:vAlign w:val="bottom"/>
            <w:shd w:val="clear" w:color="auto" w:fill="BFE4FF"/>
          </w:tcPr>
          <w:p>
            <w:pPr>
              <w:spacing w:after="0"/>
              <w:rPr>
                <w:sz w:val="17"/>
                <w:szCs w:val="17"/>
                <w:color w:val="auto"/>
              </w:rPr>
            </w:pPr>
          </w:p>
        </w:tc>
        <w:tc>
          <w:tcPr>
            <w:tcW w:w="420" w:type="dxa"/>
            <w:vAlign w:val="bottom"/>
            <w:shd w:val="clear" w:color="auto" w:fill="BFE4FF"/>
          </w:tcPr>
          <w:p>
            <w:pPr>
              <w:spacing w:after="0"/>
              <w:rPr>
                <w:sz w:val="17"/>
                <w:szCs w:val="17"/>
                <w:color w:val="auto"/>
              </w:rPr>
            </w:pPr>
          </w:p>
        </w:tc>
        <w:tc>
          <w:tcPr>
            <w:tcW w:w="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7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4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60" w:type="dxa"/>
            <w:vAlign w:val="bottom"/>
            <w:shd w:val="clear" w:color="auto" w:fill="BFE4FF"/>
          </w:tcPr>
          <w:p>
            <w:pPr>
              <w:spacing w:after="0"/>
              <w:rPr>
                <w:sz w:val="17"/>
                <w:szCs w:val="17"/>
                <w:color w:val="auto"/>
              </w:rPr>
            </w:pPr>
          </w:p>
        </w:tc>
        <w:tc>
          <w:tcPr>
            <w:tcW w:w="9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6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60" w:type="dxa"/>
            <w:vAlign w:val="bottom"/>
            <w:shd w:val="clear" w:color="auto" w:fill="BFE4FF"/>
          </w:tcPr>
          <w:p>
            <w:pPr>
              <w:spacing w:after="0"/>
              <w:rPr>
                <w:sz w:val="17"/>
                <w:szCs w:val="17"/>
                <w:color w:val="auto"/>
              </w:rPr>
            </w:pPr>
          </w:p>
        </w:tc>
        <w:tc>
          <w:tcPr>
            <w:tcW w:w="460" w:type="dxa"/>
            <w:vAlign w:val="bottom"/>
            <w:shd w:val="clear" w:color="auto" w:fill="BFE4FF"/>
          </w:tcPr>
          <w:p>
            <w:pPr>
              <w:spacing w:after="0"/>
              <w:rPr>
                <w:sz w:val="17"/>
                <w:szCs w:val="17"/>
                <w:color w:val="auto"/>
              </w:rPr>
            </w:pPr>
          </w:p>
        </w:tc>
        <w:tc>
          <w:tcPr>
            <w:tcW w:w="90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29"/>
        </w:trPr>
        <w:tc>
          <w:tcPr>
            <w:tcW w:w="36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5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42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42,829</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500" w:type="dxa"/>
            <w:vAlign w:val="bottom"/>
            <w:tcBorders>
              <w:bottom w:val="single" w:sz="8" w:color="BFE4FF"/>
            </w:tcBorders>
          </w:tcPr>
          <w:p>
            <w:pPr>
              <w:spacing w:after="0"/>
              <w:rPr>
                <w:sz w:val="19"/>
                <w:szCs w:val="19"/>
                <w:color w:val="auto"/>
              </w:rPr>
            </w:pPr>
          </w:p>
        </w:tc>
        <w:tc>
          <w:tcPr>
            <w:tcW w:w="240" w:type="dxa"/>
            <w:vAlign w:val="bottom"/>
            <w:tcBorders>
              <w:bottom w:val="single" w:sz="8" w:color="BFE4FF"/>
            </w:tcBorders>
          </w:tcPr>
          <w:p>
            <w:pPr>
              <w:spacing w:after="0"/>
              <w:rPr>
                <w:sz w:val="19"/>
                <w:szCs w:val="19"/>
                <w:color w:val="auto"/>
              </w:rPr>
            </w:pPr>
          </w:p>
        </w:tc>
        <w:tc>
          <w:tcPr>
            <w:tcW w:w="1040" w:type="dxa"/>
            <w:vAlign w:val="bottom"/>
            <w:tcBorders>
              <w:bottom w:val="single" w:sz="8" w:color="BFE4FF"/>
            </w:tcBorders>
          </w:tcPr>
          <w:p>
            <w:pPr>
              <w:spacing w:after="0"/>
              <w:rPr>
                <w:sz w:val="19"/>
                <w:szCs w:val="19"/>
                <w:color w:val="auto"/>
              </w:rPr>
            </w:pPr>
          </w:p>
        </w:tc>
        <w:tc>
          <w:tcPr>
            <w:tcW w:w="120" w:type="dxa"/>
            <w:vAlign w:val="bottom"/>
            <w:tcBorders>
              <w:bottom w:val="single" w:sz="8" w:color="BFE4FF"/>
            </w:tcBorders>
          </w:tcPr>
          <w:p>
            <w:pPr>
              <w:spacing w:after="0"/>
              <w:rPr>
                <w:sz w:val="19"/>
                <w:szCs w:val="19"/>
                <w:color w:val="auto"/>
              </w:rPr>
            </w:pPr>
          </w:p>
        </w:tc>
        <w:tc>
          <w:tcPr>
            <w:tcW w:w="380" w:type="dxa"/>
            <w:vAlign w:val="bottom"/>
            <w:tcBorders>
              <w:bottom w:val="single" w:sz="8" w:color="BFE4FF"/>
            </w:tcBorders>
          </w:tcPr>
          <w:p>
            <w:pPr>
              <w:spacing w:after="0"/>
              <w:rPr>
                <w:sz w:val="19"/>
                <w:szCs w:val="19"/>
                <w:color w:val="auto"/>
              </w:rPr>
            </w:pPr>
          </w:p>
        </w:tc>
        <w:tc>
          <w:tcPr>
            <w:tcW w:w="100" w:type="dxa"/>
            <w:vAlign w:val="bottom"/>
            <w:tcBorders>
              <w:bottom w:val="single" w:sz="8" w:color="BFE4FF"/>
            </w:tcBorders>
          </w:tcPr>
          <w:p>
            <w:pPr>
              <w:spacing w:after="0"/>
              <w:rPr>
                <w:sz w:val="19"/>
                <w:szCs w:val="19"/>
                <w:color w:val="auto"/>
              </w:rPr>
            </w:pPr>
          </w:p>
        </w:tc>
        <w:tc>
          <w:tcPr>
            <w:tcW w:w="380" w:type="dxa"/>
            <w:vAlign w:val="bottom"/>
            <w:tcBorders>
              <w:bottom w:val="single" w:sz="8" w:color="BFE4FF"/>
            </w:tcBorders>
          </w:tcPr>
          <w:p>
            <w:pPr>
              <w:spacing w:after="0"/>
              <w:rPr>
                <w:sz w:val="19"/>
                <w:szCs w:val="19"/>
                <w:color w:val="auto"/>
              </w:rPr>
            </w:pPr>
          </w:p>
        </w:tc>
        <w:tc>
          <w:tcPr>
            <w:tcW w:w="420" w:type="dxa"/>
            <w:vAlign w:val="bottom"/>
            <w:tcBorders>
              <w:bottom w:val="single" w:sz="8" w:color="BFE4FF"/>
            </w:tcBorders>
          </w:tcPr>
          <w:p>
            <w:pPr>
              <w:spacing w:after="0"/>
              <w:rPr>
                <w:sz w:val="19"/>
                <w:szCs w:val="19"/>
                <w:color w:val="auto"/>
              </w:rPr>
            </w:pPr>
          </w:p>
        </w:tc>
        <w:tc>
          <w:tcPr>
            <w:tcW w:w="60" w:type="dxa"/>
            <w:vAlign w:val="bottom"/>
            <w:tcBorders>
              <w:bottom w:val="single" w:sz="8" w:color="BFE4FF"/>
            </w:tcBorders>
          </w:tcPr>
          <w:p>
            <w:pPr>
              <w:spacing w:after="0"/>
              <w:rPr>
                <w:sz w:val="19"/>
                <w:szCs w:val="19"/>
                <w:color w:val="auto"/>
              </w:rPr>
            </w:pPr>
          </w:p>
        </w:tc>
        <w:tc>
          <w:tcPr>
            <w:tcW w:w="120" w:type="dxa"/>
            <w:vAlign w:val="bottom"/>
            <w:tcBorders>
              <w:bottom w:val="single" w:sz="8" w:color="BFE4FF"/>
            </w:tcBorders>
          </w:tcPr>
          <w:p>
            <w:pPr>
              <w:spacing w:after="0"/>
              <w:rPr>
                <w:sz w:val="19"/>
                <w:szCs w:val="19"/>
                <w:color w:val="auto"/>
              </w:rPr>
            </w:pPr>
          </w:p>
        </w:tc>
        <w:tc>
          <w:tcPr>
            <w:tcW w:w="760" w:type="dxa"/>
            <w:vAlign w:val="bottom"/>
            <w:tcBorders>
              <w:bottom w:val="single" w:sz="8" w:color="BFE4FF"/>
            </w:tcBorders>
          </w:tcPr>
          <w:p>
            <w:pPr>
              <w:spacing w:after="0"/>
              <w:rPr>
                <w:sz w:val="19"/>
                <w:szCs w:val="19"/>
                <w:color w:val="auto"/>
              </w:rPr>
            </w:pPr>
          </w:p>
        </w:tc>
        <w:tc>
          <w:tcPr>
            <w:tcW w:w="120" w:type="dxa"/>
            <w:vAlign w:val="bottom"/>
            <w:tcBorders>
              <w:bottom w:val="single" w:sz="8" w:color="BFE4FF"/>
            </w:tcBorders>
          </w:tcPr>
          <w:p>
            <w:pPr>
              <w:spacing w:after="0"/>
              <w:rPr>
                <w:sz w:val="19"/>
                <w:szCs w:val="19"/>
                <w:color w:val="auto"/>
              </w:rPr>
            </w:pPr>
          </w:p>
        </w:tc>
        <w:tc>
          <w:tcPr>
            <w:tcW w:w="460" w:type="dxa"/>
            <w:vAlign w:val="bottom"/>
            <w:tcBorders>
              <w:bottom w:val="single" w:sz="8" w:color="BFE4FF"/>
            </w:tcBorders>
          </w:tcPr>
          <w:p>
            <w:pPr>
              <w:spacing w:after="0"/>
              <w:rPr>
                <w:sz w:val="19"/>
                <w:szCs w:val="19"/>
                <w:color w:val="auto"/>
              </w:rPr>
            </w:pPr>
          </w:p>
        </w:tc>
        <w:tc>
          <w:tcPr>
            <w:tcW w:w="120" w:type="dxa"/>
            <w:vAlign w:val="bottom"/>
            <w:tcBorders>
              <w:bottom w:val="single" w:sz="8" w:color="BFE4FF"/>
            </w:tcBorders>
          </w:tcPr>
          <w:p>
            <w:pPr>
              <w:spacing w:after="0"/>
              <w:rPr>
                <w:sz w:val="19"/>
                <w:szCs w:val="19"/>
                <w:color w:val="auto"/>
              </w:rPr>
            </w:pPr>
          </w:p>
        </w:tc>
        <w:tc>
          <w:tcPr>
            <w:tcW w:w="160" w:type="dxa"/>
            <w:vAlign w:val="bottom"/>
            <w:tcBorders>
              <w:bottom w:val="single" w:sz="8" w:color="BFE4FF"/>
            </w:tcBorders>
          </w:tcPr>
          <w:p>
            <w:pPr>
              <w:spacing w:after="0"/>
              <w:rPr>
                <w:sz w:val="19"/>
                <w:szCs w:val="19"/>
                <w:color w:val="auto"/>
              </w:rPr>
            </w:pPr>
          </w:p>
        </w:tc>
        <w:tc>
          <w:tcPr>
            <w:tcW w:w="960" w:type="dxa"/>
            <w:vAlign w:val="bottom"/>
            <w:tcBorders>
              <w:bottom w:val="single" w:sz="8" w:color="BFE4FF"/>
            </w:tcBorders>
          </w:tcPr>
          <w:p>
            <w:pPr>
              <w:spacing w:after="0"/>
              <w:rPr>
                <w:sz w:val="19"/>
                <w:szCs w:val="19"/>
                <w:color w:val="auto"/>
              </w:rPr>
            </w:pPr>
          </w:p>
        </w:tc>
        <w:tc>
          <w:tcPr>
            <w:tcW w:w="120" w:type="dxa"/>
            <w:vAlign w:val="bottom"/>
            <w:tcBorders>
              <w:bottom w:val="single" w:sz="8" w:color="BFE4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0" w:type="dxa"/>
            <w:vAlign w:val="bottom"/>
          </w:tcPr>
          <w:p>
            <w:pPr>
              <w:spacing w:after="0"/>
              <w:rPr>
                <w:sz w:val="1"/>
                <w:szCs w:val="1"/>
                <w:color w:val="auto"/>
              </w:rPr>
            </w:pPr>
          </w:p>
        </w:tc>
      </w:tr>
      <w:tr>
        <w:trPr>
          <w:trHeight w:val="248"/>
        </w:trPr>
        <w:tc>
          <w:tcPr>
            <w:tcW w:w="366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auto"/>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BFE4FF"/>
          </w:tcPr>
          <w:p>
            <w:pPr>
              <w:spacing w:after="0"/>
              <w:rPr>
                <w:sz w:val="21"/>
                <w:szCs w:val="21"/>
                <w:color w:val="auto"/>
              </w:rPr>
            </w:pPr>
          </w:p>
        </w:tc>
        <w:tc>
          <w:tcPr>
            <w:tcW w:w="460" w:type="dxa"/>
            <w:vAlign w:val="bottom"/>
            <w:tcBorders>
              <w:bottom w:val="single" w:sz="8" w:color="auto"/>
            </w:tcBorders>
            <w:shd w:val="clear" w:color="auto" w:fill="BFE4FF"/>
          </w:tcPr>
          <w:p>
            <w:pPr>
              <w:spacing w:after="0"/>
              <w:rPr>
                <w:sz w:val="21"/>
                <w:szCs w:val="21"/>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57,457</w:t>
            </w:r>
          </w:p>
        </w:tc>
        <w:tc>
          <w:tcPr>
            <w:tcW w:w="0" w:type="dxa"/>
            <w:vAlign w:val="bottom"/>
          </w:tcPr>
          <w:p>
            <w:pPr>
              <w:spacing w:after="0"/>
              <w:rPr>
                <w:sz w:val="1"/>
                <w:szCs w:val="1"/>
                <w:color w:val="auto"/>
              </w:rPr>
            </w:pPr>
          </w:p>
        </w:tc>
      </w:tr>
      <w:tr>
        <w:trPr>
          <w:trHeight w:val="20"/>
        </w:trPr>
        <w:tc>
          <w:tcPr>
            <w:tcW w:w="366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BFE4FF"/>
            </w:tcBorders>
          </w:tcPr>
          <w:p>
            <w:pPr>
              <w:spacing w:after="0" w:line="20" w:lineRule="exact"/>
              <w:rPr>
                <w:sz w:val="1"/>
                <w:szCs w:val="1"/>
                <w:color w:val="auto"/>
              </w:rPr>
            </w:pPr>
          </w:p>
        </w:tc>
        <w:tc>
          <w:tcPr>
            <w:tcW w:w="104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BFE4FF"/>
            </w:tcBorders>
          </w:tcPr>
          <w:p>
            <w:pPr>
              <w:spacing w:after="0" w:line="20" w:lineRule="exact"/>
              <w:rPr>
                <w:sz w:val="1"/>
                <w:szCs w:val="1"/>
                <w:color w:val="auto"/>
              </w:rPr>
            </w:pPr>
          </w:p>
        </w:tc>
        <w:tc>
          <w:tcPr>
            <w:tcW w:w="6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76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tcBorders>
          </w:tcPr>
          <w:p>
            <w:pPr>
              <w:spacing w:after="0" w:line="20" w:lineRule="exact"/>
              <w:rPr>
                <w:sz w:val="1"/>
                <w:szCs w:val="1"/>
                <w:color w:val="auto"/>
              </w:rPr>
            </w:pPr>
          </w:p>
        </w:tc>
        <w:tc>
          <w:tcPr>
            <w:tcW w:w="96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60" w:type="dxa"/>
            <w:vAlign w:val="bottom"/>
            <w:tcBorders>
              <w:top w:val="single" w:sz="8" w:color="BFE4FF"/>
              <w:bottom w:val="single" w:sz="8" w:color="auto"/>
            </w:tcBorders>
          </w:tcPr>
          <w:p>
            <w:pPr>
              <w:spacing w:after="0" w:line="20" w:lineRule="exact"/>
              <w:rPr>
                <w:sz w:val="1"/>
                <w:szCs w:val="1"/>
                <w:color w:val="auto"/>
              </w:rPr>
            </w:pPr>
          </w:p>
        </w:tc>
        <w:tc>
          <w:tcPr>
            <w:tcW w:w="40" w:type="dxa"/>
            <w:vAlign w:val="bottom"/>
            <w:tcBorders>
              <w:top w:val="single" w:sz="8" w:color="BFE4FF"/>
              <w:bottom w:val="single" w:sz="8" w:color="auto"/>
            </w:tcBorders>
          </w:tcPr>
          <w:p>
            <w:pPr>
              <w:spacing w:after="0" w:line="20" w:lineRule="exact"/>
              <w:rPr>
                <w:sz w:val="1"/>
                <w:szCs w:val="1"/>
                <w:color w:val="auto"/>
              </w:rPr>
            </w:pPr>
          </w:p>
        </w:tc>
        <w:tc>
          <w:tcPr>
            <w:tcW w:w="60" w:type="dxa"/>
            <w:vAlign w:val="bottom"/>
            <w:tcBorders>
              <w:top w:val="single" w:sz="8" w:color="BFE4FF"/>
              <w:bottom w:val="single" w:sz="8" w:color="auto"/>
            </w:tcBorders>
          </w:tcPr>
          <w:p>
            <w:pPr>
              <w:spacing w:after="0" w:line="20" w:lineRule="exact"/>
              <w:rPr>
                <w:sz w:val="1"/>
                <w:szCs w:val="1"/>
                <w:color w:val="auto"/>
              </w:rPr>
            </w:pPr>
          </w:p>
        </w:tc>
        <w:tc>
          <w:tcPr>
            <w:tcW w:w="460" w:type="dxa"/>
            <w:vAlign w:val="bottom"/>
            <w:tcBorders>
              <w:top w:val="single" w:sz="8" w:color="BFE4FF"/>
              <w:bottom w:val="single" w:sz="8" w:color="auto"/>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3"/>
        </w:trPr>
        <w:tc>
          <w:tcPr>
            <w:tcW w:w="36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jc w:val="both"/>
        <w:ind w:firstLine="243"/>
        <w:spacing w:after="0" w:line="242" w:lineRule="auto"/>
        <w:rPr>
          <w:sz w:val="20"/>
          <w:szCs w:val="20"/>
          <w:color w:val="auto"/>
        </w:rPr>
      </w:pPr>
      <w:r>
        <w:rPr>
          <w:rFonts w:ascii="Times New Roman" w:cs="Times New Roman" w:eastAsia="Times New Roman" w:hAnsi="Times New Roman"/>
          <w:sz w:val="18"/>
          <w:szCs w:val="18"/>
          <w:color w:val="auto"/>
        </w:rPr>
        <w:t>As of September 30, 2020 we held short-term investments and as of December 31, 2019, we held both short-term and long-term investments. Investments classified as short-term have maturities of less than one year. Investments classified as long-term are those that: (i) have a maturity of greater than one year, and (ii) we do not intend to liquidate within the next twelve months, although these funds are available for use and, therefore, are classified as available-for-sale. The Company's investment strategy is to buy short-duration marketable securities with a high credit rating. As of September 30, 2020 and December 31, 2019, all marketable securities held by the Company had remaining contractual maturities of three years or less.</w:t>
      </w:r>
    </w:p>
    <w:p>
      <w:pPr>
        <w:spacing w:after="0" w:line="198" w:lineRule="exact"/>
        <w:rPr>
          <w:sz w:val="20"/>
          <w:szCs w:val="20"/>
          <w:color w:val="auto"/>
        </w:rPr>
      </w:pPr>
    </w:p>
    <w:p>
      <w:pPr>
        <w:jc w:val="both"/>
        <w:ind w:firstLine="243"/>
        <w:spacing w:after="0" w:line="227" w:lineRule="auto"/>
        <w:rPr>
          <w:sz w:val="20"/>
          <w:szCs w:val="20"/>
          <w:color w:val="auto"/>
        </w:rPr>
      </w:pPr>
      <w:r>
        <w:rPr>
          <w:rFonts w:ascii="Times New Roman" w:cs="Times New Roman" w:eastAsia="Times New Roman" w:hAnsi="Times New Roman"/>
          <w:sz w:val="18"/>
          <w:szCs w:val="18"/>
          <w:color w:val="auto"/>
        </w:rPr>
        <w:t xml:space="preserve">Unrealized gains are included as a component of accumulated other comprehensive income in the condensed consolidated balance sheets and statements of stockholders’ equity and a component of total comprehensive loss in the condensed consolidated statements of comprehensive loss, until realized. Unrealized losses are evaluated for impairment under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to determine if the impairment is credit-related or non credit-related. Credit-related impairment is recognized as an allowance on the balance sheet with a corresponding adjustment to earnings, and non credit-related impairment is recognized in other comprehensive income, net of taxes. There were no material realized losses on marketable securities for the three and nine months ended September 30, 2020 and 2019.</w:t>
      </w:r>
    </w:p>
    <w:p>
      <w:pPr>
        <w:spacing w:after="0" w:line="202" w:lineRule="exact"/>
        <w:rPr>
          <w:sz w:val="20"/>
          <w:szCs w:val="20"/>
          <w:color w:val="auto"/>
        </w:rPr>
      </w:pPr>
    </w:p>
    <w:p>
      <w:pPr>
        <w:jc w:val="both"/>
        <w:ind w:firstLine="243"/>
        <w:spacing w:after="0" w:line="232" w:lineRule="auto"/>
        <w:rPr>
          <w:sz w:val="20"/>
          <w:szCs w:val="20"/>
          <w:color w:val="auto"/>
        </w:rPr>
      </w:pPr>
      <w:r>
        <w:rPr>
          <w:rFonts w:ascii="Times New Roman" w:cs="Times New Roman" w:eastAsia="Times New Roman" w:hAnsi="Times New Roman"/>
          <w:sz w:val="18"/>
          <w:szCs w:val="18"/>
          <w:color w:val="auto"/>
        </w:rPr>
        <w:t>The Company evaluated its investments for impairment under ASC 326. Any allowance for credit losses are recorded at the lower of either the fair market value less book value or the difference between the present value of future cash flows and the book value. As of September 30, 2020, the analysis under ASU 2016-13 and the current macroeconomic impact of the COVID-19 pandemic did not result in material allowances for credit losses. There have been no impairments of the Company’s assets measured and carried at fair value as of September 30, 2020.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ind w:left="660" w:right="2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There was no movement between Level 1 and Level 2 or between Level 2 and Level 3 from December 31, 2019 to September 30, 2020. Assets and liabilities measured at fair value are classified in their entirety based on the lowest level of input that is significant to the fair value measurement. The commercial paper, corporate notes, U.S. government securities, U.S. government agency bonds and U.S. asset-backed securities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following table summarizes the valuation of the Company’s financial instruments that are measured at fair value on a recurring basis:</w:t>
      </w:r>
    </w:p>
    <w:p>
      <w:pPr>
        <w:sectPr>
          <w:pgSz w:w="11900" w:h="16838" w:orient="portrait"/>
          <w:cols w:equalWidth="0" w:num="1">
            <w:col w:w="11240"/>
          </w:cols>
          <w:pgMar w:left="320" w:top="1350" w:right="339" w:bottom="1440" w:gutter="0" w:footer="0" w:header="0"/>
        </w:sectPr>
      </w:pPr>
    </w:p>
    <w:p>
      <w:pPr>
        <w:spacing w:after="0" w:line="10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24765</wp:posOffset>
            </wp:positionV>
            <wp:extent cx="25374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24765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9" w:lineRule="exact"/>
        <w:rPr>
          <w:sz w:val="20"/>
          <w:szCs w:val="20"/>
          <w:color w:val="auto"/>
        </w:rPr>
      </w:pPr>
    </w:p>
    <w:p>
      <w:pPr>
        <w:sectPr>
          <w:pgSz w:w="11900" w:h="16838" w:orient="portrait"/>
          <w:cols w:equalWidth="0" w:num="2">
            <w:col w:w="7780" w:space="720"/>
            <w:col w:w="2740"/>
          </w:cols>
          <w:pgMar w:left="320" w:top="1350" w:right="339" w:bottom="1440" w:gutter="0" w:footer="0" w:header="0"/>
          <w:type w:val="continuous"/>
        </w:sectPr>
      </w:pPr>
    </w:p>
    <w:tbl>
      <w:tblPr>
        <w:tblLayout w:type="fixed"/>
        <w:tblInd w:w="140" w:type="dxa"/>
        <w:tblCellMar>
          <w:top w:w="0" w:type="dxa"/>
          <w:left w:w="0" w:type="dxa"/>
          <w:bottom w:w="0" w:type="dxa"/>
          <w:right w:w="0" w:type="dxa"/>
        </w:tblCellMar>
      </w:tblPr>
      <w:tr>
        <w:trPr>
          <w:trHeight w:val="19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3"/>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30"/>
        </w:trPr>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asset-backed securities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70,094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the cash equivalents and marketable securities are based on observable market prices. See note 8 for impact of ASU 2016-13 on the investment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10. Net Income (Loss) Per Common Share</w:t>
      </w:r>
    </w:p>
    <w:p>
      <w:pPr>
        <w:spacing w:after="0" w:line="256" w:lineRule="exact"/>
        <w:rPr>
          <w:sz w:val="20"/>
          <w:szCs w:val="20"/>
          <w:color w:val="auto"/>
        </w:rPr>
      </w:pPr>
    </w:p>
    <w:p>
      <w:pPr>
        <w:ind w:right="640" w:firstLine="243"/>
        <w:spacing w:after="0" w:line="282" w:lineRule="auto"/>
        <w:rPr>
          <w:sz w:val="20"/>
          <w:szCs w:val="20"/>
          <w:color w:val="auto"/>
        </w:rPr>
      </w:pPr>
      <w:r>
        <w:rPr>
          <w:rFonts w:ascii="Times New Roman" w:cs="Times New Roman" w:eastAsia="Times New Roman" w:hAnsi="Times New Roman"/>
          <w:sz w:val="18"/>
          <w:szCs w:val="18"/>
          <w:color w:val="auto"/>
        </w:rPr>
        <w:t>The following reflects the net income (loss) attributable to common shareholders and share data used in the basic and diluted earnings per share computations using the two class method: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56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w:t>
            </w: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0" w:type="dxa"/>
            <w:vAlign w:val="bottom"/>
          </w:tcPr>
          <w:p>
            <w:pPr>
              <w:spacing w:after="0"/>
              <w:rPr>
                <w:sz w:val="1"/>
                <w:szCs w:val="1"/>
                <w:color w:val="auto"/>
              </w:rPr>
            </w:pPr>
          </w:p>
        </w:tc>
      </w:tr>
      <w:tr>
        <w:trPr>
          <w:trHeight w:val="175"/>
        </w:trPr>
        <w:tc>
          <w:tcPr>
            <w:tcW w:w="55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Net income (loss) per share attributable to common shareholders</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8"/>
        </w:trPr>
        <w:tc>
          <w:tcPr>
            <w:tcW w:w="55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5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Net income (loss) per share attributable to common shareholders</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8"/>
        </w:trPr>
        <w:tc>
          <w:tcPr>
            <w:tcW w:w="55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shares excluded from the calculation of diluted earnings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per share</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 xml:space="preserve"> (amounts in millions):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4"/>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2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80" w:hanging="254"/>
        <w:spacing w:after="0"/>
        <w:tabs>
          <w:tab w:leader="none" w:pos="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equivalent shares are not included in the diluted per share calculation where the effect of their inclusion would be anti-dilutive.</w:t>
      </w:r>
    </w:p>
    <w:p>
      <w:pPr>
        <w:spacing w:after="0" w:line="32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NexoBrid License and Supply Agreements</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On May 6, 2019, the Company entered into exclusive license and supply agreements with MediWound to commercialize NexoBrid and any improvements to NexoBrid in North America. NexoBrid is a topically-administered biological product that enzymatically removes nonviable burn tissue, or eschar, in patients with deep partial and full-thickness thermal burns. NexoBrid is currently in clinical development in North America, and pursuant to the terms of the license agreement, MediWound will continue to conduct all clinical activities described in the development plan to support the Biologics License Application (BLA) filing with the United States Food and Drug Administration (FDA) under the supervision of a Central Steering Committee comprised of members of each party. On June 30, 2020, the Company announced the submission of the BLA to the FDA seeking the approval of NexoBrid. On September 16, 2020, the Company announced that the FDA has accepted the BLA for review and has assigned a Prescription Drug User Fee Act (PDUFA) goal date of June 29, 2021. NexoBrid is approved in the European Union and other international markets and has been designated as an orphan biologic in the United States, European Union and other international markets.</w:t>
      </w:r>
    </w:p>
    <w:p>
      <w:pPr>
        <w:spacing w:after="0" w:line="215"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May 2019, the Company paid MediWound $17.5 million in consideration for the license. The $17.5 million upfront payment was recorded to research and development expense during 2019, as the license was considered in process research and development. The Company is also obligated to pay MediWound $7.5 million, which is contingent upon U.S. regulatory approval of the BLA for NexoBrid and up to $125 million contingent upon meeting certain sales milestones. The first sales milestone of $7.5 million would be triggered when annual net sales of NexoBrid or improvements to it in North America exceed $75 million. As of September 30, 2020, the milestone payments are not yet probable and therefore, not considered a liability. The Company also will pay MediWound tiered royalties on net sales ranging from mid-high single-digit to mid-teen percentages, subject to customary reductions. The Company also entered into a supply agreement with MediWound under which MediWound will manufacture NexoBrid for the Company on a unit price basis which may be increased based on a published index. MediWound is obligated to supply the Company with NexoBrid for sale in North America on an exclusive basis for the first five years of the term of the supply agreement. After the exclusivity period or upon supply failure, the Company will be permitted to establish an alternate source of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20" w:name="page21"/>
    <w:bookmarkEnd w:id="20"/>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BARDA has committed to procure NexoBrid directly from MediWound under an emergency use authorization, and under such commitment the Company will receive a percentage of gross profit for sales directly to BARDA. If BARDA procures NexoBrid directly from Vericel, the Company will pay a percentage of gross profits to MediWound on initial committed amounts and a royalty on any additional BARDA purchases of NexoBrid beyond the initial committed amount. As of September 30, 2020, the Company does not hold a direct contract or distribution agreement with BARDA. On August 25, 2020, BARDA accepted the first shipment of NexoBrid for emergency use preparedness per the agreement between BARDA and MediWound. As a result, the Company recognized $1.2 million of revenue during the three months ended September 30, 2020; see note 4 for further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Company's purchase commitments consist of minimum purchase amounts of materials used in the Company's cell manufacturing process to manufacture its marketed cell therapy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243"/>
        <w:spacing w:after="0" w:line="234" w:lineRule="auto"/>
        <w:rPr>
          <w:sz w:val="20"/>
          <w:szCs w:val="20"/>
          <w:color w:val="auto"/>
        </w:rPr>
      </w:pPr>
      <w:r>
        <w:rPr>
          <w:rFonts w:ascii="Times New Roman" w:cs="Times New Roman" w:eastAsia="Times New Roman" w:hAnsi="Times New Roman"/>
          <w:sz w:val="18"/>
          <w:szCs w:val="18"/>
          <w:color w:val="auto"/>
        </w:rPr>
        <w:t>Vericel Corporation is a leader in advanced cell therapies and specialty biologics for the sports medicine and severe burn care markets. We currently market two FDA approved autologous cell therapy products in the United States.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(cultured epidermal autografts) is a permanent skin replacement Humanitarian Use Device (HUD) for the treatment of adult and pediatric patients with deep-dermal or full-thickness burns comprising greater than or equal to 30 percent of total body surface area (TBSA). We also hold an exclusive license from MediWound Ltd. for North American rights to NexoBrid, a registration-stage biological orphan product for debridement of severe thermal burns.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pandemic caused by the spread of a novel strain of coronavirus (COVID-19) has created volatility, uncertainty and economic disruption in both domestic and international markets. After the virus was first reported in China and rapidly spread globally, the World Health Organization (WHO) declared the outbreak a pandemic on March 11, 2020, and the President of the United States declared a national health emergency immediately thereafter. Following the President’s declaration, state governments, including those in Massachusetts and Michigan where our operations are located, began issuing orders requiring businesses that do not conduct essential services to temporarily close their physical workplaces to employees and customers. The status and application of those orders have varied on a state-by-state basis since the early days of the pandemic. Because Vericel is deemed an essential business, we continue to be exempt from such state orders in their current forms.</w:t>
      </w:r>
    </w:p>
    <w:p>
      <w:pPr>
        <w:spacing w:after="0" w:line="216"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Notwithstanding being an essential business, Vericel’s business and operations have been adversely impacted by the effects of COVID-19. In mid-March, the American College of Surgeons and United States Surgeon General recommended that each hospital, health system, and surgeon minimize, postpone, or cancel electively scheduled surgeries. These recommendations were followed by numerous state level executive orders either restricting or partially restricting elective surgeries. Because MACI is an elective surgical procedure, as a result of these restrictions, beginning in mid-March 2020, we began to experience a significant increase in cancellations of scheduled MACI procedures as well as a slowdown in new MACI orders. By early April 2020, 45 states, representing over 95% of total U.S. surgical capacity had issued either mandates or recommendations and guidelines suspending elective surgical procedures. The widespread suspension of elective procedures impacted our business and operations during the first and second quarters of 2020. These restrictions began to ease in May and, by the end of September 2020, there were no state orders in place that directly impacted a surgeon’s or patient’s ability to move forward with a MACI surgery. Consequently, MACI procedure and order volumes have recovered in recent months. In late September and October 2020, the number of COVID-19 infections began to increase markedly in various geographies, and on November 1, 2020, the rolling seven-day average of new daily coronavirus cases in the United States reached the highest level at any point during the pandemic. Although hospitals are now better prepared for a subsequent surge in COVID-19 patients, the risk remains that regional or local restrictions could again be placed on the performance of elective surgical procedures if the number of COVID-19 infections in the United States continues to rise. Because Epicel is used almost exclusively in the emergent setting by burn centers and surgeons throughout the country, Epicel revenue and procedure volumes have been less effected by the pandemic.</w:t>
      </w:r>
    </w:p>
    <w:p>
      <w:pPr>
        <w:spacing w:after="0" w:line="22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March 2020, Vericel put in place a comprehensive workplace protection plan, which institutes protective measures in response to COVID-19. These measures include mandatory employee training on social distancing and hygiene protocols, conducting daily health screenings of all employees, vendors and visitors entering our facilities, canceling all international business travel, limiting domestic business travel to essential purpose travel only, requesting that employees limit non-essential personal travel, enhancing our facilities’ janitorial and sanitary procedures, making certain physical modifications and enhancements to our facilities to enable effective social distancing among employees, providing certain personal protective equipment to employees working in our offices, encouraging employees to work from home to the extent their job function enables them to do so, limiting third-party access to our facilities, encouraging the use of virtual employee meetings, modifying the manner and schedule of on-site production activities, and providing guidance to our field-based commercial teams concerning their communications and contact with customers and healthcare professionals. In addition, we put certain expense reduction measures in place including a reduction of discretionary spending. We are reviewing these measures regularly as the pandemic evolves and may take additional actions to the extent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22" w:name="page23"/>
    <w:bookmarkEnd w:id="22"/>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continue to manufacture MACI and Epicel and are maintaining a significant safety stock of all key raw materials. We do not expect current supply chain interruptions will impact our ongoing manufacturing operations. With respect to customer delivery, MACI final product has an established shelf life of 6 days and established shipping shelf life of 3 days. Currently, MACI is picked up by courier and shipped by commercial air or ground transportation to customer surgical sites. Epicel final product has an established shelf life of 24 hours and is hand carried to customer hospitals by courier. Transportation is primarily by commercial or charter airline. Although we have not experienced material shipping delays or materially increased costs to date, significant disruption of air travel could result in the inability to deliver MACI or Epicel final products to customer sites within appropriate timeframes, which could further adversely impact our business. There is no expected impact of COVID-19 on our distributors, operations or third-party service providers' ability to manage patient cases.</w:t>
      </w:r>
    </w:p>
    <w:p>
      <w:pPr>
        <w:spacing w:after="0" w:line="219" w:lineRule="exact"/>
        <w:rPr>
          <w:sz w:val="20"/>
          <w:szCs w:val="20"/>
          <w:color w:val="auto"/>
        </w:rPr>
      </w:pPr>
    </w:p>
    <w:p>
      <w:pPr>
        <w:jc w:val="both"/>
        <w:ind w:firstLine="243"/>
        <w:spacing w:after="0" w:line="273" w:lineRule="auto"/>
        <w:rPr>
          <w:sz w:val="20"/>
          <w:szCs w:val="20"/>
          <w:color w:val="auto"/>
        </w:rPr>
      </w:pPr>
      <w:r>
        <w:rPr>
          <w:rFonts w:ascii="Times New Roman" w:cs="Times New Roman" w:eastAsia="Times New Roman" w:hAnsi="Times New Roman"/>
          <w:sz w:val="18"/>
          <w:szCs w:val="18"/>
          <w:color w:val="auto"/>
        </w:rPr>
        <w:t>The COVID-19 pandemic remains fluid and continues to evolve differently across various geographies. Although state, local and hospital facility restrictions were largely lifted by the end of September 2020, the location, extent, and timing of those restrictions varied greatly as the virus spread across</w:t>
      </w:r>
    </w:p>
    <w:p>
      <w:pPr>
        <w:spacing w:after="0" w:line="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United States, beginning in March. In some specific areas of the country, restrictions on elective surgical procedures were lifted and re-imposed multiple times. We believe it is likely that we will continue to experience variable impacts on our business, based on the resurgence of COVID-19 in</w:t>
      </w:r>
    </w:p>
    <w:p>
      <w:pPr>
        <w:spacing w:after="0" w:line="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various areas of the United States. Measures taken to limit the impact of COVID-19 at the international, national and local level, including shelter-in-place orders, social distancing measures, travel bans and restrictions, and business and government shutdowns, may continue to create significant negative</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economic impacts on a global basis. Given that uncertainty, we cannot reliably estimate the extent to which the COVID-19 pandemic may continue to impact utilization and revenues of our products in the fourth quarter of 2020 and beyond.</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a discussion of additional risks associated with COVID-19, please see Item 1A.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a cell-manufacturing facility in Cambridge, Massachusetts which is used for U.S. manufacturing and distribution of MACI and Epicel.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marketed products include two FDA approved autologous cell therapies. MACI, a third-generation autologous implant for the repair of symptomatic, full-thickness cartilage defects of the knee in adult patients and Epicel, a permanent skin replacement for adult and pediatric patients with deep dermal or full thickness burns greater than or equal to 30% of TBSA. Both products are currently marketed in the U.S. In addition, we have entered into exclusive license and supply agreements with MediWound to commercialize NexoBrid in North America. NexoBrid is currently in clinical development in North America and on September 16, 2020 we announced that the FDA accepted the BLA for review and has assigned a PDUFA goal date of June 29, 2021. Until 2017, our active product candidate portfolio included ixmyelocel-T, a patient-specific multicellular therapy for the treatment of advanced heart failure due to dilated cardiomyopathy, or DCM. We have no current plans to continue the development of ixmyelocel-T.</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MACI is a third-generation autologous chondrocyte implantation (ACI) product for the repair of symptomatic, single or multiple full-thickness cartilage defects of the knee with or without bone involvement in adults.</w:t>
      </w:r>
    </w:p>
    <w:p>
      <w:pPr>
        <w:spacing w:after="0" w:line="18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Our target audience of U.S. physicians is approximately 5,000 orthopedic surgeons and is divided into two segments - a group of orthopedic surgeons who self-identify and/or have a formal specialty as sports medicine physicians, and a sub-population of general orthopedic surgeons who perform a high volume of cartilage repair procedures. As of September 30, 2020, we have expanded the number of MACI sales representatives to 76 to enable the sales force to call on 2,000 of the general orthopedic surgeons. Most private payers have a medical policy that covers treatment with MACI with the top 30 largest commercial payers having a formal medical policy for MACI or ACI in general. Even for private payers which have not yet approved a medical policy for MACI, for medically appropriate cases, we often obtain approval on a case-by-case basis. For the three and nine months ended, September 30, 2020, net revenues for MACI were $24.4 million and $59.7 million, respectively, and $20.6 million and $58.0 million, respectively, for the same periods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left="260"/>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2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Epicel is a permanent skin replacement for deep dermal or full-thickness burns greater than or equal to 30% of total body surface area (TBSA). Epicel is regulated by the Center for Biologics Evaluation and Research, or CBER of the U.S. Food and Drug Administration under medical device authorities, and is the only FDA-approved cultured epidermal autograft product available for large total surface area burns. Epicel was designated as a Humanitarian Use Device (HUD) in 1998 and a Humanitarian Device Exception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 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so long as the number of devices distributed in any calendar year does not exceed the Annual Distribution Number (ADN). The ADN is defined as the number of devices reasonably needed to treat a population of 8,000 individuals per year in the U.S.</w:t>
      </w:r>
    </w:p>
    <w:p>
      <w:pPr>
        <w:spacing w:after="0" w:line="21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On February 18, 2016, the FDA approved our HDE supplement to revise the labeled indications of use for Epicel to specifically include pediatric patients.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Because of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is 360,400 which is approximately 45 times larger than the volume of grafts sold in 2019. We currently have an eleven-person field force comprised of 7 sales representatives and 4 clinical support specialists. For the three and nine months ended September 30, 2020, net revenues for Epicel were $6.7 million and $18.0 million, respectively and $9.9 million and $20.4 million, respectively, for the same periods in 2019.</w:t>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Our portfolio also includes NexoBrid, a topically-administered biological product that enzymatically removes nonviable burn tissue, or eschar, in patients with deep partial and full-thickness thermal burns. NexoBrid is currently in clinical development in North America, and on June 30, 2020, we announced the submission of a BLA to the FDA seeking the approval of NexoBrid. On September 16, 2020, Vericel announced that the FDA has accepted the BLA for review and has assigned a PDUFA goal date of June 29, 2021. NexoBrid is approved in the European Union and other international markets and has been designated as an orphan biologic in the United States, European Union and other international markets. Pursuant to the terms of our existing license agreement, MediWound will continue to conduct all clinical activities described in the development plan to support the BLA with the FDA under the supervision of a Central Steering Committee comprised of members of each party. Under our license agreement with MediWound, NexoBrid is being manufactured for BARDA prior to approval by the FDA under an emergency use authorization. Vericel recorded revenue of $1.2 million associated with the first delivery of NexoBrid to BARDA during the three and nine months ended September 30, 2020.</w:t>
      </w: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Ixmyelocel-T</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Our preapproval stage portfolio also includes ixmyelocel-T, a unique multicellular therapy derived from an adult patient’s own bone marrow which utilizes our proprietary, highly automated and scalable manufacturing system. This multicellular therapy was developed for the treatment of advanced heart failure due to DCM. On September 29, 2017, the FDA indicated we would be required to conduct at least one additional Phase 3 clinical study to support a BLA for ixmyelocel-T. Given the expense required to conduct further development and our focus on growing our existing commercial products, at this time we have no current plans to initiate or fund a Phase 3 trial on our own.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Our net income and loss for the three and nine months ended September 30, 2020 totaled $3.6 million and $9.4 million, respectively, and $3.5 million and $19.2 million, respectively, for the same periods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4"/>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78,460</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26,986</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51,474</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71,935</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revenues increased for the three and nine months ended September 30, 2020 compared to the same periods in 2019, primarily driven by a recovery in MACI volume growth as a result of the lifting of state and local restrictions on elective surgeries in the second quarter, which impacted surgical capacity. The increase in MACI net revenue was partially offset by a decrease of $2.5 million related to Epicel due to the variable occurrence of severe burns. Additionally, we recorded revenue associated with the first delivery of NexoBrid to BARDA for emergency response preparedness.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revenues for the three and nine months ended September 30, 2020 and 2019 are shown below.</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240" w:type="dxa"/>
            <w:vAlign w:val="bottom"/>
          </w:tcPr>
          <w:p>
            <w:pPr>
              <w:spacing w:after="0"/>
              <w:rPr>
                <w:sz w:val="16"/>
                <w:szCs w:val="16"/>
                <w:color w:val="auto"/>
              </w:rPr>
            </w:pPr>
          </w:p>
        </w:tc>
        <w:tc>
          <w:tcPr>
            <w:tcW w:w="11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24,357</w:t>
            </w:r>
          </w:p>
        </w:tc>
        <w:tc>
          <w:tcPr>
            <w:tcW w:w="120" w:type="dxa"/>
            <w:vAlign w:val="bottom"/>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120" w:type="dxa"/>
            <w:vAlign w:val="bottom"/>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59,747</w:t>
            </w:r>
          </w:p>
        </w:tc>
        <w:tc>
          <w:tcPr>
            <w:tcW w:w="100" w:type="dxa"/>
            <w:vAlign w:val="bottom"/>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58,015</w:t>
            </w: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20,445</w:t>
            </w: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78,460</w:t>
            </w:r>
          </w:p>
        </w:tc>
      </w:tr>
      <w:tr>
        <w:trPr>
          <w:trHeight w:val="21"/>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28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Over the last four years ACI sales volumes from the first through the fourth quarter have on average represented 19% (16%-24% range),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 (21%-25% range), 22% (20%-23% range) and 36% (32%-38% range) respectively, of total annual volumes. MACI orders are consistently stronger in the fourth quarter due to several factors including insurance deductible limits and the time of year patients prefer to start rehabilitation. Due to the low incidence and variable occurrence of severe burns, Epicel revenue has inherent variability from quarter to quarter and does not exhibit significant seasonality. Over the past four years, Epicel revenue in a single quarter has ranged from as high as 34% to as low as 17% of annual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703580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Gross Profit and Gross Profit Ratio</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22,471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21,175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50,581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51,474</w:t>
            </w:r>
          </w:p>
        </w:tc>
      </w:tr>
      <w:tr>
        <w:trPr>
          <w:trHeight w:val="234"/>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 %</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bl>
    <w:p>
      <w:pPr>
        <w:spacing w:after="0" w:line="301" w:lineRule="exact"/>
        <w:rPr>
          <w:sz w:val="20"/>
          <w:szCs w:val="20"/>
          <w:color w:val="auto"/>
        </w:rPr>
      </w:pPr>
    </w:p>
    <w:p>
      <w:pPr>
        <w:ind w:right="420" w:firstLine="243"/>
        <w:spacing w:after="0" w:line="282" w:lineRule="auto"/>
        <w:rPr>
          <w:sz w:val="20"/>
          <w:szCs w:val="20"/>
          <w:color w:val="auto"/>
        </w:rPr>
      </w:pPr>
      <w:r>
        <w:rPr>
          <w:rFonts w:ascii="Times New Roman" w:cs="Times New Roman" w:eastAsia="Times New Roman" w:hAnsi="Times New Roman"/>
          <w:sz w:val="18"/>
          <w:szCs w:val="18"/>
          <w:color w:val="auto"/>
        </w:rPr>
        <w:t>Gross profit increased for the three months ended September 30, 2020 compared to the same period in 2019 primarily due to the increase in MACI volume and other revenue related to NexoBrid.</w:t>
      </w:r>
    </w:p>
    <w:p>
      <w:pPr>
        <w:spacing w:after="0" w:line="189" w:lineRule="exact"/>
        <w:rPr>
          <w:sz w:val="20"/>
          <w:szCs w:val="20"/>
          <w:color w:val="auto"/>
        </w:rPr>
      </w:pPr>
    </w:p>
    <w:p>
      <w:pPr>
        <w:ind w:right="100" w:firstLine="243"/>
        <w:spacing w:after="0" w:line="282" w:lineRule="auto"/>
        <w:rPr>
          <w:sz w:val="20"/>
          <w:szCs w:val="20"/>
          <w:color w:val="auto"/>
        </w:rPr>
      </w:pPr>
      <w:r>
        <w:rPr>
          <w:rFonts w:ascii="Times New Roman" w:cs="Times New Roman" w:eastAsia="Times New Roman" w:hAnsi="Times New Roman"/>
          <w:sz w:val="18"/>
          <w:szCs w:val="18"/>
          <w:color w:val="auto"/>
        </w:rPr>
        <w:t>Gross profit decreased for the nine months ended September 30, 2020 compared to the same period in 2019 due to the revenue impact from COVID-19 earlier in the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27,174</w:t>
            </w:r>
          </w:p>
        </w:tc>
      </w:tr>
    </w:tbl>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approximate allocation of cost for our research and development projects: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ACI</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w:t>
            </w: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w:t>
            </w: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8"/>
        </w:trPr>
        <w:tc>
          <w:tcPr>
            <w:tcW w:w="52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costs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2020 were $2.9 million compared to $3.1 million for the same period in 2019.</w:t>
      </w:r>
    </w:p>
    <w:p>
      <w:pPr>
        <w:spacing w:after="0" w:line="18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2020 were $9.9 million compared to $27.2 million for the same period in 2019. The prior period included $17.5 million for the upfront payment to MediWound for the North American rights to NexoBrid.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16,041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44,761</w:t>
            </w:r>
          </w:p>
        </w:tc>
      </w:tr>
    </w:tbl>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 expenses for the three months ended September 30, 2020 were $16.0 million compared to $15.0 million for the same</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period in 2019. The increase in selling, general and administrative expenses during the three months ended September 30, 2020 is due primarily to an incremental $1.5 million in MACI sales force expenses due to the sales force expansion in the second quarter of 2020 and $0.3 million of patient reimbursement support services, which were partially offset by a reduction in discretionary spend as a result of the COVID-19 pandemic.</w:t>
      </w:r>
    </w:p>
    <w:p>
      <w:pPr>
        <w:spacing w:after="0" w:line="20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September 30, 2020 increased to $50.6 million from $44.8 million for the same period in 2019. The increase in selling, general and administrative expenses during the nine months ended September 30, 2020 is due primarily to an incremental $3.2 million in MACI sales force expenses driven by the sales force expansion in the second quarter of 2020, a $1.2 million increase in stock compensation expense, $1.0 million of patient reimbursement support services, and $0.7 million in Epicel sales force expenses due to the team's growth over the past several quarters. Other areas of fixed expense growth such as facilities, depreciation, and insurance were offset by reductions to discretionary marketing programs as a result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6" w:name="page27"/>
    <w:bookmarkEnd w:id="26"/>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1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30"/>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5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decrease in interest income for the three and nine months ended September 30, 2020 compared to the same period in 2019 is due primarily to the lowering of our investment balance and decreasing rates of returns on our investments in various marketable debt securities compared to the prior period.</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Stock Compensation</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Non-cash stock-based compensation expense included in cost of goods sold, research and development expenses and selling, general and administrative expenses is summarized in the following table: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30"/>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r>
      <w:tr>
        <w:trPr>
          <w:trHeight w:val="223"/>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w:t>
            </w: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decrease in stock-based compensation expense for the three months ended September 30, 2020, and the increase in the nine months ended September 30, 2020, is due primarily to fluctuations in stock prices which impacts the fair value of the options and restricted stock units awarded and the expense recognized in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852170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primary focus has been to invest in our existing commercial business with the goal of growing revenue. We have raised significant funds in order to complete our product development programs and to market and commercialize our products. To date, we have financed our operations primarily through cash received through Epicel and MACI sales and public and private sales of our equity securities.</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cash and cash equivalents totaled $43.5 million and short-term investments totaled $42.0 million as of September 30, 2020. The $6.2 million of cash provided by operations during the nine months ended September 30, 2020 was the result of cash collections and a decrease in accounts receivable of $6.0 million from the prior quarter, including noncash charges of $10.8 million in stock compensation expense, $3.3 million of operating lease amortization and $1.6 million in depreciation and amortization expense offset by a $9.4 million net loss.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cash and cash equivalents totaled $36.9 million and short-term investments totaled $37.8 million at September 30, 2019. The $10.3 million of cash used by operations during the nine months ended September 30, 2019 was largely the result of our net loss of $19.2 million which included a cash outflow of $17.5 million for the upfront payment for the NexoBrid license. The net loss was offset by noncash charges including $10.1 million in stock compensation expense, and $1.2 million in depreciation and amortization expense.</w:t>
      </w:r>
    </w:p>
    <w:p>
      <w:pPr>
        <w:spacing w:after="0" w:line="20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change in cash provided by investing activities during the nine months ended September 30, 2020 is the result of $39.1 million of investment maturities offset by $29.0 million in short-term investment purchases and property plant and equipment purchases of $1.6 million primarily for manufacturing upgrades through September 30, 2020. The cash provided by investing activities for the nine months ended September 30, 2019 is the result of $46.3 million in short-term investments purchases offset by $73.8 million of maturities and property plant and equipment purchases of $2.3 million primarily for manufacturing upgrades and leasehold improvements.</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change in cash provided from financing activities is the result of net proceeds from the exercise of stock options of $2.2 million, slightly offset by the payment of employee withholding taxes related to the vesting of restricted stock units of $0.2 million during the nine months ended September 30, 2020. The change in cash provided from financing activities during the nine months ended September 30, 2019 is the result of proceeds from the exercise of stock options of $3.8 million.</w:t>
      </w:r>
    </w:p>
    <w:p>
      <w:pPr>
        <w:spacing w:after="0" w:line="20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believe that our current cash on hand, cash equivalents and investments will be sufficient to support our current operations through at least 12 months from the issuance of these financial statements. However, the continuing effects of the COVID-19 pandemic continue to evolve and may result in irrecoverable losses from customers and significantly impact long-term liquidity requiring us to engage in layoffs, furloughs, and/or reductions in salaries. We have implemented a number of initiatives to maintain our near-term and future growth opportunities while supporting patients and reducing non-essential discretionary spending.</w:t>
      </w:r>
    </w:p>
    <w:p>
      <w:pPr>
        <w:spacing w:after="0" w:line="21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If revenues decline for a sustained period, we may need to access additional capital; however, we may not be able to obtain financing on acceptable terms or at all. Market volatility resulting from the COVID-19 pandemic or other factors could also adversely impact our ability to access financing as and when needed. The terms of any financing may adversely affect the holdings or the rights of our shareholders. Actual cash requirements may differ from projections and will depend on many factors, including the ultimate duration of the effects of the COVID-19 pandemic, the level of future research and development, the scope and results of ongoing and potential clinical trials, the costs involved in filing, prosecuting and enforcing patents, the need for additional manufacturing capacity, competing technological and market developments, costs of possible acquisition or development of complementary business activities, and the cost to market our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2020, we were not party to any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accounting principles generally accepted in the United States of America.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discussed in our Form 10-K, filed with the SEC on February 25, 2020 (Annual Report), for the fiscal year ended December 31, 2019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Annual Report during the nine months ended September 30,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“current,” “intention,” “position,” “assume,” “potential,” “outlook,” “remain,” “continue,” “maintain,” “sustain,” “seek,” “target,”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among others, could have a material adverse effect upon our business, results of operations and financial conditions.</w:t>
      </w:r>
    </w:p>
    <w:p>
      <w:pPr>
        <w:spacing w:after="0" w:line="18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189"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facility capabilities;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strategic collaborations with others;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needs and financing sources;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existing capital to support operations for a specified time;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our products;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FDA’s review of the BLA for NexoBrid;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approval by the FDA of the BLA for NexoBrid;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and marketing plans;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successes of our therapies;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plans, including publication thereof;</w:t>
      </w:r>
    </w:p>
    <w:p>
      <w:pPr>
        <w:spacing w:after="0" w:line="9" w:lineRule="exact"/>
        <w:rPr>
          <w:rFonts w:ascii="Times New Roman" w:cs="Times New Roman" w:eastAsia="Times New Roman" w:hAnsi="Times New Roman"/>
          <w:sz w:val="18"/>
          <w:szCs w:val="18"/>
          <w:color w:val="auto"/>
        </w:rPr>
      </w:pPr>
    </w:p>
    <w:p>
      <w:pPr>
        <w:ind w:left="1300" w:right="140" w:hanging="320"/>
        <w:spacing w:after="0" w:line="250"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on our business, including economic slowdowns or recessions, impact to our operations or to the healthcare industry generally, which could reduce demand for our products;</w:t>
      </w: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anticipation of future losses;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manufacturing sources;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plans; or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expectations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871855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of September 30, 2020, we held marketable debt securities, which are classified as available-for-sale and carried at fair value in the accompanying condensed consolidated balance sheet included in this Form 10-Q. The fair value of our cash equivalents and marketable securities is subject to changes in market interest rates. Our earnings and cash flows are subject to fluctuations due to changes in interest rates, principally in connection with our investments in marketable debt securities. We do not believe we are materially exposed to changes in interest rates related to our investments, and we do not currently use interest rate derivative instruments or hedging transactions to manage exposure to interest rate changes of our investments. We estimate that a 100 basis point, or 1%, unfavorable change in interest rates would have resulted in approximately a $0.2 million and $0.3 million decrease in the fair value of our investment portfolio as of September 30, 2020 and December 31, 2019, respectively.</w:t>
      </w:r>
    </w:p>
    <w:p>
      <w:pPr>
        <w:spacing w:after="0" w:line="214" w:lineRule="exact"/>
        <w:rPr>
          <w:sz w:val="20"/>
          <w:szCs w:val="20"/>
          <w:color w:val="auto"/>
        </w:rPr>
      </w:pPr>
    </w:p>
    <w:p>
      <w:pPr>
        <w:ind w:right="320" w:firstLine="243"/>
        <w:spacing w:after="0" w:line="284" w:lineRule="auto"/>
        <w:rPr>
          <w:sz w:val="20"/>
          <w:szCs w:val="20"/>
          <w:color w:val="auto"/>
        </w:rPr>
      </w:pPr>
      <w:r>
        <w:rPr>
          <w:rFonts w:ascii="Times New Roman" w:cs="Times New Roman" w:eastAsia="Times New Roman" w:hAnsi="Times New Roman"/>
          <w:sz w:val="18"/>
          <w:szCs w:val="18"/>
          <w:color w:val="auto"/>
        </w:rPr>
        <w:t xml:space="preserve">We have evaluated the potential credit risk exposure for our accounts receivable and available-for sale investment securities in accordance with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326, Financial Instruments - Credit Losses. </w:t>
      </w:r>
      <w:r>
        <w:rPr>
          <w:rFonts w:ascii="Times New Roman" w:cs="Times New Roman" w:eastAsia="Times New Roman" w:hAnsi="Times New Roman"/>
          <w:sz w:val="18"/>
          <w:szCs w:val="18"/>
          <w:color w:val="auto"/>
        </w:rPr>
        <w:t>See note 4 and note 8, for further discussion.</w:t>
      </w:r>
    </w:p>
    <w:p>
      <w:pPr>
        <w:spacing w:after="0" w:line="18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operate in the United States only. We are primarily exposed to foreign exchange risk with respect to recognized assets and liabilities due to vendors in countries outside the United States which are typically paid in Euro. We do not enter into hedging transactions and do not purchase derivative instruments.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Management of the Company, with the participation of its certifying officers, evaluated the effectiveness of the Company’s disclosure controls and procedures as defined in Rules 13a-15(e) and 15d-15(e) under the Exchange Act. Based on the evaluation as of September 30, 2020, the Company’s certifying officers concluded that the Company’s disclosure controls and procedures were effective.</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the Commission’s rules and forms, and that such information is accumulated and communicated to management of the Company, with the participation of its Chief Executive Officer and Principal Financial Officer (its “Certifying Officers”), as appropriate, to allow timely decisions regarding required disclosure.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2020, there were no material changes made in our internal control over financial reporting (as such term is defined in Rules 13a-15(f) and 15d-15(f) of the Exchange Act). The effects of the COVID-19 pandemic did not have a material impact on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852170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0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are currently not party to any material legal proceedings, although from time to time we may become involved in disputes in connection with the operation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Certain risks described below update the risk factors discussed in Item 1A, “Risk Factors,” of our Annual Report on Form 10-K for the fiscal year ended December 31, 2019, and expound upon and amend the specific risks resulting from the COVID-19 pandemic, which were first discussed in our Form 8-K filed on April 2, 2020, and which were updated in our Quarterly Reports on Form 10-Q for the fiscal quarters ended March 31, 2020 and June 30, 2020. Each of these risks, as well as those discussed in our previous filings could materially affect our business, financial condition, results of operations, or cash flows. The risks described below and in our previous filings are not the only risks we face. Additional risks and uncertainties not currently known or currently deemed to be immaterial also may materially and adversely affect our business, financial condition, results of operations or cash flows.</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current pandemic of COVID-19 and the future outbreak of other highly infectious or contagious diseases, could seriously harm our research, development and commercialization efforts, increase our costs and expenses and have a material adverse effect on our business, financial condition and results of operations.</w:t>
      </w:r>
    </w:p>
    <w:p>
      <w:pPr>
        <w:spacing w:after="0" w:line="202"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Broad-based business or economic disruptions could adversely affect our ongoing or planned research, development and commercialization activities. For example, in December 2019, an outbreak of a novel strain of coronavirus originated in Wuhan, China, and has since spread globally. To date, the COVID-19 pandemic has caused significant disruptions to the U.S. and global economy and has contributed to significant volatility in financial markets. The global impact of the outbreak is continually evolving and, as the virus spreads and additional cases are identified, many countries, including the U.S., have reacted by instituting quarantines, restrictions on travel and mandatory closures of businesses. Since March 2020, certain states and cities, including where we or the third parties with whom we engage operate, have reacted by instituting quarantines, restrictions on travel, “shelter in place” rules, restrictions on types of business that may continue to operate, and/or restrictions on the types of construction projects that may continue. Companies and organizations conducting biopharmaceutical research and development have been largely exempted from closure orders as the sector has been deemed essential to maintaining continuity of operations of the critical infrastructure as determined by the federal government. Since March, the steps taken by many state and local officials, which have included requiring businesses to implement mandatory training and protection measures for their workforce, have helped to slow the spread of the virus in certain regions of the United States. As a result, some states – including Massachusetts and Michigan – have eased restrictions on workplaces and individuals in an effort to reopen the economies of those regions. The pandemic remains highly fluid throughout the country and around the world, however, and the number of COVID-19 infections has fluctuated significantly in various geographies over the course of the past seven months. As such, many state and local governments have re-instituted restrictions on businesses, travel, and personal activities from time-to-time and it is expected that additional such measures may occur in the future as the pandemic evolves.</w:t>
      </w:r>
    </w:p>
    <w:p>
      <w:pPr>
        <w:spacing w:after="0" w:line="22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March 2020, we put in place a comprehensive workplace protection plan, which institutes protective measures in response to the COVID-19 pandemic. These measures include mandatory employee training on social distancing and hygiene protocols, conducting daily health screenings of all employees, vendors and visitors entering our facilities, canceling all international business travel, limiting domestic business travel to essential purposes, requesting that employees limit non-essential personal travel, enhancing our facilities’ janitorial and sanitary procedures, making certain physical modifications and enhancements to our facilities to enable effective social distancing among employees, providing certain personal protective equipment to employees working in our offices, encouraging employees to work from home to the extent their job function enables them to do so, limiting third-party access to our facilities, encouraging the use of virtual employee meetings, modifying the manner and schedule of on-site production activities, and providing guidance to our field-based commercial teams concerning their communications and contact with customers and healthcare professionals. We are reviewing these measures regularly as the situation evolves, and we are likely to take additional actions as we learn more and as instruction is provided by national, state and local governmental agencies. Both these existing measures and any future actions we take may result in continued disruption to our business.</w:t>
      </w:r>
    </w:p>
    <w:p>
      <w:pPr>
        <w:spacing w:after="0" w:line="21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extent to which the COVID-19 pandemic, or the future outbreak of any other highly infectious or contagious disease, impacts our preclinical studies, clinical trial operations and current or future commercialization efforts will depend on future developments, which are highly uncertain and cannot be predicted with confidence, including the scope, severity and duration of such pandemic, the actions taken to contain the pandemic or mitigate its impact, and the direct and indirect economic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of the pandemic and containment measures, among others. The rapid development and fluidity of this situation precludes any prediction as to the full adverse impact of the COVID-19 pandemic. Nevertheless, the COVID-19 pandemic may adversely affect our business, financial condition and results of operations, and it may have the effect of heightening many of the risks described herein, including the below.</w:t>
      </w:r>
    </w:p>
    <w:p>
      <w:pPr>
        <w:spacing w:after="0" w:line="203" w:lineRule="exact"/>
        <w:rPr>
          <w:sz w:val="20"/>
          <w:szCs w:val="20"/>
          <w:color w:val="auto"/>
        </w:rPr>
      </w:pPr>
    </w:p>
    <w:p>
      <w:pPr>
        <w:jc w:val="both"/>
        <w:ind w:left="660" w:hanging="328"/>
        <w:spacing w:after="0" w:line="24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implantation of MACI is an elective surgical procedure. On March 13, 2020 and March 14, 2020, the American College of Surgeons and United States Surgeon General, respectively, recommended that each hospital, health system, and surgeon minimize, postpone, or cancel electively scheduled surgeries, which resulted in a reduction in MACI sales during the first and second quarters of 2020. These recommendations were followed by numerous state-level executive orders either banning or partially banning elective surgeries. By April 3, 2020, 31 U.S. states had issued executive mandates calling for the suspension of elective or non-essential surgeries.</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5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As a result of these restrictions, beginning in mid-March 2020, we started to experience a significant increase in cancellations of scheduled MACI procedures as well as a slowdown in new MACI orders. Those cancellations negatively impacted our results of operations for the first and second quarters of 2020. These restrictions began to ease in May and, by the end of September 2020, there were no state orders in place that directly impacted a surgeon's or patient's ability to move forward with a MACI surgery. However, the COVID-19 pandemic remains unpredictable and many areas of the United States, and the world, have experienced a resurgence of COVID-19 infections in recent weeks. Indeed, on November 1, 2020, t</w:t>
      </w:r>
      <w:r>
        <w:rPr>
          <w:rFonts w:ascii="Times New Roman" w:cs="Times New Roman" w:eastAsia="Times New Roman" w:hAnsi="Times New Roman"/>
          <w:sz w:val="18"/>
          <w:szCs w:val="18"/>
          <w:color w:val="2A2A2A"/>
        </w:rPr>
        <w:t>he rolling seven-day average of new daily coronavirus cases in the United States reached the highest level at any point during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A2A2A"/>
        </w:rPr>
        <w:t xml:space="preserve">pandemic. </w:t>
      </w:r>
      <w:r>
        <w:rPr>
          <w:rFonts w:ascii="Times New Roman" w:cs="Times New Roman" w:eastAsia="Times New Roman" w:hAnsi="Times New Roman"/>
          <w:sz w:val="18"/>
          <w:szCs w:val="18"/>
          <w:color w:val="000000"/>
        </w:rPr>
        <w:t>Although hospitals are now better prepared for a subsequent surge in COVID-19 patients, the risk remains that regional or local</w:t>
      </w:r>
      <w:r>
        <w:rPr>
          <w:rFonts w:ascii="Times New Roman" w:cs="Times New Roman" w:eastAsia="Times New Roman" w:hAnsi="Times New Roman"/>
          <w:sz w:val="18"/>
          <w:szCs w:val="18"/>
          <w:color w:val="2A2A2A"/>
        </w:rPr>
        <w:t xml:space="preserve"> </w:t>
      </w:r>
      <w:r>
        <w:rPr>
          <w:rFonts w:ascii="Times New Roman" w:cs="Times New Roman" w:eastAsia="Times New Roman" w:hAnsi="Times New Roman"/>
          <w:sz w:val="18"/>
          <w:szCs w:val="18"/>
          <w:color w:val="000000"/>
        </w:rPr>
        <w:t>restrictions could again be placed on the performance of elective surgical procedures if the number of COVID-19 infections in the United States continues to rise. We believe our MACI business may be negatively impacted if elective surgical procedures are again restricted. Further, continued, and prolonged material disruption to the operations of our employees, distributors, suppliers or customers will impact our sales and operating results that could lead to potential impairments to inventory and accounts receivable. We believe Epicel has been less directly impacted by the pandemic given the critical nature of severe burn injuries; however, trauma injury admissions have been reported to have declined due to various COVID-19 related restrictions. Given the variable occurrence of the severe burns Epicel is used to treat, it is difficult to ascertain whether a similar decline is occurring with severe burns.</w:t>
      </w:r>
    </w:p>
    <w:p>
      <w:pPr>
        <w:spacing w:after="0" w:line="223" w:lineRule="exact"/>
        <w:rPr>
          <w:rFonts w:ascii="Arial" w:cs="Arial" w:eastAsia="Arial" w:hAnsi="Arial"/>
          <w:sz w:val="18"/>
          <w:szCs w:val="18"/>
          <w:color w:val="auto"/>
        </w:rPr>
      </w:pPr>
    </w:p>
    <w:p>
      <w:pPr>
        <w:jc w:val="both"/>
        <w:ind w:left="660" w:hanging="328"/>
        <w:spacing w:after="0" w:line="23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conducting the PEAK (A Study of MACI in Patients Aged 10 to 17 Years with Symptomatic Chondral or Osteochondral Defects of the Knee) Study at ten (10) sites throughout the United States. Although two (2) such sites have currently paused enrollment of new PEAK patients as a result of the effects of the pandemic, the Study has not experienced a slow-down in its traditional rate of patient enrollment. However, the PEAK Study or another of our clinical trials may in the future experience difficulties associated with patient visits and study monitoring, which may be paused or delayed due to changes in policies at various clinical sites, federal, state, local or foreign laws, rules and regulations, including closure of site access to outside medical monitors, quarantines or other travel restrictions, prioritization of healthcare resources toward pandemic efforts, including diminished attention of physicians serving as our clinical trial investigators and reduced availability of site staff supporting the conduct of our clinical trials, interruption or delays in the operations of the FDA, heightened exposure of patients, principal investigators and site staff to COVID-19 if an outbreak occurs in their geography, or other reasons related to the COVID-19 pandemic. Further, patients who are already recruited into our clinical trials may be unable or unwilling to attend follow-up visits within the timelines specified in our trial protocols, potentially impacting our ability to meet our clinical trial endpoints. An outbreak may also affect employees of third-party contract research organizations located in affected geographies that we rely upon to carry out our clinical trials.</w:t>
      </w:r>
    </w:p>
    <w:p>
      <w:pPr>
        <w:spacing w:after="0" w:line="220" w:lineRule="exact"/>
        <w:rPr>
          <w:rFonts w:ascii="Times New Roman" w:cs="Times New Roman" w:eastAsia="Times New Roman" w:hAnsi="Times New Roman"/>
          <w:sz w:val="18"/>
          <w:szCs w:val="18"/>
          <w:color w:val="auto"/>
        </w:rPr>
      </w:pPr>
    </w:p>
    <w:p>
      <w:pPr>
        <w:jc w:val="both"/>
        <w:ind w:left="660" w:hanging="328"/>
        <w:spacing w:after="0" w:line="23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manufacture MACI and Epicel and we maintain a significant safety back-up of all key raw materials. We do not expect that current supply chain interruptions will impact our ongoing manufacturing operations. However, we currently rely on third parties to, among other things, manufacture and supply raw materials, which are used to produce our products, and supply other goods and services to run our business. If any such third parties in our supply chain are adversely impacted by current or future restrictions resulting from the COVID-19 pandemic for an extended period of time, including staffing shortages, production slowdowns and disruptions in delivery systems, our supply chain may be disrupted, limiting our ability to manufacture our products and product candidates and conduct our research and development operations, or commercially launch any of our product candidates, if approved. With respect to customer delivery, MACI final product has an established shelf life of 6 days and established shipping shelf life of 3 days. Currently, MACI is picked-up by courier and shipped by commercial air or ground transportation to our customers’ locations. Epicel final product has an established shelf life of 24 hours and is hand carried to customer hospital sites by courier. Transportation is primarily by commercial or charter airline. Although we have not experienced material shipping delays or increased costs to date, significant disruption of air travel could result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ind w:left="328"/>
        <w:spacing w:after="0" w:line="266" w:lineRule="auto"/>
        <w:rPr>
          <w:sz w:val="20"/>
          <w:szCs w:val="20"/>
          <w:color w:val="auto"/>
        </w:rPr>
      </w:pPr>
      <w:r>
        <w:rPr>
          <w:rFonts w:ascii="Times New Roman" w:cs="Times New Roman" w:eastAsia="Times New Roman" w:hAnsi="Times New Roman"/>
          <w:sz w:val="18"/>
          <w:szCs w:val="18"/>
          <w:color w:val="auto"/>
        </w:rPr>
        <w:t>inability to deliver MACI or Epicel final products to customer sites within appropriate timeframes, which would have a material adverse effect on our business and results of operations.</w:t>
      </w:r>
    </w:p>
    <w:p>
      <w:pPr>
        <w:spacing w:after="0" w:line="189" w:lineRule="exact"/>
        <w:rPr>
          <w:sz w:val="20"/>
          <w:szCs w:val="20"/>
          <w:color w:val="auto"/>
        </w:rPr>
      </w:pPr>
    </w:p>
    <w:p>
      <w:pPr>
        <w:jc w:val="both"/>
        <w:ind w:left="328" w:hanging="328"/>
        <w:spacing w:after="0" w:line="239"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largely restricted on-site staff in our facilities to only those personnel and contractors who must perform essential activities related to the manufacture, production and delivery of our products. We have encouraged the majority of our remaining employees to work remotely. Our continued reliance on personnel working from home may negatively impact productivity, or disrupt, delay, or otherwise adversely impact our business. Additionally, the continued spread or resurgence of COVID-19 or similar infectious diseases in the U.S. may lead to further government-imposed quarantines and restrictions, which may result in the closure of our administrative offices, with our employees working outside of our offices for an extended period of time. These actions may also result in the disruption of our manufacturing operations, which are currently accomplished within our administrative offices. Additionally, such quarantines and restrictions may adversely affect our ability to conduct certain product enhancement and business development activities.</w:t>
      </w:r>
    </w:p>
    <w:p>
      <w:pPr>
        <w:spacing w:after="0" w:line="214" w:lineRule="exact"/>
        <w:rPr>
          <w:rFonts w:ascii="Times New Roman" w:cs="Times New Roman" w:eastAsia="Times New Roman" w:hAnsi="Times New Roman"/>
          <w:sz w:val="18"/>
          <w:szCs w:val="18"/>
          <w:color w:val="auto"/>
        </w:rPr>
      </w:pPr>
    </w:p>
    <w:p>
      <w:pPr>
        <w:jc w:val="both"/>
        <w:ind w:left="328" w:hanging="328"/>
        <w:spacing w:after="0" w:line="239"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personnel working from home may also increase our cyber security risk, create data accessibility concerns, and make us more susceptible to communication disruptions, any of which could adversely impact our business operations or delay necessary interactions with local and federal regulators, institutional review boards and ethics committees, third party contractors and suppliers, clinical trial sites and other important agencies and contractors. Our business operations may be further disrupted if any of our employees, officers or board of directors contract an illness related to COVID-19 and are unable to perform their duties. For example, COVID-19 illness could impact members of management or our board of directors resulting in absenteeism from management meetings or meetings of the directors or committees of directors, and making it more difficult for management to effectively oversee our daily operations, or to convene the quorums of the full board of directors or its committees needed to conduct meetings for the management of our affairs.</w:t>
      </w:r>
    </w:p>
    <w:p>
      <w:pPr>
        <w:spacing w:after="0" w:line="214"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spread or resurgence of the COVID-19 virus, may cause our employees, and employees of third-party contractors and licensees, including MediWound, responsible for conducting research and development activities to be unable to access laboratories and places of business for an extended period of time as a result of the temporary closure of such workspaces and the possibility that governmental authorities further modify current restrictions. As a result, this could delay timely completion of ongoing clinical trials or preclinical activities, and our ability to select future development candidates.</w:t>
      </w:r>
    </w:p>
    <w:p>
      <w:pPr>
        <w:spacing w:after="0" w:line="210"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NexoBrid is currently a pre-commercial product in North America. On September 16, 2020, we announced that the FDA has accepted for review a BLA seeking marketing approval for NexoBrid in the United States. However, health regulatory agencies globally, including the FDA, may experience disruptions in their operations as a result of the continued spread of the COVID-19 pandemic. For instance, the COVID-19 pandemic may impact the FDA’s response times to regulatory submissions, its ability to monitor our clinical trials, and/or conduct necessary reviews or inspections any or all of which may result in timelines being materially delayed, which could materially affect the development, study and ultimate commercialization of our product candidates. It is unknown how long these disruptions could continue, were they to occur.</w:t>
      </w:r>
    </w:p>
    <w:p>
      <w:pPr>
        <w:spacing w:after="0" w:line="214"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prices for our common stock and that of other biopharmaceutical companies have been highly volatile as a result of the COVID-19 pandemic. As a result, we may face difficulties raising capital through sales of our common stock or such sales may be on unfavorable terms. In addition, a recession, depression or other sustained adverse market event resulting from the continued spread or resurgence of the COVID-19 pandemic could materially and adversely affect our business and the value of our common stock.</w:t>
      </w:r>
    </w:p>
    <w:p>
      <w:pPr>
        <w:spacing w:after="0" w:line="206"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economic downturn and increased unemployment in the U.S. related to COVID-19, millions of individuals have lost and may lose their employer-based insurance coverage, which may adversely affect our ability to commercialize our products. In addition, market disruption and rising unemployment caused by the COVID-19 pandemic may lead to delays in obtaining insurance coverage and reimbursement of newly approved products as well as an increase in the numbers of uninsured patients and patients who may no longer be able to afford their co-insurance or co-pay obligations. These factors may lead to decreased utilization of our products, which could reduce revenue. The outbreak of COVID-19 may also negatively impact our commercialization strategy for our products and product candidates, if approved. Hospitals and other medical institutions have reduced and diverted staffing, diverted resources to patients suffering from COVID-19 and limited hospital access for non-patients, which may include our sales personnel. Hospitals may continue and increase these and similar measures in the future should the COVID-19 virus continue to spread or surge in certain areas. In addition, a resurgence of COVID-19 in the United States, may cause customers or patients to postpone or cancel previously scheduled surgeries or to decline to schedule surgeries utilizing our products, which would negatively impact our operations and financial results. In addition, continued 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553720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91" w:right="339" w:bottom="1440" w:gutter="0" w:footer="0" w:header="0"/>
        </w:sectPr>
      </w:pPr>
    </w:p>
    <w:bookmarkStart w:id="33" w:name="page34"/>
    <w:bookmarkEnd w:id="33"/>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restrictions due to COVID-19 could impact the ability of our sales personnel to travel to customers. We have encouraged our sales personnel to conduct many of their interactions with physicians and patients through the use of webinars, telemedicine, direct-to-consumer advertising and social media. These circumstances may adversely affect the ability of our sales professionals to effectively market our products to physicians in the future, which may have a negative impact on our potential sales and our market penetration.</w:t>
      </w:r>
    </w:p>
    <w:p>
      <w:pPr>
        <w:spacing w:after="0" w:line="20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If any of these risks related to the impact of the COVID-19 pandemic were to occur, our preclinical activities, clinical development progress, data and timelines, commercialization efforts including any potential revenue from sales, supply chain continuity, and general business operations, could be delayed and/or materially harmed and our business, prospects, financial condition, and results of operations would suffer as a result. The extent to which the current pandemic, or a future pandemic, impacts our business and operations will depend on future developments, such as the ultimate geographic spread of the disease, the duration of the outbreak, travel restrictions and governmental actions to contain the outbreak or treat its impact, which are highly uncertain and cannot be predicted with confidence.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repurchased the following shares of our common stock in the periods set forth in the table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0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6"/>
                <w:szCs w:val="16"/>
                <w:color w:val="auto"/>
              </w:rPr>
            </w:pPr>
          </w:p>
        </w:tc>
        <w:tc>
          <w:tcPr>
            <w:tcW w:w="30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 Number of Shares Repurchased</w:t>
            </w:r>
          </w:p>
        </w:tc>
        <w:tc>
          <w:tcPr>
            <w:tcW w:w="340" w:type="dxa"/>
            <w:vAlign w:val="bottom"/>
          </w:tcPr>
          <w:p>
            <w:pPr>
              <w:spacing w:after="0"/>
              <w:rPr>
                <w:sz w:val="16"/>
                <w:szCs w:val="16"/>
                <w:color w:val="auto"/>
              </w:rPr>
            </w:pPr>
          </w:p>
        </w:tc>
        <w:tc>
          <w:tcPr>
            <w:tcW w:w="26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r>
      <w:tr>
        <w:trPr>
          <w:trHeight w:val="228"/>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1 - 31, 2020 (a)</w:t>
            </w:r>
          </w:p>
        </w:tc>
        <w:tc>
          <w:tcPr>
            <w:tcW w:w="140" w:type="dxa"/>
            <w:vAlign w:val="bottom"/>
          </w:tcPr>
          <w:p>
            <w:pPr>
              <w:spacing w:after="0"/>
              <w:rPr>
                <w:sz w:val="19"/>
                <w:szCs w:val="19"/>
                <w:color w:val="auto"/>
              </w:rPr>
            </w:pPr>
          </w:p>
        </w:tc>
        <w:tc>
          <w:tcPr>
            <w:tcW w:w="2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1 - 31, 2020</w:t>
            </w:r>
          </w:p>
        </w:tc>
        <w:tc>
          <w:tcPr>
            <w:tcW w:w="140" w:type="dxa"/>
            <w:vAlign w:val="bottom"/>
          </w:tcPr>
          <w:p>
            <w:pPr>
              <w:spacing w:after="0"/>
              <w:rPr>
                <w:sz w:val="19"/>
                <w:szCs w:val="19"/>
                <w:color w:val="auto"/>
              </w:rPr>
            </w:pPr>
          </w:p>
        </w:tc>
        <w:tc>
          <w:tcPr>
            <w:tcW w:w="3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1 - 30, 2020</w:t>
            </w:r>
          </w:p>
        </w:tc>
        <w:tc>
          <w:tcPr>
            <w:tcW w:w="14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9"/>
                <w:szCs w:val="19"/>
                <w:color w:val="auto"/>
              </w:rPr>
            </w:pPr>
          </w:p>
        </w:tc>
        <w:tc>
          <w:tcPr>
            <w:tcW w:w="2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1"/>
        </w:trPr>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251"/>
        <w:spacing w:after="0" w:line="226" w:lineRule="auto"/>
        <w:tabs>
          <w:tab w:leader="none" w:pos="4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in our stock-based incentive plans are permitted to use the fair market value of our common stock they own to pay for the exercise of stock options, otherwise known as the "stock swap method". During the three months ended September 30, 2020, in connection with the exercise of a stock option, an optionee tendered 661 shares of our common stock held by the optionee in consideration of the full aggregate exercise price.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Exhibits listed in the Exhibit Index are filed as a part of this Quarterly Report on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38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22"/>
        </w:trPr>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58"/>
        </w:trPr>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24"/>
                <w:szCs w:val="24"/>
                <w:color w:val="auto"/>
              </w:rPr>
            </w:pPr>
          </w:p>
        </w:tc>
        <w:tc>
          <w:tcPr>
            <w:tcW w:w="9380" w:type="dxa"/>
            <w:vAlign w:val="bottom"/>
            <w:tcBorders>
              <w:top w:val="single" w:sz="8" w:color="auto"/>
            </w:tcBorders>
          </w:tcPr>
          <w:p>
            <w:pPr>
              <w:ind w:left="2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Certification of Chief Executive Officer pursuant to Section 302 of the Sarbanes-Oxley Act of 2002.</w:t>
              </w:r>
            </w:hyperlink>
          </w:p>
        </w:tc>
      </w:tr>
      <w:tr>
        <w:trPr>
          <w:trHeight w:val="499"/>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spacing w:after="0"/>
              <w:rPr>
                <w:sz w:val="24"/>
                <w:szCs w:val="24"/>
                <w:color w:val="auto"/>
              </w:rPr>
            </w:pPr>
          </w:p>
        </w:tc>
        <w:tc>
          <w:tcPr>
            <w:tcW w:w="9380" w:type="dxa"/>
            <w:vAlign w:val="bottom"/>
          </w:tcPr>
          <w:p>
            <w:pPr>
              <w:ind w:left="20"/>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u w:val="single" w:color="auto"/>
                  <w:color w:val="0000FF"/>
                </w:rPr>
                <w:t>Certification of Principal Financial Officer pursuant to Section 302 of the Sarbanes-Oxley Act of 2002</w:t>
              </w:r>
              <w:r>
                <w:rPr>
                  <w:rFonts w:ascii="Times New Roman" w:cs="Times New Roman" w:eastAsia="Times New Roman" w:hAnsi="Times New Roman"/>
                  <w:sz w:val="18"/>
                  <w:szCs w:val="18"/>
                  <w:color w:val="0000FF"/>
                </w:rPr>
                <w:t>.</w:t>
              </w:r>
            </w:hyperlink>
          </w:p>
        </w:tc>
      </w:tr>
      <w:tr>
        <w:trPr>
          <w:trHeight w:val="499"/>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420" w:type="dxa"/>
            <w:vAlign w:val="bottom"/>
          </w:tcPr>
          <w:p>
            <w:pPr>
              <w:spacing w:after="0"/>
              <w:rPr>
                <w:sz w:val="24"/>
                <w:szCs w:val="24"/>
                <w:color w:val="auto"/>
              </w:rPr>
            </w:pPr>
          </w:p>
        </w:tc>
        <w:tc>
          <w:tcPr>
            <w:tcW w:w="9380" w:type="dxa"/>
            <w:vAlign w:val="bottom"/>
          </w:tcPr>
          <w:p>
            <w:pPr>
              <w:ind w:left="2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Certification of Chief Executive Officer pursuant to Section 906 of the Sarbanes-Oxley Act of 2002.</w:t>
              </w:r>
            </w:hyperlink>
          </w:p>
        </w:tc>
      </w:tr>
      <w:tr>
        <w:trPr>
          <w:trHeight w:val="500"/>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tcPr>
          <w:p>
            <w:pPr>
              <w:spacing w:after="0"/>
              <w:rPr>
                <w:sz w:val="24"/>
                <w:szCs w:val="24"/>
                <w:color w:val="auto"/>
              </w:rPr>
            </w:pPr>
          </w:p>
        </w:tc>
        <w:tc>
          <w:tcPr>
            <w:tcW w:w="9380" w:type="dxa"/>
            <w:vAlign w:val="bottom"/>
          </w:tcPr>
          <w:p>
            <w:pPr>
              <w:ind w:left="20"/>
              <w:spacing w:after="0"/>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u w:val="single" w:color="auto"/>
                  <w:color w:val="0000FF"/>
                </w:rPr>
                <w:t>Certification of Principal Financial Officer pursuant to Section 906 of the Sarbanes-Oxley Act of 2002</w:t>
              </w:r>
              <w:r>
                <w:rPr>
                  <w:rFonts w:ascii="Times New Roman" w:cs="Times New Roman" w:eastAsia="Times New Roman" w:hAnsi="Times New Roman"/>
                  <w:sz w:val="18"/>
                  <w:szCs w:val="18"/>
                  <w:color w:val="0000FF"/>
                </w:rPr>
                <w:t>.</w:t>
              </w:r>
            </w:hyperlink>
          </w:p>
        </w:tc>
      </w:tr>
      <w:tr>
        <w:trPr>
          <w:trHeight w:val="499"/>
        </w:trPr>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101.INS**</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99"/>
        </w:trPr>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101.SCH**</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500"/>
        </w:trPr>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101.CAL**</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99"/>
        </w:trPr>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101.LAB**</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500"/>
        </w:trPr>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101.PRE**</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500"/>
        </w:trPr>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101.DEF**</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265" w:lineRule="exact"/>
        <w:rPr>
          <w:sz w:val="20"/>
          <w:szCs w:val="20"/>
          <w:color w:val="auto"/>
        </w:rPr>
      </w:pPr>
    </w:p>
    <w:p>
      <w:pPr>
        <w:ind w:left="1760" w:hanging="1232"/>
        <w:spacing w:after="0"/>
        <w:tabs>
          <w:tab w:leader="none" w:pos="1760" w:val="left"/>
        </w:tabs>
        <w:numPr>
          <w:ilvl w:val="1"/>
          <w:numId w:val="11"/>
        </w:numPr>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Cover Page Interactive Data File (formatted as Inline XBRL and contained in Exhibit 101)</w:t>
        </w:r>
        <w:r>
          <w:rPr>
            <w:rFonts w:ascii="Times New Roman" w:cs="Times New Roman" w:eastAsia="Times New Roman" w:hAnsi="Times New Roman"/>
            <w:sz w:val="18"/>
            <w:szCs w:val="18"/>
            <w:color w:val="0000FF"/>
          </w:rPr>
          <w:t>.</w:t>
        </w:r>
      </w:hyperlink>
    </w:p>
    <w:p>
      <w:pPr>
        <w:spacing w:after="0" w:line="306" w:lineRule="exact"/>
        <w:rPr>
          <w:rFonts w:ascii="Times New Roman" w:cs="Times New Roman" w:eastAsia="Times New Roman" w:hAnsi="Times New Roman"/>
          <w:sz w:val="18"/>
          <w:szCs w:val="18"/>
          <w:color w:val="0000FF"/>
        </w:rPr>
      </w:pP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35" w:name="page36"/>
    <w:bookmarkEnd w:id="35"/>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00" w:lineRule="exact"/>
        <w:rPr>
          <w:sz w:val="20"/>
          <w:szCs w:val="20"/>
          <w:color w:val="auto"/>
        </w:rPr>
      </w:pPr>
    </w:p>
    <w:p>
      <w:pPr>
        <w:spacing w:after="0" w:line="28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SANDRA L. PENNELL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Sandra L. Pennell</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Vice President and Corporate Controller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0520"/>
          </w:cols>
          <w:pgMar w:left="320" w:top="1130" w:right="10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ind w:right="220" w:firstLine="332"/>
        <w:spacing w:after="0" w:line="266" w:lineRule="auto"/>
        <w:tabs>
          <w:tab w:leader="none" w:pos="8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80" w:firstLine="332"/>
        <w:spacing w:after="0" w:line="282" w:lineRule="auto"/>
        <w:tabs>
          <w:tab w:leader="none" w:pos="8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332"/>
        <w:spacing w:after="0" w:line="266" w:lineRule="auto"/>
        <w:tabs>
          <w:tab w:leader="none" w:pos="8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1182"/>
        <w:spacing w:after="0" w:line="266" w:lineRule="auto"/>
        <w:tabs>
          <w:tab w:leader="none" w:pos="141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80" w:firstLine="1182"/>
        <w:spacing w:after="0" w:line="266" w:lineRule="auto"/>
        <w:tabs>
          <w:tab w:leader="none" w:pos="142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1182"/>
        <w:spacing w:after="0" w:line="282" w:lineRule="auto"/>
        <w:tabs>
          <w:tab w:leader="none" w:pos="141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80" w:firstLine="1182"/>
        <w:spacing w:after="0" w:line="266" w:lineRule="auto"/>
        <w:tabs>
          <w:tab w:leader="none" w:pos="142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00" w:firstLine="332"/>
        <w:spacing w:after="0" w:line="282" w:lineRule="auto"/>
        <w:tabs>
          <w:tab w:leader="none" w:pos="8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40" w:firstLine="1182"/>
        <w:spacing w:after="0" w:line="282" w:lineRule="auto"/>
        <w:tabs>
          <w:tab w:leader="none" w:pos="140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1182"/>
        <w:spacing w:after="0" w:line="282" w:lineRule="auto"/>
        <w:tabs>
          <w:tab w:leader="none" w:pos="141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36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Sandra L. Pennell, certify that:</w:t>
      </w:r>
    </w:p>
    <w:p>
      <w:pPr>
        <w:spacing w:after="0" w:line="225" w:lineRule="exact"/>
        <w:rPr>
          <w:sz w:val="20"/>
          <w:szCs w:val="20"/>
          <w:color w:val="auto"/>
        </w:rPr>
      </w:pPr>
    </w:p>
    <w:p>
      <w:pPr>
        <w:ind w:left="440" w:hanging="189"/>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ind w:right="260" w:firstLine="251"/>
        <w:spacing w:after="0" w:line="282" w:lineRule="auto"/>
        <w:tabs>
          <w:tab w:leader="none" w:pos="4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00" w:firstLine="251"/>
        <w:spacing w:after="0" w:line="282" w:lineRule="auto"/>
        <w:tabs>
          <w:tab w:leader="none" w:pos="4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251"/>
        <w:spacing w:after="0" w:line="266" w:lineRule="auto"/>
        <w:tabs>
          <w:tab w:leader="none" w:pos="4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34"/>
        <w:spacing w:after="0" w:line="266" w:lineRule="auto"/>
        <w:tabs>
          <w:tab w:leader="none" w:pos="7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34"/>
        <w:spacing w:after="0" w:line="266" w:lineRule="auto"/>
        <w:tabs>
          <w:tab w:leader="none" w:pos="78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34"/>
        <w:spacing w:after="0" w:line="282" w:lineRule="auto"/>
        <w:tabs>
          <w:tab w:leader="none" w:pos="7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34"/>
        <w:spacing w:after="0" w:line="266" w:lineRule="auto"/>
        <w:tabs>
          <w:tab w:leader="none" w:pos="78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251"/>
        <w:spacing w:after="0" w:line="282" w:lineRule="auto"/>
        <w:tabs>
          <w:tab w:leader="none" w:pos="4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60" w:firstLine="534"/>
        <w:spacing w:after="0" w:line="282" w:lineRule="auto"/>
        <w:tabs>
          <w:tab w:leader="none" w:pos="76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34"/>
        <w:spacing w:after="0" w:line="282" w:lineRule="auto"/>
        <w:tabs>
          <w:tab w:leader="none" w:pos="7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36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/s/ SANDRA L. PENNELL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Sandra L. Pennell</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Vice President and Corporate Controller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20" w:firstLine="36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September 30, 2020,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700" w:hanging="368"/>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25" w:lineRule="exact"/>
        <w:rPr>
          <w:rFonts w:ascii="Times New Roman" w:cs="Times New Roman" w:eastAsia="Times New Roman" w:hAnsi="Times New Roman"/>
          <w:sz w:val="18"/>
          <w:szCs w:val="18"/>
          <w:color w:val="auto"/>
        </w:rPr>
      </w:pPr>
    </w:p>
    <w:p>
      <w:pPr>
        <w:ind w:right="100" w:firstLine="332"/>
        <w:spacing w:after="0" w:line="532"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5, 2020</w:t>
      </w:r>
    </w:p>
    <w:p>
      <w:pPr>
        <w:spacing w:after="0" w:line="8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20" w:firstLine="36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September 30, 2020,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700" w:hanging="368"/>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25" w:lineRule="exact"/>
        <w:rPr>
          <w:rFonts w:ascii="Times New Roman" w:cs="Times New Roman" w:eastAsia="Times New Roman" w:hAnsi="Times New Roman"/>
          <w:sz w:val="18"/>
          <w:szCs w:val="18"/>
          <w:color w:val="auto"/>
        </w:rPr>
      </w:pPr>
    </w:p>
    <w:p>
      <w:pPr>
        <w:ind w:right="100" w:firstLine="332"/>
        <w:spacing w:after="0" w:line="532" w:lineRule="auto"/>
        <w:tabs>
          <w:tab w:leader="none" w:pos="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5, 2020</w:t>
      </w:r>
    </w:p>
    <w:p>
      <w:pPr>
        <w:spacing w:after="0" w:line="81"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SANDRA L. PENNELL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Sandra L. Pennell</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Vice President and Corporate Controller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30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lvl w:ilvl="1">
      <w:lvlJc w:val="left"/>
      <w:lvlText w:val="(%2)"/>
      <w:numFmt w:val="lowerLetter"/>
      <w:start w:val="1"/>
    </w:lvl>
  </w:abstractNum>
  <w:abstractNum w:abstractNumId="5">
    <w:nsid w:val="216231B"/>
    <w:multiLevelType w:val="hybridMultilevel"/>
    <w:lvl w:ilvl="0">
      <w:lvlJc w:val="left"/>
      <w:lvlText w:val="%1."/>
      <w:numFmt w:val="decimal"/>
      <w:start w:val="11"/>
    </w:lvl>
    <w:lvl w:ilvl="1">
      <w:lvlJc w:val="left"/>
      <w:lvlText w:val="%2"/>
      <w:numFmt w:val="lowerLetter"/>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
      <w:numFmt w:val="bullet"/>
      <w:start w:val="1"/>
    </w:lvl>
    <w:lvl w:ilvl="1">
      <w:lvlJc w:val="left"/>
      <w:lvlText w:val="%2"/>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2020-11-05T14:13:47Z</dcterms:created>
  <dcterms:modified xsi:type="dcterms:W3CDTF">2020-11-05T14:13:47Z</dcterms:modified>
</cp:coreProperties>
</file>