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ind w:left="60"/>
        <w:spacing w:after="0"/>
        <w:rPr>
          <w:sz w:val="20"/>
          <w:szCs w:val="20"/>
          <w:color w:val="auto"/>
        </w:rPr>
      </w:pPr>
      <w:r>
        <w:rPr>
          <w:rFonts w:ascii="Arial" w:cs="Arial" w:eastAsia="Arial" w:hAnsi="Arial"/>
          <w:sz w:val="18"/>
          <w:szCs w:val="18"/>
          <w:b w:val="1"/>
          <w:bCs w:val="1"/>
          <w:color w:val="auto"/>
        </w:rPr>
        <w:t>(Mark One)</w:t>
      </w:r>
    </w:p>
    <w:p>
      <w:pPr>
        <w:spacing w:after="0" w:line="115" w:lineRule="exact"/>
        <w:rPr>
          <w:sz w:val="24"/>
          <w:szCs w:val="24"/>
          <w:color w:val="auto"/>
        </w:rPr>
      </w:pPr>
    </w:p>
    <w:p>
      <w:pPr>
        <w:ind w:left="540" w:hanging="208"/>
        <w:spacing w:after="0"/>
        <w:tabs>
          <w:tab w:leader="none" w:pos="540" w:val="left"/>
        </w:tabs>
        <w:numPr>
          <w:ilvl w:val="0"/>
          <w:numId w:val="1"/>
        </w:numPr>
        <w:rPr>
          <w:rFonts w:ascii="Arial" w:cs="Arial" w:eastAsia="Arial" w:hAnsi="Arial"/>
          <w:sz w:val="19"/>
          <w:szCs w:val="19"/>
          <w:color w:val="auto"/>
        </w:rPr>
      </w:pPr>
      <w:r>
        <w:rPr>
          <w:rFonts w:ascii="Arial" w:cs="Arial" w:eastAsia="Arial" w:hAnsi="Arial"/>
          <w:sz w:val="21"/>
          <w:szCs w:val="21"/>
          <w:b w:val="1"/>
          <w:bCs w:val="1"/>
          <w:color w:val="auto"/>
        </w:rPr>
        <w:t>QUARTERLY REPORT PURSUANT TO SECTION 13 OR 15(D) OF THE SECURITIES EXCHANGE ACT OF</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color w:val="auto"/>
        </w:rPr>
        <w:t>1934</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right="260" w:firstLine="324"/>
        <w:spacing w:after="0" w:line="250" w:lineRule="auto"/>
        <w:rPr>
          <w:sz w:val="20"/>
          <w:szCs w:val="20"/>
          <w:color w:val="auto"/>
        </w:rPr>
      </w:pPr>
      <w:r>
        <w:rPr>
          <w:rFonts w:ascii="Arial" w:cs="Arial" w:eastAsia="Arial" w:hAnsi="Arial"/>
          <w:sz w:val="22"/>
          <w:szCs w:val="22"/>
          <w:b w:val="1"/>
          <w:bCs w:val="1"/>
          <w:color w:val="auto"/>
        </w:rPr>
        <w:t>o TRANSITION REPORT PURSUANT TO SECTION 13 OR 15(D) OF THE SECURITIES EXCHANGE ACT OF 1934</w:t>
      </w:r>
    </w:p>
    <w:p>
      <w:pPr>
        <w:jc w:val="center"/>
        <w:ind w:right="-19"/>
        <w:spacing w:after="0" w:line="197" w:lineRule="auto"/>
        <w:rPr>
          <w:sz w:val="20"/>
          <w:szCs w:val="20"/>
          <w:color w:val="auto"/>
        </w:rPr>
      </w:pPr>
      <w:r>
        <w:rPr>
          <w:rFonts w:ascii="Arial" w:cs="Arial" w:eastAsia="Arial" w:hAnsi="Arial"/>
          <w:sz w:val="18"/>
          <w:szCs w:val="18"/>
          <w:b w:val="1"/>
          <w:bCs w:val="1"/>
          <w:color w:val="auto"/>
        </w:rPr>
        <w:t>Commission file number 001-35280</w:t>
      </w:r>
    </w:p>
    <w:p>
      <w:pPr>
        <w:jc w:val="center"/>
        <w:ind w:right="-19"/>
        <w:spacing w:after="0" w:line="216" w:lineRule="auto"/>
        <w:rPr>
          <w:sz w:val="20"/>
          <w:szCs w:val="20"/>
          <w:color w:val="auto"/>
        </w:rPr>
      </w:pPr>
      <w:r>
        <w:rPr>
          <w:rFonts w:ascii="Arial" w:cs="Arial" w:eastAsia="Arial" w:hAnsi="Arial"/>
          <w:sz w:val="32"/>
          <w:szCs w:val="32"/>
          <w:b w:val="1"/>
          <w:bCs w:val="1"/>
          <w:color w:val="auto"/>
        </w:rPr>
        <w:t>VERICEL CORPORATION</w:t>
      </w: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86" w:right="239" w:bottom="1440" w:gutter="0" w:footer="0" w:header="0"/>
        </w:sectPr>
      </w:pPr>
    </w:p>
    <w:p>
      <w:pPr>
        <w:spacing w:after="0" w:line="300" w:lineRule="exact"/>
        <w:rPr>
          <w:sz w:val="24"/>
          <w:szCs w:val="24"/>
          <w:color w:val="auto"/>
        </w:rPr>
      </w:pPr>
    </w:p>
    <w:p>
      <w:pPr>
        <w:ind w:left="2540"/>
        <w:spacing w:after="0"/>
        <w:rPr>
          <w:sz w:val="20"/>
          <w:szCs w:val="20"/>
          <w:color w:val="auto"/>
        </w:rPr>
      </w:pPr>
      <w:r>
        <w:rPr>
          <w:rFonts w:ascii="Arial" w:cs="Arial" w:eastAsia="Arial" w:hAnsi="Arial"/>
          <w:sz w:val="16"/>
          <w:szCs w:val="16"/>
          <w:b w:val="1"/>
          <w:bCs w:val="1"/>
          <w:color w:val="auto"/>
        </w:rPr>
        <w:t>Michigan</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94-3096597</w:t>
      </w:r>
    </w:p>
    <w:p>
      <w:pPr>
        <w:spacing w:after="0" w:line="90" w:lineRule="exact"/>
        <w:rPr>
          <w:sz w:val="24"/>
          <w:szCs w:val="24"/>
          <w:color w:val="auto"/>
        </w:rPr>
      </w:pPr>
    </w:p>
    <w:p>
      <w:pPr>
        <w:sectPr>
          <w:pgSz w:w="11900" w:h="16838" w:orient="portrait"/>
          <w:cols w:equalWidth="0" w:num="2">
            <w:col w:w="7380" w:space="720"/>
            <w:col w:w="3320"/>
          </w:cols>
          <w:pgMar w:left="240" w:top="786" w:right="239" w:bottom="1440" w:gutter="0" w:footer="0" w:header="0"/>
          <w:type w:val="continuous"/>
        </w:sectPr>
      </w:pPr>
    </w:p>
    <w:p>
      <w:pPr>
        <w:ind w:left="18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w:t>
      </w:r>
    </w:p>
    <w:p>
      <w:pPr>
        <w:spacing w:after="0" w:line="86" w:lineRule="exact"/>
        <w:rPr>
          <w:sz w:val="24"/>
          <w:szCs w:val="24"/>
          <w:color w:val="auto"/>
        </w:rPr>
      </w:pPr>
    </w:p>
    <w:p>
      <w:pPr>
        <w:sectPr>
          <w:pgSz w:w="11900" w:h="16838" w:orient="portrait"/>
          <w:cols w:equalWidth="0" w:num="2">
            <w:col w:w="7220" w:space="720"/>
            <w:col w:w="3480"/>
          </w:cols>
          <w:pgMar w:left="240" w:top="786" w:right="23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160" w:space="720"/>
            <w:col w:w="3540"/>
          </w:cols>
          <w:pgMar w:left="240" w:top="786" w:right="239" w:bottom="1440" w:gutter="0" w:footer="0" w:header="0"/>
          <w:type w:val="continuous"/>
        </w:sectPr>
      </w:pPr>
    </w:p>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64 Sidney Street</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Cambridge, MA 02139</w:t>
      </w:r>
    </w:p>
    <w:p>
      <w:pPr>
        <w:sectPr>
          <w:pgSz w:w="11900" w:h="16838" w:orient="portrait"/>
          <w:cols w:equalWidth="0" w:num="1">
            <w:col w:w="11420"/>
          </w:cols>
          <w:pgMar w:left="240" w:top="786" w:right="239" w:bottom="1440" w:gutter="0" w:footer="0" w:header="0"/>
          <w:type w:val="continuous"/>
        </w:sectPr>
      </w:pP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556-0311</w:t>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44" w:lineRule="exact"/>
        <w:rPr>
          <w:sz w:val="24"/>
          <w:szCs w:val="24"/>
          <w:color w:val="auto"/>
        </w:rPr>
      </w:pPr>
    </w:p>
    <w:p>
      <w:pPr>
        <w:ind w:right="140" w:firstLine="324"/>
        <w:spacing w:after="0" w:line="22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No - o</w:t>
      </w:r>
    </w:p>
    <w:p>
      <w:pPr>
        <w:spacing w:after="0" w:line="123" w:lineRule="exact"/>
        <w:rPr>
          <w:sz w:val="24"/>
          <w:szCs w:val="24"/>
          <w:color w:val="auto"/>
        </w:rPr>
      </w:pPr>
    </w:p>
    <w:p>
      <w:pPr>
        <w:jc w:val="both"/>
        <w:ind w:firstLine="243"/>
        <w:spacing w:after="0" w:line="22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 x No - o</w:t>
      </w:r>
    </w:p>
    <w:p>
      <w:pPr>
        <w:spacing w:after="0" w:line="298" w:lineRule="exact"/>
        <w:rPr>
          <w:sz w:val="24"/>
          <w:szCs w:val="24"/>
          <w:color w:val="auto"/>
        </w:rPr>
      </w:pPr>
    </w:p>
    <w:p>
      <w:pPr>
        <w:ind w:right="40" w:firstLine="243"/>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o</w:t>
      </w:r>
    </w:p>
    <w:p>
      <w:pPr>
        <w:spacing w:after="0" w:line="123" w:lineRule="exact"/>
        <w:rPr>
          <w:sz w:val="24"/>
          <w:szCs w:val="24"/>
          <w:color w:val="auto"/>
        </w:rPr>
      </w:pPr>
    </w:p>
    <w:tbl>
      <w:tblPr>
        <w:tblLayout w:type="fixed"/>
        <w:tblInd w:w="900" w:type="dxa"/>
        <w:tblCellMar>
          <w:top w:w="0" w:type="dxa"/>
          <w:left w:w="0" w:type="dxa"/>
          <w:bottom w:w="0" w:type="dxa"/>
          <w:right w:w="0" w:type="dxa"/>
        </w:tblCellMar>
      </w:tblPr>
      <w:tr>
        <w:trPr>
          <w:trHeight w:val="230"/>
        </w:trPr>
        <w:tc>
          <w:tcPr>
            <w:tcW w:w="4940" w:type="dxa"/>
            <w:vAlign w:val="bottom"/>
          </w:tcPr>
          <w:p>
            <w:pPr>
              <w:jc w:val="center"/>
              <w:ind w:right="1490"/>
              <w:spacing w:after="0"/>
              <w:rPr>
                <w:sz w:val="20"/>
                <w:szCs w:val="20"/>
                <w:color w:val="auto"/>
              </w:rPr>
            </w:pPr>
            <w:r>
              <w:rPr>
                <w:rFonts w:ascii="Arial" w:cs="Arial" w:eastAsia="Arial" w:hAnsi="Arial"/>
                <w:sz w:val="18"/>
                <w:szCs w:val="18"/>
                <w:color w:val="auto"/>
                <w:w w:val="90"/>
              </w:rPr>
              <w:t>Large accelerated filer - o</w:t>
            </w:r>
          </w:p>
        </w:tc>
        <w:tc>
          <w:tcPr>
            <w:tcW w:w="3780" w:type="dxa"/>
            <w:vAlign w:val="bottom"/>
          </w:tcPr>
          <w:p>
            <w:pPr>
              <w:jc w:val="center"/>
              <w:ind w:left="1490"/>
              <w:spacing w:after="0"/>
              <w:rPr>
                <w:sz w:val="20"/>
                <w:szCs w:val="20"/>
                <w:color w:val="auto"/>
              </w:rPr>
            </w:pPr>
            <w:r>
              <w:rPr>
                <w:rFonts w:ascii="Arial" w:cs="Arial" w:eastAsia="Arial" w:hAnsi="Arial"/>
                <w:sz w:val="18"/>
                <w:szCs w:val="18"/>
                <w:color w:val="auto"/>
                <w:w w:val="93"/>
              </w:rPr>
              <w:t>Accelerated filer - x</w:t>
            </w:r>
          </w:p>
        </w:tc>
      </w:tr>
      <w:tr>
        <w:trPr>
          <w:trHeight w:val="540"/>
        </w:trPr>
        <w:tc>
          <w:tcPr>
            <w:tcW w:w="4940" w:type="dxa"/>
            <w:vAlign w:val="bottom"/>
          </w:tcPr>
          <w:p>
            <w:pPr>
              <w:jc w:val="center"/>
              <w:ind w:right="1490"/>
              <w:spacing w:after="0"/>
              <w:rPr>
                <w:sz w:val="20"/>
                <w:szCs w:val="20"/>
                <w:color w:val="auto"/>
              </w:rPr>
            </w:pPr>
            <w:r>
              <w:rPr>
                <w:rFonts w:ascii="Arial" w:cs="Arial" w:eastAsia="Arial" w:hAnsi="Arial"/>
                <w:sz w:val="18"/>
                <w:szCs w:val="18"/>
                <w:color w:val="auto"/>
                <w:w w:val="91"/>
              </w:rPr>
              <w:t>Non-accelerated filer - o</w:t>
            </w:r>
          </w:p>
        </w:tc>
        <w:tc>
          <w:tcPr>
            <w:tcW w:w="3780" w:type="dxa"/>
            <w:vAlign w:val="bottom"/>
          </w:tcPr>
          <w:p>
            <w:pPr>
              <w:jc w:val="center"/>
              <w:ind w:left="1490"/>
              <w:spacing w:after="0"/>
              <w:rPr>
                <w:sz w:val="20"/>
                <w:szCs w:val="20"/>
                <w:color w:val="auto"/>
              </w:rPr>
            </w:pPr>
            <w:r>
              <w:rPr>
                <w:rFonts w:ascii="Arial" w:cs="Arial" w:eastAsia="Arial" w:hAnsi="Arial"/>
                <w:sz w:val="18"/>
                <w:szCs w:val="18"/>
                <w:color w:val="auto"/>
                <w:w w:val="91"/>
              </w:rPr>
              <w:t>Smaller reporting company - o</w:t>
            </w:r>
          </w:p>
        </w:tc>
      </w:tr>
      <w:tr>
        <w:trPr>
          <w:trHeight w:val="270"/>
        </w:trPr>
        <w:tc>
          <w:tcPr>
            <w:tcW w:w="4940" w:type="dxa"/>
            <w:vAlign w:val="bottom"/>
          </w:tcPr>
          <w:p>
            <w:pPr>
              <w:jc w:val="center"/>
              <w:ind w:right="1490"/>
              <w:spacing w:after="0"/>
              <w:rPr>
                <w:sz w:val="20"/>
                <w:szCs w:val="20"/>
                <w:color w:val="auto"/>
              </w:rPr>
            </w:pPr>
            <w:r>
              <w:rPr>
                <w:rFonts w:ascii="Arial" w:cs="Arial" w:eastAsia="Arial" w:hAnsi="Arial"/>
                <w:sz w:val="18"/>
                <w:szCs w:val="18"/>
                <w:color w:val="auto"/>
                <w:w w:val="92"/>
              </w:rPr>
              <w:t>(Do not check if a smaller reporting company)</w:t>
            </w:r>
          </w:p>
        </w:tc>
        <w:tc>
          <w:tcPr>
            <w:tcW w:w="3780" w:type="dxa"/>
            <w:vAlign w:val="bottom"/>
          </w:tcPr>
          <w:p>
            <w:pPr>
              <w:jc w:val="center"/>
              <w:ind w:left="1490"/>
              <w:spacing w:after="0"/>
              <w:rPr>
                <w:sz w:val="20"/>
                <w:szCs w:val="20"/>
                <w:color w:val="auto"/>
              </w:rPr>
            </w:pPr>
            <w:r>
              <w:rPr>
                <w:rFonts w:ascii="Arial" w:cs="Arial" w:eastAsia="Arial" w:hAnsi="Arial"/>
                <w:sz w:val="18"/>
                <w:szCs w:val="18"/>
                <w:color w:val="auto"/>
                <w:w w:val="91"/>
              </w:rPr>
              <w:t>Emerging growth company - o</w:t>
            </w:r>
          </w:p>
        </w:tc>
      </w:tr>
    </w:tbl>
    <w:p>
      <w:pPr>
        <w:spacing w:after="0" w:line="229" w:lineRule="exact"/>
        <w:rPr>
          <w:sz w:val="24"/>
          <w:szCs w:val="24"/>
          <w:color w:val="auto"/>
        </w:rPr>
      </w:pPr>
    </w:p>
    <w:p>
      <w:pPr>
        <w:ind w:right="100" w:firstLine="243"/>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70" w:lineRule="exact"/>
        <w:rPr>
          <w:sz w:val="24"/>
          <w:szCs w:val="24"/>
          <w:color w:val="auto"/>
        </w:rPr>
      </w:pPr>
    </w:p>
    <w:p>
      <w:pPr>
        <w:ind w:left="2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o No - x</w:t>
      </w:r>
    </w:p>
    <w:p>
      <w:pPr>
        <w:spacing w:after="0" w:line="225" w:lineRule="exact"/>
        <w:rPr>
          <w:sz w:val="24"/>
          <w:szCs w:val="24"/>
          <w:color w:val="auto"/>
        </w:rPr>
      </w:pPr>
    </w:p>
    <w:p>
      <w:pPr>
        <w:ind w:left="2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383" w:lineRule="exact"/>
        <w:rPr>
          <w:sz w:val="24"/>
          <w:szCs w:val="24"/>
          <w:color w:val="auto"/>
        </w:rPr>
      </w:pPr>
    </w:p>
    <w:tbl>
      <w:tblPr>
        <w:tblLayout w:type="fixed"/>
        <w:tblInd w:w="160" w:type="dxa"/>
        <w:tblCellMar>
          <w:top w:w="0" w:type="dxa"/>
          <w:left w:w="0" w:type="dxa"/>
          <w:bottom w:w="0" w:type="dxa"/>
          <w:right w:w="0" w:type="dxa"/>
        </w:tblCellMar>
      </w:tblPr>
      <w:tr>
        <w:trPr>
          <w:trHeight w:val="234"/>
        </w:trPr>
        <w:tc>
          <w:tcPr>
            <w:tcW w:w="5580" w:type="dxa"/>
            <w:vAlign w:val="bottom"/>
          </w:tcPr>
          <w:p>
            <w:pPr>
              <w:jc w:val="center"/>
              <w:ind w:right="490"/>
              <w:spacing w:after="0"/>
              <w:rPr>
                <w:sz w:val="20"/>
                <w:szCs w:val="20"/>
                <w:color w:val="auto"/>
              </w:rPr>
            </w:pPr>
            <w:r>
              <w:rPr>
                <w:rFonts w:ascii="Arial" w:cs="Arial" w:eastAsia="Arial" w:hAnsi="Arial"/>
                <w:sz w:val="18"/>
                <w:szCs w:val="18"/>
                <w:b w:val="1"/>
                <w:bCs w:val="1"/>
                <w:color w:val="auto"/>
                <w:w w:val="99"/>
              </w:rPr>
              <w:t>COMMON STOCK, NO PAR VALUE</w:t>
            </w:r>
          </w:p>
        </w:tc>
        <w:tc>
          <w:tcPr>
            <w:tcW w:w="5540" w:type="dxa"/>
            <w:vAlign w:val="bottom"/>
          </w:tcPr>
          <w:p>
            <w:pPr>
              <w:jc w:val="right"/>
              <w:ind w:right="2350"/>
              <w:spacing w:after="0"/>
              <w:rPr>
                <w:sz w:val="20"/>
                <w:szCs w:val="20"/>
                <w:color w:val="auto"/>
              </w:rPr>
            </w:pPr>
            <w:r>
              <w:rPr>
                <w:rFonts w:ascii="Arial" w:cs="Arial" w:eastAsia="Arial" w:hAnsi="Arial"/>
                <w:sz w:val="18"/>
                <w:szCs w:val="18"/>
                <w:b w:val="1"/>
                <w:bCs w:val="1"/>
                <w:color w:val="auto"/>
              </w:rPr>
              <w:t>32,824,531</w:t>
            </w:r>
          </w:p>
        </w:tc>
      </w:tr>
      <w:tr>
        <w:trPr>
          <w:trHeight w:val="270"/>
        </w:trPr>
        <w:tc>
          <w:tcPr>
            <w:tcW w:w="5580" w:type="dxa"/>
            <w:vAlign w:val="bottom"/>
          </w:tcPr>
          <w:p>
            <w:pPr>
              <w:jc w:val="center"/>
              <w:ind w:right="490"/>
              <w:spacing w:after="0"/>
              <w:rPr>
                <w:sz w:val="20"/>
                <w:szCs w:val="20"/>
                <w:color w:val="auto"/>
              </w:rPr>
            </w:pPr>
            <w:r>
              <w:rPr>
                <w:rFonts w:ascii="Arial" w:cs="Arial" w:eastAsia="Arial" w:hAnsi="Arial"/>
                <w:sz w:val="18"/>
                <w:szCs w:val="18"/>
                <w:color w:val="auto"/>
                <w:w w:val="91"/>
              </w:rPr>
              <w:t>(Class)</w:t>
            </w:r>
          </w:p>
        </w:tc>
        <w:tc>
          <w:tcPr>
            <w:tcW w:w="5540" w:type="dxa"/>
            <w:vAlign w:val="bottom"/>
          </w:tcPr>
          <w:p>
            <w:pPr>
              <w:jc w:val="center"/>
              <w:ind w:right="50"/>
              <w:spacing w:after="0"/>
              <w:rPr>
                <w:sz w:val="20"/>
                <w:szCs w:val="20"/>
                <w:color w:val="auto"/>
              </w:rPr>
            </w:pPr>
            <w:r>
              <w:rPr>
                <w:rFonts w:ascii="Arial" w:cs="Arial" w:eastAsia="Arial" w:hAnsi="Arial"/>
                <w:sz w:val="18"/>
                <w:szCs w:val="18"/>
                <w:color w:val="auto"/>
                <w:w w:val="90"/>
              </w:rPr>
              <w:t>Outstanding at August 7, 2017</w:t>
            </w:r>
          </w:p>
        </w:tc>
      </w:tr>
      <w:tr>
        <w:trPr>
          <w:trHeight w:val="156"/>
        </w:trPr>
        <w:tc>
          <w:tcPr>
            <w:tcW w:w="5580" w:type="dxa"/>
            <w:vAlign w:val="bottom"/>
            <w:tcBorders>
              <w:bottom w:val="single" w:sz="8" w:color="auto"/>
            </w:tcBorders>
          </w:tcPr>
          <w:p>
            <w:pPr>
              <w:spacing w:after="0"/>
              <w:rPr>
                <w:sz w:val="13"/>
                <w:szCs w:val="13"/>
                <w:color w:val="auto"/>
              </w:rPr>
            </w:pPr>
          </w:p>
        </w:tc>
        <w:tc>
          <w:tcPr>
            <w:tcW w:w="5540" w:type="dxa"/>
            <w:vAlign w:val="bottom"/>
            <w:tcBorders>
              <w:bottom w:val="single" w:sz="8" w:color="auto"/>
            </w:tcBorders>
          </w:tcPr>
          <w:p>
            <w:pPr>
              <w:spacing w:after="0"/>
              <w:rPr>
                <w:sz w:val="13"/>
                <w:szCs w:val="13"/>
                <w:color w:val="auto"/>
              </w:rPr>
            </w:pPr>
          </w:p>
        </w:tc>
      </w:tr>
      <w:tr>
        <w:trPr>
          <w:trHeight w:val="169"/>
        </w:trPr>
        <w:tc>
          <w:tcPr>
            <w:tcW w:w="5580" w:type="dxa"/>
            <w:vAlign w:val="bottom"/>
            <w:tcBorders>
              <w:bottom w:val="single" w:sz="8" w:color="auto"/>
            </w:tcBorders>
          </w:tcPr>
          <w:p>
            <w:pPr>
              <w:spacing w:after="0"/>
              <w:rPr>
                <w:sz w:val="14"/>
                <w:szCs w:val="14"/>
                <w:color w:val="auto"/>
              </w:rPr>
            </w:pPr>
          </w:p>
        </w:tc>
        <w:tc>
          <w:tcPr>
            <w:tcW w:w="554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786"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180" w:type="dxa"/>
            <w:vAlign w:val="bottom"/>
            <w:gridSpan w:val="15"/>
          </w:tcPr>
          <w:p>
            <w:pPr>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00"/>
        </w:trPr>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2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8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 as of June 30, 2017 and December 31, 2016</w:t>
              </w:r>
            </w:hyperlink>
          </w:p>
        </w:tc>
        <w:tc>
          <w:tcPr>
            <w:tcW w:w="412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520"/>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and six months ended June 30, 2017 and 2016</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47"/>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three and six months ended June 30, 2017 and 2016</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520"/>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40" w:type="dxa"/>
            <w:vAlign w:val="bottom"/>
            <w:tcBorders>
              <w:top w:val="single" w:sz="8" w:color="0000EE"/>
            </w:tcBorders>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0"/>
        </w:trPr>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Management’s Discussion and Analysis of Financial Condition and Results of Operations</w:t>
              </w:r>
            </w:hyperlink>
          </w:p>
        </w:tc>
        <w:tc>
          <w:tcPr>
            <w:tcW w:w="380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14</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Quantitative and Qualitative Disclosures About Market Risk</w:t>
              </w:r>
            </w:hyperlink>
          </w:p>
        </w:tc>
        <w:tc>
          <w:tcPr>
            <w:tcW w:w="590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20</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0200" w:type="dxa"/>
            <w:vAlign w:val="bottom"/>
            <w:gridSpan w:val="1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20</w:t>
              </w:r>
            </w:hyperlink>
          </w:p>
        </w:tc>
      </w:tr>
      <w:tr>
        <w:trPr>
          <w:trHeight w:val="20"/>
        </w:trPr>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61"/>
        </w:trPr>
        <w:tc>
          <w:tcPr>
            <w:tcW w:w="11180" w:type="dxa"/>
            <w:vAlign w:val="bottom"/>
            <w:gridSpan w:val="15"/>
          </w:tcPr>
          <w:p>
            <w:pPr>
              <w:spacing w:after="0"/>
              <w:rPr>
                <w:sz w:val="20"/>
                <w:szCs w:val="20"/>
                <w:color w:val="auto"/>
              </w:rPr>
            </w:pPr>
            <w:r>
              <w:rPr>
                <w:rFonts w:ascii="Arial" w:cs="Arial" w:eastAsia="Arial" w:hAnsi="Arial"/>
                <w:sz w:val="18"/>
                <w:szCs w:val="18"/>
                <w:b w:val="1"/>
                <w:bCs w:val="1"/>
                <w:color w:val="auto"/>
              </w:rPr>
              <w:t>PART II —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200" w:type="dxa"/>
            <w:vAlign w:val="bottom"/>
            <w:gridSpan w:val="1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21</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1"/>
              </w:rPr>
            </w:pPr>
            <w:hyperlink w:anchor="page21">
              <w:r>
                <w:rPr>
                  <w:rFonts w:ascii="Arial" w:cs="Arial" w:eastAsia="Arial" w:hAnsi="Arial"/>
                  <w:sz w:val="18"/>
                  <w:szCs w:val="18"/>
                  <w:color w:val="0000EE"/>
                  <w:w w:val="81"/>
                </w:rPr>
                <w:t>Risk Factors</w:t>
              </w:r>
            </w:hyperlink>
          </w:p>
        </w:tc>
        <w:tc>
          <w:tcPr>
            <w:tcW w:w="420" w:type="dxa"/>
            <w:vAlign w:val="bottom"/>
            <w:tcBorders>
              <w:top w:val="single" w:sz="8" w:color="0000EE"/>
            </w:tcBorders>
          </w:tcPr>
          <w:p>
            <w:pPr>
              <w:spacing w:after="0"/>
              <w:rPr>
                <w:sz w:val="24"/>
                <w:szCs w:val="24"/>
                <w:color w:val="auto"/>
              </w:rPr>
            </w:pPr>
          </w:p>
        </w:tc>
        <w:tc>
          <w:tcPr>
            <w:tcW w:w="8940" w:type="dxa"/>
            <w:vAlign w:val="bottom"/>
            <w:gridSpan w:val="10"/>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21</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200" w:type="dxa"/>
            <w:vAlign w:val="bottom"/>
            <w:gridSpan w:val="1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21</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280" w:type="dxa"/>
            <w:vAlign w:val="bottom"/>
            <w:tcBorders>
              <w:top w:val="single" w:sz="8" w:color="0000EE"/>
            </w:tcBorders>
            <w:gridSpan w:val="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Exhibits</w:t>
              </w:r>
            </w:hyperlink>
          </w:p>
        </w:tc>
        <w:tc>
          <w:tcPr>
            <w:tcW w:w="5920" w:type="dxa"/>
            <w:vAlign w:val="bottom"/>
            <w:gridSpan w:val="6"/>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21</w:t>
              </w:r>
            </w:hyperlink>
          </w:p>
        </w:tc>
      </w:tr>
      <w:tr>
        <w:trPr>
          <w:trHeight w:val="520"/>
        </w:trPr>
        <w:tc>
          <w:tcPr>
            <w:tcW w:w="980" w:type="dxa"/>
            <w:vAlign w:val="bottom"/>
            <w:gridSpan w:val="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Signature</w:t>
              </w:r>
            </w:hyperlink>
          </w:p>
        </w:tc>
        <w:tc>
          <w:tcPr>
            <w:tcW w:w="5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20"/>
        </w:trPr>
        <w:tc>
          <w:tcPr>
            <w:tcW w:w="6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0" w:type="dxa"/>
            <w:vAlign w:val="bottom"/>
            <w:gridSpan w:val="1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1180" w:type="dxa"/>
            <w:vAlign w:val="bottom"/>
            <w:gridSpan w:val="1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Exhibit Index</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480"/>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5"/>
          </w:tcPr>
          <w:p>
            <w:pPr>
              <w:ind w:left="360"/>
              <w:spacing w:after="0"/>
              <w:rPr>
                <w:sz w:val="20"/>
                <w:szCs w:val="20"/>
                <w:color w:val="auto"/>
              </w:rPr>
            </w:pPr>
            <w:r>
              <w:rPr>
                <w:rFonts w:ascii="Arial" w:cs="Arial" w:eastAsia="Arial" w:hAnsi="Arial"/>
                <w:sz w:val="18"/>
                <w:szCs w:val="18"/>
                <w:color w:val="auto"/>
              </w:rPr>
              <w:t>i</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580"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7020" w:type="dxa"/>
            <w:vAlign w:val="bottom"/>
          </w:tcPr>
          <w:p>
            <w:pPr>
              <w:jc w:val="center"/>
              <w:ind w:left="1650"/>
              <w:spacing w:after="0"/>
              <w:rPr>
                <w:sz w:val="20"/>
                <w:szCs w:val="20"/>
                <w:color w:val="auto"/>
              </w:rPr>
            </w:pPr>
            <w:r>
              <w:rPr>
                <w:rFonts w:ascii="Arial" w:cs="Arial" w:eastAsia="Arial" w:hAnsi="Arial"/>
                <w:sz w:val="18"/>
                <w:szCs w:val="18"/>
                <w:b w:val="1"/>
                <w:bCs w:val="1"/>
                <w:color w:val="auto"/>
              </w:rPr>
              <w:t>PART I - FINANCIAL INFORMATION</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3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54"/>
        </w:trPr>
        <w:tc>
          <w:tcPr>
            <w:tcW w:w="1340" w:type="dxa"/>
            <w:vAlign w:val="bottom"/>
          </w:tcPr>
          <w:p>
            <w:pPr>
              <w:spacing w:after="0"/>
              <w:rPr>
                <w:sz w:val="24"/>
                <w:szCs w:val="24"/>
                <w:color w:val="auto"/>
              </w:rPr>
            </w:pPr>
          </w:p>
        </w:tc>
        <w:tc>
          <w:tcPr>
            <w:tcW w:w="7020" w:type="dxa"/>
            <w:vAlign w:val="bottom"/>
          </w:tcPr>
          <w:p>
            <w:pPr>
              <w:jc w:val="center"/>
              <w:ind w:left="1590"/>
              <w:spacing w:after="0"/>
              <w:rPr>
                <w:sz w:val="20"/>
                <w:szCs w:val="20"/>
                <w:color w:val="auto"/>
              </w:rPr>
            </w:pPr>
            <w:r>
              <w:rPr>
                <w:rFonts w:ascii="Arial" w:cs="Arial" w:eastAsia="Arial" w:hAnsi="Arial"/>
                <w:sz w:val="18"/>
                <w:szCs w:val="18"/>
                <w:b w:val="1"/>
                <w:bCs w:val="1"/>
                <w:color w:val="auto"/>
              </w:rPr>
              <w:t>VERICEL CORPORATION</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7020" w:type="dxa"/>
            <w:vAlign w:val="bottom"/>
          </w:tcPr>
          <w:p>
            <w:pPr>
              <w:jc w:val="center"/>
              <w:ind w:left="16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340" w:type="dxa"/>
            <w:vAlign w:val="bottom"/>
          </w:tcPr>
          <w:p>
            <w:pPr>
              <w:spacing w:after="0"/>
              <w:rPr>
                <w:sz w:val="20"/>
                <w:szCs w:val="20"/>
                <w:color w:val="auto"/>
              </w:rPr>
            </w:pPr>
          </w:p>
        </w:tc>
        <w:tc>
          <w:tcPr>
            <w:tcW w:w="7020" w:type="dxa"/>
            <w:vAlign w:val="bottom"/>
          </w:tcPr>
          <w:p>
            <w:pPr>
              <w:jc w:val="center"/>
              <w:ind w:left="1630"/>
              <w:spacing w:after="0"/>
              <w:rPr>
                <w:sz w:val="20"/>
                <w:szCs w:val="20"/>
                <w:color w:val="auto"/>
              </w:rPr>
            </w:pPr>
            <w:r>
              <w:rPr>
                <w:rFonts w:ascii="Arial" w:cs="Arial" w:eastAsia="Arial" w:hAnsi="Arial"/>
                <w:sz w:val="18"/>
                <w:szCs w:val="18"/>
                <w:b w:val="1"/>
                <w:bCs w:val="1"/>
                <w:color w:val="auto"/>
                <w:w w:val="89"/>
              </w:rPr>
              <w:t>(Unaudited, amounts in thousands)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609"/>
        </w:trPr>
        <w:tc>
          <w:tcPr>
            <w:tcW w:w="13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24"/>
                <w:szCs w:val="24"/>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1340" w:type="dxa"/>
            <w:vAlign w:val="bottom"/>
          </w:tcPr>
          <w:p>
            <w:pPr>
              <w:spacing w:after="0"/>
              <w:rPr>
                <w:sz w:val="23"/>
                <w:szCs w:val="23"/>
                <w:color w:val="auto"/>
              </w:rPr>
            </w:pPr>
          </w:p>
        </w:tc>
        <w:tc>
          <w:tcPr>
            <w:tcW w:w="70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30"/>
        </w:trPr>
        <w:tc>
          <w:tcPr>
            <w:tcW w:w="13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7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7"/>
        </w:trPr>
        <w:tc>
          <w:tcPr>
            <w:tcW w:w="13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7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1340" w:type="dxa"/>
            <w:vAlign w:val="bottom"/>
          </w:tcPr>
          <w:p>
            <w:pPr>
              <w:ind w:left="180"/>
              <w:spacing w:after="0"/>
              <w:rPr>
                <w:sz w:val="20"/>
                <w:szCs w:val="20"/>
                <w:color w:val="auto"/>
              </w:rPr>
            </w:pPr>
            <w:r>
              <w:rPr>
                <w:rFonts w:ascii="Arial" w:cs="Arial" w:eastAsia="Arial" w:hAnsi="Arial"/>
                <w:sz w:val="18"/>
                <w:szCs w:val="18"/>
                <w:color w:val="auto"/>
              </w:rPr>
              <w:t>Cash</w:t>
            </w:r>
          </w:p>
        </w:tc>
        <w:tc>
          <w:tcPr>
            <w:tcW w:w="70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14,041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22,978</w:t>
            </w:r>
          </w:p>
        </w:tc>
      </w:tr>
      <w:tr>
        <w:trPr>
          <w:trHeight w:val="27"/>
        </w:trPr>
        <w:tc>
          <w:tcPr>
            <w:tcW w:w="8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doubtful accounts of $108 and $225,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17,093</w:t>
            </w:r>
          </w:p>
        </w:tc>
      </w:tr>
      <w:tr>
        <w:trPr>
          <w:trHeight w:val="243"/>
        </w:trPr>
        <w:tc>
          <w:tcPr>
            <w:tcW w:w="134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7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3,488</w:t>
            </w:r>
          </w:p>
        </w:tc>
      </w:tr>
      <w:tr>
        <w:trPr>
          <w:trHeight w:val="27"/>
        </w:trPr>
        <w:tc>
          <w:tcPr>
            <w:tcW w:w="8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1,164</w:t>
            </w:r>
          </w:p>
        </w:tc>
      </w:tr>
      <w:tr>
        <w:trPr>
          <w:trHeight w:val="237"/>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33,041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44,723</w:t>
            </w:r>
          </w:p>
        </w:tc>
      </w:tr>
      <w:tr>
        <w:trPr>
          <w:trHeight w:val="27"/>
        </w:trPr>
        <w:tc>
          <w:tcPr>
            <w:tcW w:w="8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3,875</w:t>
            </w:r>
          </w:p>
        </w:tc>
      </w:tr>
      <w:tr>
        <w:trPr>
          <w:trHeight w:val="237"/>
        </w:trPr>
        <w:tc>
          <w:tcPr>
            <w:tcW w:w="1340" w:type="dxa"/>
            <w:vAlign w:val="bottom"/>
          </w:tcPr>
          <w:p>
            <w:pPr>
              <w:ind w:left="380"/>
              <w:spacing w:after="0"/>
              <w:rPr>
                <w:sz w:val="20"/>
                <w:szCs w:val="20"/>
                <w:color w:val="auto"/>
              </w:rPr>
            </w:pPr>
            <w:r>
              <w:rPr>
                <w:rFonts w:ascii="Arial" w:cs="Arial" w:eastAsia="Arial" w:hAnsi="Arial"/>
                <w:sz w:val="18"/>
                <w:szCs w:val="18"/>
                <w:color w:val="auto"/>
                <w:w w:val="96"/>
              </w:rPr>
              <w:t>Total assets</w:t>
            </w:r>
          </w:p>
        </w:tc>
        <w:tc>
          <w:tcPr>
            <w:tcW w:w="70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36,534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48,598</w:t>
            </w:r>
          </w:p>
        </w:tc>
      </w:tr>
      <w:tr>
        <w:trPr>
          <w:trHeight w:val="67"/>
        </w:trPr>
        <w:tc>
          <w:tcPr>
            <w:tcW w:w="8360" w:type="dxa"/>
            <w:vAlign w:val="bottom"/>
            <w:tcBorders>
              <w:bottom w:val="single" w:sz="8" w:color="CCEEFF"/>
            </w:tcBorders>
            <w:gridSpan w:val="2"/>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04"/>
        </w:trPr>
        <w:tc>
          <w:tcPr>
            <w:tcW w:w="83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r>
      <w:tr>
        <w:trPr>
          <w:trHeight w:val="243"/>
        </w:trPr>
        <w:tc>
          <w:tcPr>
            <w:tcW w:w="1340" w:type="dxa"/>
            <w:vAlign w:val="bottom"/>
          </w:tcPr>
          <w:p>
            <w:pPr>
              <w:ind w:left="40"/>
              <w:spacing w:after="0"/>
              <w:rPr>
                <w:sz w:val="20"/>
                <w:szCs w:val="20"/>
                <w:color w:val="auto"/>
              </w:rPr>
            </w:pPr>
            <w:r>
              <w:rPr>
                <w:rFonts w:ascii="Arial" w:cs="Arial" w:eastAsia="Arial" w:hAnsi="Arial"/>
                <w:sz w:val="18"/>
                <w:szCs w:val="18"/>
                <w:color w:val="auto"/>
                <w:w w:val="92"/>
              </w:rPr>
              <w:t>Current liabilities:</w:t>
            </w:r>
          </w:p>
        </w:tc>
        <w:tc>
          <w:tcPr>
            <w:tcW w:w="7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6,535</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4,135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4,523</w:t>
            </w:r>
          </w:p>
        </w:tc>
      </w:tr>
      <w:tr>
        <w:trPr>
          <w:trHeight w:val="27"/>
        </w:trPr>
        <w:tc>
          <w:tcPr>
            <w:tcW w:w="8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term loan credit agreement, net of deferred costs of $110</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Warrant liabilities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757</w:t>
            </w:r>
          </w:p>
        </w:tc>
      </w:tr>
      <w:tr>
        <w:trPr>
          <w:trHeight w:val="27"/>
        </w:trPr>
        <w:tc>
          <w:tcPr>
            <w:tcW w:w="13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1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70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r>
      <w:tr>
        <w:trPr>
          <w:trHeight w:val="237"/>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12,943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12,853</w:t>
            </w:r>
          </w:p>
        </w:tc>
      </w:tr>
      <w:tr>
        <w:trPr>
          <w:trHeight w:val="27"/>
        </w:trPr>
        <w:tc>
          <w:tcPr>
            <w:tcW w:w="8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Revolving and term loan credit agreement, net of deferred costs of $238 and $293,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9,318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Long term deferred rent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1,687</w:t>
            </w:r>
          </w:p>
        </w:tc>
      </w:tr>
      <w:tr>
        <w:trPr>
          <w:trHeight w:val="27"/>
        </w:trPr>
        <w:tc>
          <w:tcPr>
            <w:tcW w:w="8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 term debt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r>
      <w:tr>
        <w:trPr>
          <w:trHeight w:val="237"/>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22,561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23,890</w:t>
            </w:r>
          </w:p>
        </w:tc>
      </w:tr>
      <w:tr>
        <w:trPr>
          <w:trHeight w:val="27"/>
        </w:trPr>
        <w:tc>
          <w:tcPr>
            <w:tcW w:w="8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13)</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1"/>
              </w:rPr>
              <w:t>Series B-2 voting convertible preferred stock, no par value: shares authorized and reserved — 39, shares issued</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and outstanding — 0 and 12,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38,389</w:t>
            </w:r>
          </w:p>
        </w:tc>
      </w:tr>
      <w:tr>
        <w:trPr>
          <w:trHeight w:val="229"/>
        </w:trPr>
        <w:tc>
          <w:tcPr>
            <w:tcW w:w="8360" w:type="dxa"/>
            <w:vAlign w:val="bottom"/>
            <w:gridSpan w:val="2"/>
          </w:tcPr>
          <w:p>
            <w:pPr>
              <w:ind w:left="180"/>
              <w:spacing w:after="0"/>
              <w:rPr>
                <w:sz w:val="20"/>
                <w:szCs w:val="20"/>
                <w:color w:val="auto"/>
              </w:rPr>
            </w:pPr>
            <w:r>
              <w:rPr>
                <w:rFonts w:ascii="Arial" w:cs="Arial" w:eastAsia="Arial" w:hAnsi="Arial"/>
                <w:sz w:val="18"/>
                <w:szCs w:val="18"/>
                <w:color w:val="auto"/>
                <w:w w:val="97"/>
              </w:rPr>
              <w:t>Common stock, no par value; shares authorized — 75,000; shares issued and outstanding — 32,768 and</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31,595, respectively</w:t>
            </w:r>
          </w:p>
        </w:tc>
        <w:tc>
          <w:tcPr>
            <w:tcW w:w="30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369,540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329,720</w:t>
            </w:r>
          </w:p>
        </w:tc>
      </w:tr>
      <w:tr>
        <w:trPr>
          <w:trHeight w:val="27"/>
        </w:trPr>
        <w:tc>
          <w:tcPr>
            <w:tcW w:w="13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7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(355,757)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(343,591)</w:t>
            </w:r>
          </w:p>
        </w:tc>
      </w:tr>
      <w:tr>
        <w:trPr>
          <w:trHeight w:val="27"/>
        </w:trPr>
        <w:tc>
          <w:tcPr>
            <w:tcW w:w="836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24,708</w:t>
            </w: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36,534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48,598</w:t>
            </w:r>
          </w:p>
        </w:tc>
      </w:tr>
      <w:tr>
        <w:trPr>
          <w:trHeight w:val="27"/>
        </w:trPr>
        <w:tc>
          <w:tcPr>
            <w:tcW w:w="13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134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26,931</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Cost of product sales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7,670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7,300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14,779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13,860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9,283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13,071</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2,971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4,058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7,594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8,833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12,453</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11,804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23,679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20,047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 fair value of warrants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Foreign currency translation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other income (expense)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Net loss per share attributable to common shareholders (Basic and</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(see note 12)</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w w:val="92"/>
              </w:rPr>
              <w:t>Weighted average number of common shares outstanding (Basic and</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ind w:right="32"/>
              <w:spacing w:after="0"/>
              <w:rPr>
                <w:sz w:val="20"/>
                <w:szCs w:val="20"/>
                <w:color w:val="auto"/>
              </w:rPr>
            </w:pPr>
            <w:r>
              <w:rPr>
                <w:rFonts w:ascii="Arial" w:cs="Arial" w:eastAsia="Arial" w:hAnsi="Arial"/>
                <w:sz w:val="18"/>
                <w:szCs w:val="18"/>
                <w:color w:val="auto"/>
              </w:rPr>
              <w:t>32,765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22,684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32,333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22,644</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6"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3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(12,166)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(6,694)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923</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Change in fair value of warrants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provision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Deferred rent expense</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260</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Tenant improvement reimbursement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Foreign currency translation loss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60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(1,099)</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1,888</w:t>
            </w:r>
          </w:p>
        </w:tc>
      </w:tr>
      <w:tr>
        <w:trPr>
          <w:trHeight w:val="243"/>
        </w:trPr>
        <w:tc>
          <w:tcPr>
            <w:tcW w:w="8360" w:type="dxa"/>
            <w:vAlign w:val="bottom"/>
          </w:tcPr>
          <w:p>
            <w:pPr>
              <w:ind w:left="60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(2,305)</w:t>
            </w:r>
          </w:p>
        </w:tc>
      </w:tr>
      <w:tr>
        <w:trPr>
          <w:trHeight w:val="243"/>
        </w:trPr>
        <w:tc>
          <w:tcPr>
            <w:tcW w:w="8360" w:type="dxa"/>
            <w:vAlign w:val="bottom"/>
          </w:tcPr>
          <w:p>
            <w:pPr>
              <w:ind w:left="60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assets and liabilities,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used for operating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(6,402)</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Expenditures for property, plant and equipment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(981)</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Net proceeds from issuance of common stock</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352</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financing costs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Borrowings under revolving credit agreement and term loan</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2,400</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on long-term debt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2,637</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Cash at beginning of period</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22,978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14,581</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at 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9,835</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cash flow information (non-cash):</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Additions to equipment in process included in 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exchanged between common and preferred stock</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Supplementary cash flows information:</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paid, net of interest capitalized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96"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2017 (UNAUDITED)</w:t>
      </w:r>
    </w:p>
    <w:p>
      <w:pPr>
        <w:spacing w:after="0" w:line="20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6"/>
          <w:szCs w:val="16"/>
          <w:color w:val="auto"/>
        </w:rPr>
        <w:t>Vericel Corporation, a Michigan corporation (the Company, Vericel, we, us or our), was incorporated in March 1989 and began employee-based operations in 1991. On May 30, 2014, Vericel completed the acquisition of certain assets and assumed certain liabilities of Sanofi, a French société anonyme (Sanofi), including all of the outstanding equity interests of Genzyme Biosurgery ApS (Genzyme Denmark or the Danish subsidiary) (now known as Vericel Denmark ApS), a wholly-owned subsidiary of Sanofi, and over 250 patent applications of Sanofi and certain of its subsidiaries for purposes of acquiring the portion of the cell therapy and regenerative medicine business (the CTRM Business), which researches, develops, manufactures, markets and sells the Carticel</w:t>
      </w:r>
      <w:r>
        <w:rPr>
          <w:rFonts w:ascii="Arial" w:cs="Arial" w:eastAsia="Arial" w:hAnsi="Arial"/>
          <w:sz w:val="22"/>
          <w:szCs w:val="22"/>
          <w:color w:val="auto"/>
          <w:vertAlign w:val="superscript"/>
        </w:rPr>
        <w:t>®</w:t>
      </w:r>
      <w:r>
        <w:rPr>
          <w:rFonts w:ascii="Arial" w:cs="Arial" w:eastAsia="Arial" w:hAnsi="Arial"/>
          <w:sz w:val="16"/>
          <w:szCs w:val="16"/>
          <w:color w:val="auto"/>
        </w:rPr>
        <w:t>, MACI</w:t>
      </w:r>
      <w:r>
        <w:rPr>
          <w:rFonts w:ascii="Arial" w:cs="Arial" w:eastAsia="Arial" w:hAnsi="Arial"/>
          <w:sz w:val="22"/>
          <w:szCs w:val="22"/>
          <w:color w:val="auto"/>
          <w:vertAlign w:val="superscript"/>
        </w:rPr>
        <w:t>®</w:t>
      </w:r>
      <w:r>
        <w:rPr>
          <w:rFonts w:ascii="Arial" w:cs="Arial" w:eastAsia="Arial" w:hAnsi="Arial"/>
          <w:sz w:val="16"/>
          <w:szCs w:val="16"/>
          <w:color w:val="auto"/>
        </w:rPr>
        <w:t>, and Epicel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The Company is a fully integrated, commercial-stage biopharmaceutical company dedicated to the identification, development and commercialization of innovative therapies that enable the body to repair and regenerate damaged tissues and organs to restore normal structure and function. Vericel has marketed products and developmental stage product candidates, and the Company’s goal is to become the leader in cell therapy and regenerative medicine by developing, manufacturing and marketing best-in-class therapies for patients with significant unmet medical needs.</w:t>
      </w:r>
    </w:p>
    <w:p>
      <w:pPr>
        <w:spacing w:after="0" w:line="18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operates its business primarily in the U.S. in one reportable segment — the research, product development, manufacture and distribution of patient-specific, expanded cellular therapies for use in the treatment of specific diseases.</w:t>
      </w:r>
    </w:p>
    <w:p>
      <w:pPr>
        <w:spacing w:after="0" w:line="17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222222"/>
        </w:rPr>
        <w:t xml:space="preserve">The accompanying consolidated financial statements have been prepared on a basis which assumes that the Company will continue as a going concern and contemplates the realization of assets and satisfaction of liabilities and commitments in the normal course of business. As of June 30, 2017, the Company has an accumulated deficit of $355.8 million and had a net loss of $2.4 million during the quarter ended June 30, 2017. The Company had cash of $14.0 million as of June 30, 2017. The Company expects that existing cash together with its </w:t>
      </w:r>
      <w:r>
        <w:rPr>
          <w:rFonts w:ascii="Arial" w:cs="Arial" w:eastAsia="Arial" w:hAnsi="Arial"/>
          <w:sz w:val="17"/>
          <w:szCs w:val="17"/>
          <w:color w:val="000000"/>
        </w:rPr>
        <w:t>term loan and revolving line of credit agreement with Silicon Valley Bank</w:t>
      </w:r>
      <w:r>
        <w:rPr>
          <w:rFonts w:ascii="Arial" w:cs="Arial" w:eastAsia="Arial" w:hAnsi="Arial"/>
          <w:sz w:val="17"/>
          <w:szCs w:val="17"/>
          <w:color w:val="222222"/>
        </w:rPr>
        <w:t xml:space="preserve"> </w:t>
      </w:r>
      <w:r>
        <w:rPr>
          <w:rFonts w:ascii="Arial" w:cs="Arial" w:eastAsia="Arial" w:hAnsi="Arial"/>
          <w:sz w:val="17"/>
          <w:szCs w:val="17"/>
          <w:color w:val="000000"/>
        </w:rPr>
        <w:t xml:space="preserve">(SVB) and MidCap Financial Services (MidCap) (the </w:t>
      </w:r>
      <w:r>
        <w:rPr>
          <w:rFonts w:ascii="Arial" w:cs="Arial" w:eastAsia="Arial" w:hAnsi="Arial"/>
          <w:sz w:val="17"/>
          <w:szCs w:val="17"/>
          <w:color w:val="222222"/>
        </w:rPr>
        <w:t>SVB-MidCap facility), will be sufficient to support the Company's</w:t>
      </w:r>
      <w:r>
        <w:rPr>
          <w:rFonts w:ascii="Arial" w:cs="Arial" w:eastAsia="Arial" w:hAnsi="Arial"/>
          <w:sz w:val="17"/>
          <w:szCs w:val="17"/>
          <w:color w:val="000000"/>
        </w:rPr>
        <w:t xml:space="preserve"> current operations through at least August 2018</w:t>
      </w:r>
      <w:r>
        <w:rPr>
          <w:rFonts w:ascii="Arial" w:cs="Arial" w:eastAsia="Arial" w:hAnsi="Arial"/>
          <w:sz w:val="17"/>
          <w:szCs w:val="17"/>
          <w:color w:val="222222"/>
        </w:rPr>
        <w:t>. In connection with the SVB-MidCap facility,</w:t>
      </w:r>
      <w:r>
        <w:rPr>
          <w:rFonts w:ascii="Arial" w:cs="Arial" w:eastAsia="Arial" w:hAnsi="Arial"/>
          <w:sz w:val="17"/>
          <w:szCs w:val="17"/>
          <w:color w:val="000000"/>
        </w:rPr>
        <w:t xml:space="preserve"> the Company must remain in compliance with minimum monthly net revenue covenants (determined in accordance with GAAP), measured on a trailing twelve month basis. </w:t>
      </w:r>
      <w:r>
        <w:rPr>
          <w:rFonts w:ascii="Arial" w:cs="Arial" w:eastAsia="Arial" w:hAnsi="Arial"/>
          <w:sz w:val="17"/>
          <w:szCs w:val="17"/>
          <w:color w:val="222222"/>
        </w:rPr>
        <w:t>SVB and MidCap also have the ability to call debt based on material</w:t>
      </w:r>
      <w:r>
        <w:rPr>
          <w:rFonts w:ascii="Arial" w:cs="Arial" w:eastAsia="Arial" w:hAnsi="Arial"/>
          <w:sz w:val="17"/>
          <w:szCs w:val="17"/>
          <w:color w:val="000000"/>
        </w:rPr>
        <w:t xml:space="preserve"> </w:t>
      </w:r>
      <w:r>
        <w:rPr>
          <w:rFonts w:ascii="Arial" w:cs="Arial" w:eastAsia="Arial" w:hAnsi="Arial"/>
          <w:sz w:val="17"/>
          <w:szCs w:val="17"/>
          <w:color w:val="222222"/>
        </w:rPr>
        <w:t xml:space="preserve">adverse change clauses which are subjectively determinable and result in a </w:t>
      </w:r>
      <w:r>
        <w:rPr>
          <w:rFonts w:ascii="Arial" w:cs="Arial" w:eastAsia="Arial" w:hAnsi="Arial"/>
          <w:sz w:val="17"/>
          <w:szCs w:val="17"/>
          <w:color w:val="000000"/>
        </w:rPr>
        <w:t>subjective acceleration clause.</w:t>
      </w:r>
      <w:r>
        <w:rPr>
          <w:rFonts w:ascii="Arial" w:cs="Arial" w:eastAsia="Arial" w:hAnsi="Arial"/>
          <w:sz w:val="17"/>
          <w:szCs w:val="17"/>
          <w:color w:val="222222"/>
        </w:rPr>
        <w:t xml:space="preserve"> If the Company's cash requirements exceed its current expectations, or if it is not in compliance with the monthly net revenue covenants or the subjective acceleration clauses are triggered under the SVB-MidCap facility, then SVB may call the debt resulting in the Company immediately needing additional funds. As of June 30, 2017, the Company was in compliance with the minimum revenue covenant set forth in the Second Loan Modification Agreement between the Company, SVB and MidCap. The Company may seek additional funding through debt or equity financings including the at-the-market sales agreement in place with Cowen. However, the Company may not be able to obtain financing on acceptable terms or at all. The terms of any financing may adversely affect the holdings or the rights of the Company's shareholders. If the Company needs additional funds and is unable to obtain funding on a timely basis, the Company may need to significantly curtail its operations including its research and development programs in an effort to provide sufficient funds to continue its operations, which could adversely affect its business prospects.</w:t>
      </w:r>
    </w:p>
    <w:p>
      <w:pPr>
        <w:spacing w:after="0" w:line="17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condensed consolidated financial statements included herein have been prepared in accordance with the rules and regulations of the U.S. Securities and Exchange Commission (SEC). The preparation of condensed consolidated financial statements in conformity with generally accepted accounting principles in the United States of America (U.S. GAAP) requires management to make estimates, judgments, and assumptions that may affect the reported amounts of assets, liabilities, equity, revenues and expenses. Certain information and footnote disclosures normally included in financial statements prepared in accordance with U.S. GAAP have been omitted pursuant to such rules and regulations. The financial statements reflect, in the opinion of management, all adjustments (consisting only of normal, recurring adjustments) necessary to state fairly the financial position and results of operations as of and for the periods indicated. The results of operations for the three and six months ended June 30, 2017, are not necessarily indicative of the results to be expected for the full year or for any other period. The June 30, 2017 condensed consolidated balance sheet data was derived from the Company’s audited consolidated financial statements, but does not include all disclosures required by U.S. GAAP.</w:t>
      </w:r>
    </w:p>
    <w:p>
      <w:pPr>
        <w:spacing w:after="0" w:line="182"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and the notes thereto included in our Annual Report on Form 10-K for the year ended December 31, 2016, as filed with the SEC on March 13, 2017 (Annual Report).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ind w:left="240" w:right="8300" w:hanging="232"/>
        <w:spacing w:after="0" w:line="604" w:lineRule="auto"/>
        <w:tabs>
          <w:tab w:leader="none" w:pos="335"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Recent Accounting Pronouncements Revenue Recognition</w:t>
      </w:r>
    </w:p>
    <w:p>
      <w:pPr>
        <w:jc w:val="both"/>
        <w:ind w:firstLine="230"/>
        <w:spacing w:after="0" w:line="255" w:lineRule="auto"/>
        <w:rPr>
          <w:sz w:val="20"/>
          <w:szCs w:val="20"/>
          <w:color w:val="auto"/>
        </w:rPr>
      </w:pPr>
      <w:r>
        <w:rPr>
          <w:rFonts w:ascii="Arial" w:cs="Arial" w:eastAsia="Arial" w:hAnsi="Arial"/>
          <w:sz w:val="18"/>
          <w:szCs w:val="18"/>
          <w:color w:val="auto"/>
        </w:rPr>
        <w:t>In May 2014, the Financial Accounting Standards Board (FASB) issued authoritative guidance requiring entities to apply a new model for recognizing revenue from contracts with customers and the reporting of principal versus agent considerations. The guidance will supersede the current revenue recognition guidance and require entities to evaluate their revenue recognition arrangements using a five step model to determine when a customer obtains control of a transferred good or service. The guidance is currently effective for annual reporting periods beginning after December 15, 2017 and may be adopted using a full or modified retrospective application. The Company is currently in the process of evaluating its revenue arrangements under the issued guidance and the impact to its consolidated financial statements.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Accounting for Leases</w:t>
      </w:r>
    </w:p>
    <w:p>
      <w:pPr>
        <w:spacing w:after="0" w:line="2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FASB issued guidance to increase transparency and comparability among organizations by recognizing lease assets and lease liabilities on the balance sheet and disclosing key information about leasing arrangements. In accordance with the updated guidance, lessees are required to recognize the assets and liabilities arising from operating leases on the balance sheet. The guidance is effective for annual reporting periods beginning after December 15, 2018, including interim periods within 2018. The Company is currently reviewing the potential impact of adopting the new guidance.</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Share-based Payment Accounting</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FASB issued guidance to simplify the accounting for share-based payment transactions, including the income tax consequences, classification of awards as either equity or liabilities, and classification on the statement of cash flows. The new standard became effective and was implemented for the Company beginning January 1, 2017. Consistent with prior periods, the Company will continue to estimate forfeitures and therefore, the guidance did not have an impact on the Company's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Recognition and Net Product Sales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Total revenues are comprised of product sales of Carticel, Epicel, MACI and surgical kits. Revenue is recognized when persuasive evidence of an arrangement exists, the goods are shipped or delivered, depending on shipping terms, title and risk of loss pass to the customer and collectability is reasonably assured. Shipping and handling costs are included as a component of revenue.</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recognizes product revenues from sales of Epicel, Carticel and MACI upon delivery to patients as long as (i) there is persuasive evidence that an arrangement exists between ourselves and the customer, (ii) collectability is reasonably assured and (iii) the price is fixed or determinable. For Carticel and MACI, prior authorization or confirmation of coverage level by the patient’s private insurance plan, hospital or government payer is a prerequisite to the shipment of product to a patient. The Company's net product revenues are calculated by estimating expected payments for insurance, hospital or patient payments at the time it recognizes the gross revenue. The estimates are updated prospectively as new information becomes available.</w:t>
      </w:r>
    </w:p>
    <w:p>
      <w:pPr>
        <w:spacing w:after="0" w:line="15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 sells Epicel directly to hospitals and retains the credit and collection risk from the end customer. From July 1, 2016 through June 30, 2017, the Company utilized a direct sales model for Carticel and MACI whereby the Company retained the credit and collection risk from the end customer. During that period, the Company utilized Dohmen Life Science Services, LLC (DLSS) to provide patient support services and reimbursement services, but this provider did not purchase and take title to Carticel or MACI. On May 15, 2017, both parties mutually terminated the agreement effective June 30, 2017.</w:t>
      </w:r>
    </w:p>
    <w:p>
      <w:pPr>
        <w:spacing w:after="0" w:line="15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The Company utilizes Vital Care, Inc. (Vital Care) to provide data reporting services and to purchase, bill and collect from certain payers for Carticel and MACI. </w:t>
      </w:r>
      <w:r>
        <w:rPr>
          <w:rFonts w:ascii="Arial" w:cs="Arial" w:eastAsia="Arial" w:hAnsi="Arial"/>
          <w:sz w:val="17"/>
          <w:szCs w:val="17"/>
          <w:color w:val="222222"/>
        </w:rPr>
        <w:t>I</w:t>
      </w:r>
      <w:r>
        <w:rPr>
          <w:rFonts w:ascii="Arial" w:cs="Arial" w:eastAsia="Arial" w:hAnsi="Arial"/>
          <w:sz w:val="17"/>
          <w:szCs w:val="17"/>
          <w:color w:val="auto"/>
        </w:rPr>
        <w:t>n April 2017, the Company was notified of a contractual dispute between Vital Care and a third-party payer and as a result, during the three months ended March 31, 2017, the Company increased its estimated revenue allowances, reducing revenue by $2.1 million related to 2016 sales and $0.7 million related to 2017 sales to reflect the lower reimbursement that would be obtained if the claims are ultimately required to be treated as out-of-network. Subsequently, the dispute was resolved and the negotiated reimbursement resulted in the Company's ability to reduce its estimated sales allowances by $1.4 million, which resulted in additional revenue in the second quarter related to sales which originated primarily in 2016. As a result of the continuing evaluation and assessment of these expected payments, our estimates for expected payments could change.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jc w:val="both"/>
        <w:ind w:firstLine="243"/>
        <w:spacing w:after="0" w:line="257" w:lineRule="auto"/>
        <w:rPr>
          <w:sz w:val="20"/>
          <w:szCs w:val="20"/>
          <w:color w:val="auto"/>
        </w:rPr>
      </w:pPr>
      <w:r>
        <w:rPr>
          <w:rFonts w:ascii="Arial" w:cs="Arial" w:eastAsia="Arial" w:hAnsi="Arial"/>
          <w:sz w:val="18"/>
          <w:szCs w:val="18"/>
          <w:color w:val="auto"/>
        </w:rPr>
        <w:t>On May 15, 2017, the Company entered into a distribution agreement with Orsini Pharmaceutical Services, Inc. (Orsini) to appoint Orsini as a specialty pharmacy distributor of Carticel and MACI to patients' physicians and other healthcare providers. Orsini will work with the Company's third party service provider for the management of patient cases related to Carticel and MACI. The initial term of the distribution agreement will end on May 15, 2019 with the option of two additional two-year terms. Orsini takes title to Carticel and MACI upon shipment of the product and assumes credit and collection risk. The Company ships the product to the surgical suite.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Revenue from one customer, the Carticel and MACI distributor in the U.S., represented approximately 14% of total revenue during the three months ended June 30, 2017. Accounts receivable from the same customer accounted for 17% of the outstanding accounts receivable as of June 30, 2017. For the three and six months ended June 30, 2016, the Company's largest customer represented 69% and 65% of total revenue, respectively. The next largest customer represented approximately 11% and 14% of revenue for the three and six ended June 30, 2017, respectively, and 13% and 15% of total revenue during the three and six months ended June 30, 2016, respectively. No other customer accounted for more than 10% of revenue or accounts receivable in 2017 or as of December 31, 2016.</w:t>
      </w:r>
    </w:p>
    <w:p>
      <w:pPr>
        <w:spacing w:after="0" w:line="18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Selected Balance Sheet Components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Inventory as of June 30, 2017 and December 31,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260"/>
              <w:spacing w:after="0"/>
              <w:rPr>
                <w:sz w:val="20"/>
                <w:szCs w:val="20"/>
                <w:color w:val="auto"/>
              </w:rPr>
            </w:pPr>
            <w:r>
              <w:rPr>
                <w:rFonts w:ascii="Arial" w:cs="Arial" w:eastAsia="Arial" w:hAnsi="Arial"/>
                <w:sz w:val="18"/>
                <w:szCs w:val="18"/>
                <w:color w:val="auto"/>
              </w:rPr>
              <w:t>Property and equipment, net as of June 30, 2017 and December 31, 2016:</w:t>
            </w: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Pr>
          <w:p>
            <w:pPr>
              <w:spacing w:after="0"/>
              <w:rPr>
                <w:sz w:val="24"/>
                <w:szCs w:val="24"/>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3,332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3,332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process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property and equipment, gross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11,370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10,968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(7,093)</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3,493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Depreciation expense for the three and six months ended June 30, 2017 and 2016 was $0.4 million and $0.8 million, respectively.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Accrued expenses as of June 30, 2017 and December 31,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 related compensation</w:t>
            </w:r>
          </w:p>
        </w:tc>
        <w:tc>
          <w:tcPr>
            <w:tcW w:w="4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Employee related accruals</w:t>
            </w:r>
          </w:p>
        </w:tc>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Clinical trial related accruals</w:t>
            </w:r>
          </w:p>
        </w:tc>
        <w:tc>
          <w:tcPr>
            <w:tcW w:w="4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Other</w:t>
            </w:r>
          </w:p>
        </w:tc>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80" w:type="dxa"/>
            <w:vAlign w:val="bottom"/>
            <w:tcBorders>
              <w:bottom w:val="single" w:sz="8" w:color="CCEEFF"/>
            </w:tcBorders>
            <w:shd w:val="clear" w:color="auto" w:fill="CCEEFF"/>
          </w:tcPr>
          <w:p>
            <w:pPr>
              <w:spacing w:after="0"/>
              <w:rPr>
                <w:sz w:val="22"/>
                <w:szCs w:val="22"/>
                <w:color w:val="auto"/>
              </w:rPr>
            </w:pPr>
          </w:p>
        </w:tc>
        <w:tc>
          <w:tcPr>
            <w:tcW w:w="4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4,523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jc w:val="right"/>
              <w:ind w:right="2270"/>
              <w:spacing w:after="0"/>
              <w:rPr>
                <w:sz w:val="20"/>
                <w:szCs w:val="20"/>
                <w:color w:val="auto"/>
              </w:rPr>
            </w:pPr>
            <w:r>
              <w:rPr>
                <w:rFonts w:ascii="Arial" w:cs="Arial" w:eastAsia="Arial" w:hAnsi="Arial"/>
                <w:sz w:val="18"/>
                <w:szCs w:val="18"/>
                <w:color w:val="auto"/>
              </w:rPr>
              <w:t>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88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8" w:name="page9"/>
    <w:bookmarkEnd w:id="8"/>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 Purchase Warrants</w:t>
      </w:r>
    </w:p>
    <w:p>
      <w:pPr>
        <w:spacing w:after="0" w:line="229" w:lineRule="exact"/>
        <w:rPr>
          <w:sz w:val="20"/>
          <w:szCs w:val="20"/>
          <w:color w:val="auto"/>
        </w:rPr>
      </w:pPr>
    </w:p>
    <w:p>
      <w:pPr>
        <w:ind w:firstLine="243"/>
        <w:spacing w:after="0" w:line="291" w:lineRule="auto"/>
        <w:rPr>
          <w:sz w:val="20"/>
          <w:szCs w:val="20"/>
          <w:color w:val="auto"/>
        </w:rPr>
      </w:pPr>
      <w:r>
        <w:rPr>
          <w:rFonts w:ascii="Arial" w:cs="Arial" w:eastAsia="Arial" w:hAnsi="Arial"/>
          <w:sz w:val="16"/>
          <w:szCs w:val="16"/>
          <w:color w:val="auto"/>
        </w:rPr>
        <w:t>The Company has historically issued warrants to purchase shares of the Company’s common stock in connection with certain of its common stock offerings and in September 2016 the Company issued warrants in connection with the updated debt agreement (September 2016 Warrants) discussed in note</w:t>
      </w:r>
    </w:p>
    <w:p>
      <w:pPr>
        <w:jc w:val="both"/>
        <w:ind w:right="20" w:firstLine="8"/>
        <w:spacing w:after="0" w:line="273" w:lineRule="auto"/>
        <w:tabs>
          <w:tab w:leader="none" w:pos="261"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warrants issued in August 2013 (August 2013 Warrants) include anti-dilution price protection provisions that could require cash settlement of the warrants and accordingly requiring the warrants to be recorded as liabilities of the Company at the estimated fair value at the date of issuance, with changes in estimated fair value recorded as income or expense (non-cash) in the Company’s statement of operations in each subsequent period. The September 2016 Warrants meet the requirements for equity classification. The following table describes the outstanding warrants:</w:t>
      </w:r>
    </w:p>
    <w:p>
      <w:pPr>
        <w:spacing w:after="0" w:line="102"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1"/>
              </w:rPr>
              <w:t>August 2013</w:t>
            </w:r>
          </w:p>
        </w:tc>
        <w:tc>
          <w:tcPr>
            <w:tcW w:w="2200" w:type="dxa"/>
            <w:vAlign w:val="bottom"/>
            <w:vMerge w:val="restart"/>
          </w:tcPr>
          <w:p>
            <w:pPr>
              <w:jc w:val="center"/>
              <w:ind w:left="74"/>
              <w:spacing w:after="0"/>
              <w:rPr>
                <w:sz w:val="20"/>
                <w:szCs w:val="20"/>
                <w:color w:val="auto"/>
              </w:rPr>
            </w:pPr>
            <w:r>
              <w:rPr>
                <w:rFonts w:ascii="Arial" w:cs="Arial" w:eastAsia="Arial" w:hAnsi="Arial"/>
                <w:sz w:val="14"/>
                <w:szCs w:val="14"/>
                <w:b w:val="1"/>
                <w:bCs w:val="1"/>
                <w:color w:val="auto"/>
                <w:w w:val="93"/>
              </w:rPr>
              <w:t>September 2016 Warrants</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2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price</w:t>
            </w:r>
          </w:p>
        </w:tc>
        <w:tc>
          <w:tcPr>
            <w:tcW w:w="200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color w:val="auto"/>
              </w:rPr>
              <w:t>$4.80</w:t>
            </w:r>
          </w:p>
        </w:tc>
        <w:tc>
          <w:tcPr>
            <w:tcW w:w="220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Expiration date</w:t>
            </w: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August 16, 2018</w:t>
            </w:r>
          </w:p>
        </w:tc>
        <w:tc>
          <w:tcPr>
            <w:tcW w:w="2200" w:type="dxa"/>
            <w:vAlign w:val="bottom"/>
          </w:tcPr>
          <w:p>
            <w:pPr>
              <w:jc w:val="center"/>
              <w:ind w:left="74"/>
              <w:spacing w:after="0"/>
              <w:rPr>
                <w:sz w:val="20"/>
                <w:szCs w:val="20"/>
                <w:color w:val="auto"/>
              </w:rPr>
            </w:pPr>
            <w:r>
              <w:rPr>
                <w:rFonts w:ascii="Arial" w:cs="Arial" w:eastAsia="Arial" w:hAnsi="Arial"/>
                <w:sz w:val="18"/>
                <w:szCs w:val="18"/>
                <w:color w:val="auto"/>
                <w:w w:val="88"/>
              </w:rPr>
              <w:t>September 9, 2022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shares issuable on exercise</w:t>
            </w:r>
          </w:p>
        </w:tc>
        <w:tc>
          <w:tcPr>
            <w:tcW w:w="200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724,950</w:t>
            </w:r>
          </w:p>
        </w:tc>
        <w:tc>
          <w:tcPr>
            <w:tcW w:w="220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117,074</w:t>
            </w:r>
          </w:p>
        </w:tc>
        <w:tc>
          <w:tcPr>
            <w:tcW w:w="0" w:type="dxa"/>
            <w:vAlign w:val="bottom"/>
          </w:tcPr>
          <w:p>
            <w:pPr>
              <w:spacing w:after="0"/>
              <w:rPr>
                <w:sz w:val="1"/>
                <w:szCs w:val="1"/>
                <w:color w:val="auto"/>
              </w:rPr>
            </w:pPr>
          </w:p>
        </w:tc>
      </w:tr>
      <w:tr>
        <w:trPr>
          <w:trHeight w:val="27"/>
        </w:trPr>
        <w:tc>
          <w:tcPr>
            <w:tcW w:w="37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On September 9, 2016, the Company issued 117,074 warrants to two holders in conjunction with the loan agreement described in note 7. The initial valuation of the September 2016 Warrants was recorded as debt issuance costs and is being amortized over the remaining life of the loan agreement to interest expense. The September 2016 Warrants are treated as equity instruments recorded at fair value with no subsequent remeasurement. Pursuant to the warrants, the holders may exercise their warrants for an aggregate of 117,074 shares of the Company’s common stock.</w:t>
      </w:r>
    </w:p>
    <w:p>
      <w:pPr>
        <w:spacing w:after="0" w:line="17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fair value of the warrants described in the table above is measured using the Black-Scholes valuation model. Inherent in the Black-Scholes valuation model are assumptions related to expected stock-price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 See further detail in note 9 of the condensed consolidated financial statements.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assumptions used by the Company are summarized in the following tables: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August 2013 Warrants</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June 30, 2017</w:t>
            </w:r>
          </w:p>
        </w:tc>
        <w:tc>
          <w:tcPr>
            <w:tcW w:w="120" w:type="dxa"/>
            <w:vAlign w:val="bottom"/>
            <w:tcBorders>
              <w:bottom w:val="single" w:sz="8" w:color="CCEEFF"/>
            </w:tcBorders>
            <w:gridSpan w:val="2"/>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8"/>
              </w:rPr>
              <w:t>December 31, 2016</w:t>
            </w: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Closing stock price</w:t>
            </w:r>
          </w:p>
        </w:tc>
        <w:tc>
          <w:tcPr>
            <w:tcW w:w="4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3.00</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Expected dividend rate</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gridSpan w:val="3"/>
          </w:tcPr>
          <w:p>
            <w:pPr>
              <w:ind w:left="1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7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life (years)</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1.62</w:t>
            </w:r>
          </w:p>
        </w:tc>
      </w:tr>
      <w:tr>
        <w:trPr>
          <w:trHeight w:val="615"/>
        </w:trPr>
        <w:tc>
          <w:tcPr>
            <w:tcW w:w="7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September 2016 Warrants</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September 9, 2016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Closing stock price</w:t>
            </w:r>
          </w:p>
        </w:tc>
        <w:tc>
          <w:tcPr>
            <w:tcW w:w="4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Expected dividend rate</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gridSpan w:val="3"/>
          </w:tcPr>
          <w:p>
            <w:pPr>
              <w:ind w:left="1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89.8%</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7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life (years)</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3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bl>
    <w:p>
      <w:pPr>
        <w:spacing w:after="0" w:line="19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 xml:space="preserve">On March 8, 2016, the Company entered into a $15.0 million debt financing with SVB which on September 9, 2016, was replaced by an expanded term loan and revolving line of credit agreement with SVB and MidCap, which together initially provided access to up to $20 million. The updated debt financing consists of a $4.0 million term loan which was drawn at the closing, a $4.0 million term loan which was drawn upon in November 2016, a $2.0 million term loan which is no longer available as it was not drawn upon by April 12, 2017 and up to $10.0 million of a revolving line of credit. The term loans are interest only (indexed to Wall Street Journal (WSJ) Prime plus 5.00%) until September 1, 2017 followed by 36 equal monthly payments of principal plus interest maturing September 9, 2020. The revolving line of credit is limited to a borrowing base calculated using eligible accounts receivable and maturing September 9, 2020 with an interest rate indexed to WSJ Prime plus 1.25%. </w:t>
      </w:r>
      <w:r>
        <w:rPr>
          <w:rFonts w:ascii="Arial" w:cs="Arial" w:eastAsia="Arial" w:hAnsi="Arial"/>
          <w:sz w:val="17"/>
          <w:szCs w:val="17"/>
          <w:color w:val="222222"/>
        </w:rPr>
        <w:t>The Company is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9" w:name="page10"/>
    <w:bookmarkEnd w:id="9"/>
    <w:p>
      <w:pPr>
        <w:jc w:val="both"/>
        <w:spacing w:after="0" w:line="269" w:lineRule="auto"/>
        <w:rPr>
          <w:sz w:val="20"/>
          <w:szCs w:val="20"/>
          <w:color w:val="auto"/>
        </w:rPr>
      </w:pPr>
      <w:r>
        <w:rPr>
          <w:rFonts w:ascii="Arial" w:cs="Arial" w:eastAsia="Arial" w:hAnsi="Arial"/>
          <w:sz w:val="17"/>
          <w:szCs w:val="17"/>
          <w:color w:val="222222"/>
        </w:rPr>
        <w:t xml:space="preserve">subject to various financial and nonfinancial covenants including but not limited to monthly minimum net revenue covenants </w:t>
      </w:r>
      <w:r>
        <w:rPr>
          <w:rFonts w:ascii="Arial" w:cs="Arial" w:eastAsia="Arial" w:hAnsi="Arial"/>
          <w:sz w:val="17"/>
          <w:szCs w:val="17"/>
          <w:color w:val="000000"/>
        </w:rPr>
        <w:t>(determined in accordance with</w:t>
      </w:r>
      <w:r>
        <w:rPr>
          <w:rFonts w:ascii="Arial" w:cs="Arial" w:eastAsia="Arial" w:hAnsi="Arial"/>
          <w:sz w:val="17"/>
          <w:szCs w:val="17"/>
          <w:color w:val="222222"/>
        </w:rPr>
        <w:t xml:space="preserve"> </w:t>
      </w:r>
      <w:r>
        <w:rPr>
          <w:rFonts w:ascii="Arial" w:cs="Arial" w:eastAsia="Arial" w:hAnsi="Arial"/>
          <w:sz w:val="17"/>
          <w:szCs w:val="17"/>
          <w:color w:val="000000"/>
        </w:rPr>
        <w:t>GAAP), measured on a trailing twelve month basis</w:t>
      </w:r>
      <w:r>
        <w:rPr>
          <w:rFonts w:ascii="Arial" w:cs="Arial" w:eastAsia="Arial" w:hAnsi="Arial"/>
          <w:sz w:val="17"/>
          <w:szCs w:val="17"/>
          <w:color w:val="222222"/>
        </w:rPr>
        <w:t>. SVB and MidCap have the ability to call debt based on material adverse change clauses which are</w:t>
      </w:r>
      <w:r>
        <w:rPr>
          <w:rFonts w:ascii="Arial" w:cs="Arial" w:eastAsia="Arial" w:hAnsi="Arial"/>
          <w:sz w:val="17"/>
          <w:szCs w:val="17"/>
          <w:color w:val="000000"/>
        </w:rPr>
        <w:t xml:space="preserve"> </w:t>
      </w:r>
      <w:r>
        <w:rPr>
          <w:rFonts w:ascii="Arial" w:cs="Arial" w:eastAsia="Arial" w:hAnsi="Arial"/>
          <w:sz w:val="17"/>
          <w:szCs w:val="17"/>
          <w:color w:val="222222"/>
        </w:rPr>
        <w:t xml:space="preserve">subjectively determinable and result in a </w:t>
      </w:r>
      <w:r>
        <w:rPr>
          <w:rFonts w:ascii="Arial" w:cs="Arial" w:eastAsia="Arial" w:hAnsi="Arial"/>
          <w:sz w:val="17"/>
          <w:szCs w:val="17"/>
          <w:color w:val="000000"/>
        </w:rPr>
        <w:t>subjective acceleration clause. SVB and MidCap have a shared first priority perfected security interest in all assets of</w:t>
      </w:r>
      <w:r>
        <w:rPr>
          <w:rFonts w:ascii="Arial" w:cs="Arial" w:eastAsia="Arial" w:hAnsi="Arial"/>
          <w:sz w:val="17"/>
          <w:szCs w:val="17"/>
          <w:color w:val="222222"/>
        </w:rPr>
        <w:t xml:space="preserve"> </w:t>
      </w:r>
      <w:r>
        <w:rPr>
          <w:rFonts w:ascii="Arial" w:cs="Arial" w:eastAsia="Arial" w:hAnsi="Arial"/>
          <w:sz w:val="17"/>
          <w:szCs w:val="17"/>
          <w:color w:val="000000"/>
        </w:rPr>
        <w:t xml:space="preserve">the Company other than intellectual property. As of June 30, 2017, there was an outstanding balance of $8.0 million under the term loan and $2.5 million under the revolving line of credit. The weighted average interest rate on the outstanding term and revolving credit loans as of June 30, 2017 was 7.9%. </w:t>
      </w:r>
      <w:r>
        <w:rPr>
          <w:rFonts w:ascii="Arial" w:cs="Arial" w:eastAsia="Arial" w:hAnsi="Arial"/>
          <w:sz w:val="17"/>
          <w:szCs w:val="17"/>
          <w:color w:val="222222"/>
        </w:rPr>
        <w:t>On</w:t>
      </w:r>
      <w:r>
        <w:rPr>
          <w:rFonts w:ascii="Arial" w:cs="Arial" w:eastAsia="Arial" w:hAnsi="Arial"/>
          <w:sz w:val="17"/>
          <w:szCs w:val="17"/>
          <w:color w:val="000000"/>
        </w:rPr>
        <w:t xml:space="preserve"> </w:t>
      </w:r>
      <w:r>
        <w:rPr>
          <w:rFonts w:ascii="Arial" w:cs="Arial" w:eastAsia="Arial" w:hAnsi="Arial"/>
          <w:sz w:val="17"/>
          <w:szCs w:val="17"/>
          <w:color w:val="222222"/>
        </w:rPr>
        <w:t xml:space="preserve">December 30, 2016, the Company entered into an amendment to the SVB-MidCap facility to amend certain financial covenants and to modify the final payment of the term loan advance. The Company further amended the SVB-MidCap facility on May 9, 2017 to update the monthly net revenue requirement covenants, </w:t>
      </w:r>
      <w:r>
        <w:rPr>
          <w:rFonts w:ascii="Arial" w:cs="Arial" w:eastAsia="Arial" w:hAnsi="Arial"/>
          <w:sz w:val="17"/>
          <w:szCs w:val="17"/>
          <w:color w:val="000000"/>
        </w:rPr>
        <w:t>measured on a trailing twelve month basis</w:t>
      </w:r>
      <w:r>
        <w:rPr>
          <w:rFonts w:ascii="Arial" w:cs="Arial" w:eastAsia="Arial" w:hAnsi="Arial"/>
          <w:sz w:val="17"/>
          <w:szCs w:val="17"/>
          <w:color w:val="222222"/>
        </w:rPr>
        <w:t xml:space="preserve">. The amendment </w:t>
      </w:r>
      <w:r>
        <w:rPr>
          <w:rFonts w:ascii="Arial" w:cs="Arial" w:eastAsia="Arial" w:hAnsi="Arial"/>
          <w:sz w:val="17"/>
          <w:szCs w:val="17"/>
          <w:color w:val="000000"/>
        </w:rPr>
        <w:t>decreased the monthly 12 month trailing minimum revenue covenant</w:t>
      </w:r>
      <w:r>
        <w:rPr>
          <w:rFonts w:ascii="Arial" w:cs="Arial" w:eastAsia="Arial" w:hAnsi="Arial"/>
          <w:sz w:val="17"/>
          <w:szCs w:val="17"/>
          <w:color w:val="222222"/>
        </w:rPr>
        <w:t xml:space="preserve"> and revised the </w:t>
      </w:r>
      <w:r>
        <w:rPr>
          <w:rFonts w:ascii="Arial" w:cs="Arial" w:eastAsia="Arial" w:hAnsi="Arial"/>
          <w:sz w:val="17"/>
          <w:szCs w:val="17"/>
          <w:color w:val="000000"/>
        </w:rPr>
        <w:t xml:space="preserve">December 31, 2017 minimum revenue covenant to $51.7 million. </w:t>
      </w:r>
      <w:r>
        <w:rPr>
          <w:rFonts w:ascii="Arial" w:cs="Arial" w:eastAsia="Arial" w:hAnsi="Arial"/>
          <w:sz w:val="17"/>
          <w:szCs w:val="17"/>
          <w:color w:val="222222"/>
        </w:rPr>
        <w:t>As of</w:t>
      </w:r>
      <w:r>
        <w:rPr>
          <w:rFonts w:ascii="Arial" w:cs="Arial" w:eastAsia="Arial" w:hAnsi="Arial"/>
          <w:sz w:val="17"/>
          <w:szCs w:val="17"/>
          <w:color w:val="000000"/>
        </w:rPr>
        <w:t xml:space="preserve"> June 30, 2017</w:t>
      </w:r>
      <w:r>
        <w:rPr>
          <w:rFonts w:ascii="Arial" w:cs="Arial" w:eastAsia="Arial" w:hAnsi="Arial"/>
          <w:sz w:val="17"/>
          <w:szCs w:val="17"/>
          <w:color w:val="222222"/>
        </w:rPr>
        <w:t>, the Company was in compliance with the minimum revenue covenant.</w:t>
      </w:r>
      <w:r>
        <w:rPr>
          <w:rFonts w:ascii="Arial" w:cs="Arial" w:eastAsia="Arial" w:hAnsi="Arial"/>
          <w:sz w:val="17"/>
          <w:szCs w:val="17"/>
          <w:color w:val="000000"/>
        </w:rPr>
        <w:t xml:space="preserve"> </w:t>
      </w:r>
      <w:r>
        <w:rPr>
          <w:rFonts w:ascii="Arial" w:cs="Arial" w:eastAsia="Arial" w:hAnsi="Arial"/>
          <w:sz w:val="17"/>
          <w:szCs w:val="17"/>
          <w:color w:val="222222"/>
        </w:rPr>
        <w:t xml:space="preserve">The amount of eligible account receivables used to calculate the availability under the revolving line of credit was also reduced under the amendment. As of </w:t>
      </w:r>
      <w:r>
        <w:rPr>
          <w:rFonts w:ascii="Arial" w:cs="Arial" w:eastAsia="Arial" w:hAnsi="Arial"/>
          <w:sz w:val="17"/>
          <w:szCs w:val="17"/>
          <w:color w:val="000000"/>
        </w:rPr>
        <w:t>June 30, 2017</w:t>
      </w:r>
      <w:r>
        <w:rPr>
          <w:rFonts w:ascii="Arial" w:cs="Arial" w:eastAsia="Arial" w:hAnsi="Arial"/>
          <w:sz w:val="17"/>
          <w:szCs w:val="17"/>
          <w:color w:val="222222"/>
        </w:rPr>
        <w:t>, there was</w:t>
      </w:r>
      <w:r>
        <w:rPr>
          <w:rFonts w:ascii="Arial" w:cs="Arial" w:eastAsia="Arial" w:hAnsi="Arial"/>
          <w:sz w:val="17"/>
          <w:szCs w:val="17"/>
          <w:color w:val="000000"/>
        </w:rPr>
        <w:t xml:space="preserve"> $2.2 million remaining capacity under the revolving line of credit.</w:t>
      </w:r>
    </w:p>
    <w:p>
      <w:pPr>
        <w:spacing w:after="0" w:line="17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and Equity Incentive Plans</w:t>
      </w:r>
    </w:p>
    <w:p>
      <w:pPr>
        <w:spacing w:after="0" w:line="225"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The Company can issue nonqualified and incentive stock options as well as other equity awards pursuant to its Second Amended and Restated 2009 Omnibus Incentive Plan (Option Plan). Such awards pursuant to the Option Plan may be granted by the Company’s Board of Directors to certain of the Company’s employees, directors and consultants.</w:t>
      </w:r>
    </w:p>
    <w:p>
      <w:pPr>
        <w:spacing w:after="0" w:line="18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During the three and six months ended June 30, 2017, the Company granted 658,170 and 1,550,560, respectively, service-based options to purchase common stock. The options were granted with exercise prices equal to the fair market value of the Company’s stock at the grant date, and other than those granted to non-employee directors, vest over four years, under a graded-vesting methodology, following the date of grant, and expire after ten years. The Company issues new shares upon the exercise of stock options. The weighted average grant-date fair value of service-based options granted under the Option Plan during the three and six month periods ended June 30, 2017 was $1.86 and $1.94, respectively and, $2.06 and $2.16, respectively for the same periods in 2016.</w:t>
      </w:r>
    </w:p>
    <w:p>
      <w:pPr>
        <w:spacing w:after="0" w:line="19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net compensation expense recorded for the service-based stock options related to employees and directors was $0.8 million and $1.2 million for the three and six months ended June 30, 2017, respectively, and $0.7 million and $1.2 million for the same periods in 2016. The compensation cost includes forfeiture adjustments.</w:t>
      </w:r>
    </w:p>
    <w:p>
      <w:pPr>
        <w:spacing w:after="0" w:line="18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fair value of each service-based stock option grant for the reported periods is estimated on the date of the grant using the Black-Scholes option-pricing model using the weighted average assumptions noted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tcBorders>
              <w:bottom w:val="single" w:sz="8" w:color="auto"/>
            </w:tcBorders>
            <w:gridSpan w:val="3"/>
          </w:tcPr>
          <w:p>
            <w:pPr>
              <w:jc w:val="right"/>
              <w:ind w:right="87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Service-Based Stock Options</w:t>
            </w:r>
          </w:p>
        </w:tc>
        <w:tc>
          <w:tcPr>
            <w:tcW w:w="3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2016</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rate</w:t>
            </w:r>
          </w:p>
        </w:tc>
        <w:tc>
          <w:tcPr>
            <w:tcW w:w="3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3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80.1 – 88.2%</w:t>
            </w: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78.7 – 92.2%</w:t>
            </w:r>
          </w:p>
        </w:tc>
      </w:tr>
      <w:tr>
        <w:trPr>
          <w:trHeight w:val="27"/>
        </w:trPr>
        <w:tc>
          <w:tcPr>
            <w:tcW w:w="39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 – 2.31%</w:t>
            </w:r>
          </w:p>
        </w:tc>
        <w:tc>
          <w:tcPr>
            <w:tcW w:w="17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 – 1.8%</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Expected life (years)</w:t>
            </w:r>
          </w:p>
        </w:tc>
        <w:tc>
          <w:tcPr>
            <w:tcW w:w="3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5.5 – 6.3</w:t>
            </w: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5.5 – 6.3</w:t>
            </w:r>
          </w:p>
        </w:tc>
      </w:tr>
      <w:tr>
        <w:trPr>
          <w:trHeight w:val="702"/>
        </w:trPr>
        <w:tc>
          <w:tcPr>
            <w:tcW w:w="3920" w:type="dxa"/>
            <w:vAlign w:val="bottom"/>
          </w:tcPr>
          <w:p>
            <w:pPr>
              <w:spacing w:after="0"/>
              <w:rPr>
                <w:sz w:val="24"/>
                <w:szCs w:val="24"/>
                <w:color w:val="auto"/>
              </w:rPr>
            </w:pPr>
          </w:p>
        </w:tc>
        <w:tc>
          <w:tcPr>
            <w:tcW w:w="3740" w:type="dxa"/>
            <w:vAlign w:val="bottom"/>
          </w:tcPr>
          <w:p>
            <w:pPr>
              <w:jc w:val="right"/>
              <w:ind w:right="177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0" w:name="page11"/>
    <w:bookmarkEnd w:id="10"/>
    <w:p>
      <w:pPr>
        <w:ind w:left="260"/>
        <w:spacing w:after="0"/>
        <w:rPr>
          <w:sz w:val="20"/>
          <w:szCs w:val="20"/>
          <w:color w:val="auto"/>
        </w:rPr>
      </w:pPr>
      <w:r>
        <w:rPr>
          <w:rFonts w:ascii="Arial" w:cs="Arial" w:eastAsia="Arial" w:hAnsi="Arial"/>
          <w:sz w:val="18"/>
          <w:szCs w:val="18"/>
          <w:color w:val="auto"/>
        </w:rPr>
        <w:t>The following table summarizes the activity for service-based stock options for the indicated periods: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Weighted</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36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Service-Based Stock Options</w:t>
            </w:r>
          </w:p>
        </w:tc>
        <w:tc>
          <w:tcPr>
            <w:tcW w:w="120" w:type="dxa"/>
            <w:vAlign w:val="bottom"/>
            <w:vMerge w:val="restart"/>
          </w:tcPr>
          <w:p>
            <w:pPr>
              <w:spacing w:after="0"/>
              <w:rPr>
                <w:sz w:val="12"/>
                <w:szCs w:val="12"/>
                <w:color w:val="auto"/>
              </w:rPr>
            </w:pPr>
          </w:p>
        </w:tc>
        <w:tc>
          <w:tcPr>
            <w:tcW w:w="174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Options</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3,355,692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1,550,560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Expired</w:t>
            </w: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84,889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137,599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Outstanding at June 30, 2017</w:t>
            </w:r>
          </w:p>
        </w:tc>
        <w:tc>
          <w:tcPr>
            <w:tcW w:w="1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4,681,612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67"/>
        </w:trPr>
        <w:tc>
          <w:tcPr>
            <w:tcW w:w="43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Exercisable at June 30, 2017</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1,769,955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of June 30, 2017 there was approximately $3.9 million of total unrecognized compensation cost related to non-vested service-based stock options granted under the Option Plan. That cost is expected to be recognized over a weighted-average period of 3.1 years.</w:t>
      </w:r>
    </w:p>
    <w:p>
      <w:pPr>
        <w:spacing w:after="0" w:line="170"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total fair value of options vested during the three and six months ended June 30, 2017 was $0.7 million and $1.2 million, respectively, and $0.6 million and $1.0 million, respectively, for the same periods in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Employees are able to purchase stock under the Vericel Corporation Employee Stock Purchase Plan (ESPP), which was implemented effective October 1, 2015. Participation in this plan is available to substantially all employees. Compensation expense is recorded based on the fair market value of the purchase options at the grant date, which corresponds to the first day of each purchase period and is amortized over the purchase period. On July 3, 2017, employees purchased 55,123 shares resulting in proceeds from the sale of common stock of $0.1 million under the ESPP. The total share-based compensation expense for the ESPP for each of the three and six months ended June 30, 2017 was less than $0.1 million.</w:t>
      </w:r>
    </w:p>
    <w:p>
      <w:pPr>
        <w:spacing w:after="0" w:line="16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Company’s fair value measurements are classified and disclosed in one of the following three categories:</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1: Unadjusted quoted prices in active markets that are accessible at the measurement date for identical, unrestricted assets or liabilities;</w:t>
      </w:r>
    </w:p>
    <w:p>
      <w:pPr>
        <w:spacing w:after="0" w:line="46"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ind w:left="980" w:hanging="324"/>
        <w:spacing w:after="0" w:line="261"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valuation of the Company’s investments and financial instruments that are measured at fair value on a recurring basis:</w:t>
      </w: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ind w:left="4240"/>
        <w:spacing w:after="0"/>
        <w:rPr>
          <w:sz w:val="20"/>
          <w:szCs w:val="20"/>
          <w:color w:val="auto"/>
        </w:rPr>
      </w:pPr>
      <w:r>
        <w:rPr>
          <w:rFonts w:ascii="Arial" w:cs="Arial" w:eastAsia="Arial" w:hAnsi="Arial"/>
          <w:sz w:val="14"/>
          <w:szCs w:val="14"/>
          <w:b w:val="1"/>
          <w:bCs w:val="1"/>
          <w:color w:val="auto"/>
        </w:rPr>
        <w:t>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23495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03" w:lineRule="exact"/>
        <w:rPr>
          <w:sz w:val="20"/>
          <w:szCs w:val="20"/>
          <w:color w:val="auto"/>
        </w:rPr>
      </w:pPr>
    </w:p>
    <w:p>
      <w:pPr>
        <w:ind w:left="422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38100</wp:posOffset>
            </wp:positionV>
            <wp:extent cx="20923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-1047115</wp:posOffset>
            </wp:positionH>
            <wp:positionV relativeFrom="paragraph">
              <wp:posOffset>23495</wp:posOffset>
            </wp:positionV>
            <wp:extent cx="2813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38100</wp:posOffset>
            </wp:positionV>
            <wp:extent cx="20923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46" w:lineRule="exact"/>
        <w:rPr>
          <w:sz w:val="20"/>
          <w:szCs w:val="20"/>
          <w:color w:val="auto"/>
        </w:rPr>
      </w:pPr>
    </w:p>
    <w:p>
      <w:pPr>
        <w:sectPr>
          <w:pgSz w:w="11900" w:h="16838" w:orient="portrait"/>
          <w:cols w:equalWidth="0" w:num="2">
            <w:col w:w="7920" w:space="720"/>
            <w:col w:w="2780"/>
          </w:cols>
          <w:pgMar w:left="240" w:top="800" w:right="2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Warrant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ind w:left="520"/>
              <w:spacing w:after="0"/>
              <w:rPr>
                <w:sz w:val="20"/>
                <w:szCs w:val="20"/>
                <w:color w:val="auto"/>
              </w:rPr>
            </w:pPr>
            <w:r>
              <w:rPr>
                <w:rFonts w:ascii="Arial" w:cs="Arial" w:eastAsia="Arial" w:hAnsi="Arial"/>
                <w:sz w:val="18"/>
                <w:szCs w:val="18"/>
                <w:color w:val="auto"/>
              </w:rPr>
              <w:t>—   $</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740" w:type="dxa"/>
            <w:vAlign w:val="bottom"/>
          </w:tcPr>
          <w:p>
            <w:pPr>
              <w:jc w:val="right"/>
              <w:ind w:right="539"/>
              <w:spacing w:after="0"/>
              <w:rPr>
                <w:sz w:val="20"/>
                <w:szCs w:val="20"/>
                <w:color w:val="auto"/>
              </w:rPr>
            </w:pPr>
            <w:r>
              <w:rPr>
                <w:rFonts w:ascii="Arial" w:cs="Arial" w:eastAsia="Arial" w:hAnsi="Arial"/>
                <w:sz w:val="18"/>
                <w:szCs w:val="18"/>
                <w:color w:val="auto"/>
                <w:w w:val="99"/>
              </w:rPr>
              <w:t>$</w:t>
            </w:r>
          </w:p>
        </w:tc>
        <w:tc>
          <w:tcPr>
            <w:tcW w:w="620" w:type="dxa"/>
            <w:vAlign w:val="bottom"/>
            <w:gridSpan w:val="3"/>
          </w:tcPr>
          <w:p>
            <w:pPr>
              <w:spacing w:after="0"/>
              <w:rPr>
                <w:sz w:val="20"/>
                <w:szCs w:val="20"/>
                <w:color w:val="auto"/>
              </w:rPr>
            </w:pPr>
            <w:r>
              <w:rPr>
                <w:rFonts w:ascii="Arial" w:cs="Arial" w:eastAsia="Arial" w:hAnsi="Arial"/>
                <w:sz w:val="18"/>
                <w:szCs w:val="18"/>
                <w:color w:val="auto"/>
              </w:rPr>
              <w:t>—   $</w:t>
            </w: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ind w:left="540"/>
              <w:spacing w:after="0"/>
              <w:rPr>
                <w:sz w:val="20"/>
                <w:szCs w:val="20"/>
                <w:color w:val="auto"/>
              </w:rPr>
            </w:pPr>
            <w:r>
              <w:rPr>
                <w:rFonts w:ascii="Arial" w:cs="Arial" w:eastAsia="Arial" w:hAnsi="Arial"/>
                <w:sz w:val="18"/>
                <w:szCs w:val="18"/>
                <w:color w:val="auto"/>
              </w:rPr>
              <w:t>—   $</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change in the estimated fair value of the Company’s warrant liabilities: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Warrant Liabilities (In thousands)</w:t>
            </w:r>
          </w:p>
        </w:tc>
        <w:tc>
          <w:tcPr>
            <w:tcW w:w="5880" w:type="dxa"/>
            <w:vAlign w:val="bottom"/>
            <w:tcBorders>
              <w:bottom w:val="single" w:sz="8" w:color="auto"/>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652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Decrease in fair value</w:t>
            </w:r>
          </w:p>
        </w:tc>
        <w:tc>
          <w:tcPr>
            <w:tcW w:w="5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2017</w:t>
            </w:r>
          </w:p>
        </w:tc>
        <w:tc>
          <w:tcPr>
            <w:tcW w:w="652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bottom w:val="single" w:sz="8" w:color="CCEEFF"/>
            </w:tcBorders>
            <w:vMerge w:val="restart"/>
          </w:tcPr>
          <w:p>
            <w:pPr>
              <w:jc w:val="right"/>
              <w:ind w:right="3930"/>
              <w:spacing w:after="0"/>
              <w:rPr>
                <w:sz w:val="20"/>
                <w:szCs w:val="20"/>
                <w:color w:val="auto"/>
              </w:rPr>
            </w:pPr>
            <w:r>
              <w:rPr>
                <w:rFonts w:ascii="Arial" w:cs="Arial" w:eastAsia="Arial" w:hAnsi="Arial"/>
                <w:sz w:val="18"/>
                <w:szCs w:val="18"/>
                <w:color w:val="auto"/>
              </w:rPr>
              <w:t>11</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4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10. Shareholders' Equity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At-the-Market Sales Agreement</w:t>
      </w:r>
    </w:p>
    <w:p>
      <w:pPr>
        <w:spacing w:after="0" w:line="22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On October 10, 2016, the Company entered into our at-the-market sales agreement with Cowen (ATM Agreement), pursuant to which the Company may sell shares of our common stock through Cowen and Company, LLC (Cowen), as sales agent, in registered transactions from our shelf registration statement filed in June 2015, for aggregate proceeds of up to $25.0 million. Shares of common stock sold under the ATM are to be sold at market prices. The Company will pay up to 3% of the gross proceeds to Cowen as a commission. 357,856 shares of common stock have been sold to date under the ATM Agreement for net proceeds of $0.8 million and as of June 30, 2017 had remaining capacity of approximately $24.2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Preferred Stock</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Series B Convertible Preferred Stock</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February 10, 2017, the Company sent notice to Eastern Capital Limited (Eastern), an existing holder of shares of the Company’s Series B-1 Non-Voting Convertible Preferred Stock or Series B-2 Voting Convertible Preferred Stock (Preferred Stock), informing Eastern of the Company's election to convert all 12,308 of the outstanding shares of Preferred Stock held by Eastern, plus 9,570 shares of Preferred Stock in accumulated but undeclared dividends thereon, into 1,093,892 shares of the Company's common stock pursuant to the terms of the Amended and Restated Certificate of Designations, Preferences and Rights of Series B-1 Non-Voting Preferred Stock and Series B-2 Voting Preferred Stock of the Company (Mandatory Conversion). After the Mandatory Conversion on March 9, 2017, no shares of Preferred Stock of the Company remain outstanding as of June 30,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12.Net Loss Per Common Share</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Basic earnings (loss) per share is calculated using the two-class method, which is an earnings allocation formula that determines earnings (loss) per share for the holders of the Company’s common shares and holders of the Series B preferred stock. The Series B preferred stock shares contain participation rights in undistributed earnings, but do not share in the losses of the Company. The dividends on the Series B preferred stock were treated as a reduction of earnings attributable to common shareholders.</w:t>
      </w:r>
    </w:p>
    <w:p>
      <w:pPr>
        <w:spacing w:after="0" w:line="18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following reflects the net loss attributable to common shareholders and share data used in the basic and diluted earnings per share computations using the two class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 except per share amounts)</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(2,388)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(12,166)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(6,694)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Dividends accumulated on convertible preferred stock</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loss attributable to common shareholders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(2,388)</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(12,166)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(10,354)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Denominator for basic and diluted EPS: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32,765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32,333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22,644</w:t>
            </w:r>
          </w:p>
        </w:tc>
        <w:tc>
          <w:tcPr>
            <w:tcW w:w="0" w:type="dxa"/>
            <w:vAlign w:val="bottom"/>
          </w:tcPr>
          <w:p>
            <w:pPr>
              <w:spacing w:after="0"/>
              <w:rPr>
                <w:sz w:val="1"/>
                <w:szCs w:val="1"/>
                <w:color w:val="auto"/>
              </w:rPr>
            </w:pPr>
          </w:p>
        </w:tc>
      </w:tr>
      <w:tr>
        <w:trPr>
          <w:trHeight w:val="229"/>
        </w:trPr>
        <w:tc>
          <w:tcPr>
            <w:tcW w:w="5160" w:type="dxa"/>
            <w:vAlign w:val="bottom"/>
            <w:gridSpan w:val="2"/>
          </w:tcPr>
          <w:p>
            <w:pPr>
              <w:ind w:left="40"/>
              <w:spacing w:after="0"/>
              <w:rPr>
                <w:sz w:val="20"/>
                <w:szCs w:val="20"/>
                <w:color w:val="auto"/>
              </w:rPr>
            </w:pPr>
            <w:r>
              <w:rPr>
                <w:rFonts w:ascii="Arial" w:cs="Arial" w:eastAsia="Arial" w:hAnsi="Arial"/>
                <w:sz w:val="18"/>
                <w:szCs w:val="18"/>
                <w:color w:val="auto"/>
                <w:w w:val="95"/>
              </w:rPr>
              <w:t>Net loss per share attributable to common shareholders (basic and</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9"/>
                <w:szCs w:val="19"/>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42"/>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Common equivalent shares are not included in the diluted per share calculation where the effect of their inclusion would be anti-dilutive. The aggregate number of common equivalent shares (related to options, warrants and preferred stock) that have been excluded from the computations of diluted net loss per common share at June 30, 2017 and 2016 were 5.5 million and 6.4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The Company leases facilities in Ann Arbor, Michigan and Cambridge, Massachusetts. In March 2016, the Company amended its current lease in Cambridge to, among other provisions, extend the terms until February 2022. Under the amendment, the landlord will contribute approximately $2.0 million toward the cost of tenant improvements. The </w:t>
      </w:r>
      <w:r>
        <w:rPr>
          <w:rFonts w:ascii="Arial" w:cs="Arial" w:eastAsia="Arial" w:hAnsi="Arial"/>
          <w:sz w:val="18"/>
          <w:szCs w:val="18"/>
          <w:color w:val="222222"/>
        </w:rPr>
        <w:t>contribution toward the cost of tenant improvements is recorded as deferred rent on the Company's consolidated</w:t>
      </w:r>
      <w:r>
        <w:rPr>
          <w:rFonts w:ascii="Arial" w:cs="Arial" w:eastAsia="Arial" w:hAnsi="Arial"/>
          <w:sz w:val="18"/>
          <w:szCs w:val="18"/>
          <w:color w:val="auto"/>
        </w:rPr>
        <w:t xml:space="preserve"> </w:t>
      </w:r>
      <w:r>
        <w:rPr>
          <w:rFonts w:ascii="Arial" w:cs="Arial" w:eastAsia="Arial" w:hAnsi="Arial"/>
          <w:sz w:val="18"/>
          <w:szCs w:val="18"/>
          <w:color w:val="222222"/>
        </w:rPr>
        <w:t>balance sheet and is amortized to our consolidated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96"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222222"/>
        </w:rPr>
        <w:t>statement of operations as reductions to rent expense over the lease term. As of June 30, 2017, the Company has recorded a tenant improvement of $0.9 million.</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addition to the property leases, the Company also leases an offsite warehouse, various vehicles and computer equipment. The Company's purchase commitments consists of minimum purchase amounts of material in manufacturing in addition to fees payable under the DLSS contract which provides a patient support services program for Carticel and MACI.</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2017, future minimum payments related to leases and other contractual obligations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More than 5</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Purchase commitments</w:t>
            </w: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4,111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25,874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3,822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5,431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5,052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5,062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5,146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Rent expense for the three and six months ended June 30, 2017 was $1.3 million and $2.7 million, respectively, and $1.2 million and $2.4 million, respectively, for the three and six months ended June 30, 2016.</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License Agreement</w:t>
      </w:r>
    </w:p>
    <w:p>
      <w:pPr>
        <w:spacing w:after="0" w:line="225"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 xml:space="preserve">On May 10, 2017, </w:t>
      </w:r>
      <w:r>
        <w:rPr>
          <w:rFonts w:ascii="Arial" w:cs="Arial" w:eastAsia="Arial" w:hAnsi="Arial"/>
          <w:sz w:val="17"/>
          <w:szCs w:val="17"/>
          <w:color w:val="333333"/>
        </w:rPr>
        <w:t>the Company announced that it has entered into a License Agreement (License Agreement) with Innovative Cellular Therapeutics Co.</w:t>
      </w:r>
      <w:r>
        <w:rPr>
          <w:rFonts w:ascii="Arial" w:cs="Arial" w:eastAsia="Arial" w:hAnsi="Arial"/>
          <w:sz w:val="17"/>
          <w:szCs w:val="17"/>
          <w:color w:val="auto"/>
        </w:rPr>
        <w:t xml:space="preserve"> </w:t>
      </w:r>
      <w:r>
        <w:rPr>
          <w:rFonts w:ascii="Arial" w:cs="Arial" w:eastAsia="Arial" w:hAnsi="Arial"/>
          <w:sz w:val="17"/>
          <w:szCs w:val="17"/>
          <w:color w:val="333333"/>
        </w:rPr>
        <w:t>Ltd, (ICT), a leading cell therapy company and developer of CAR-T cell therapy for cancer treatment, for the development and distribution of the Vericel product portfolio in Greater China, South Korea, Singapore, and other countries in Asia. ICT will acquire an exclusive license to certain patent rights, know-how and intellectual property relating to Carticel, MACI, Ixmyelocel-T, and Epicel as well as enter into a warrant purchase agreement. As part of the license and warrant purchase agreements, the Company will receive an upfront payment of $6.0 million, less any applicable taxes, within 60 days of the effective date of the License Agreement. The initiation of the technology transfer, the license grants in the License Agreement and the warrant purchase are contingent upon Vericel’s receipt of the upfront payment. Vericel is eligible to receive approximately $8.0 million in development and commercial milestones. ICT has also agreed to pay tiered royalties to Vericel equal to a percentage of net sales of each Licensed Product in the low double digits for the commercial life of the applicable Licensed Product. ICT will be responsible for funding the development of the programs and manufacturing of the products for commercialization in China and the rest of the territory. The funding transfer is subject to approval by the State Administration of Foreign Exchange of the People's Republic of China and has not occurred as of issuance date of the financial statements. As a result, the parties amended the agreement to provide additional time for ICT to pay and reset certain terms of the warrant. The initiation of the technology transfer, the license grants in the License Agreement and the warrant purchase have not occurred. As partial consideration for an amount included in the upfront payment Vericel will issue to ICT a warrant, exercisable for the number of shares of Vericel’s Common Stock equal to $5.0 million less the withholding tax payable thereon divided by $3.05 (formerly $2.55), with a strike price of $0.01 per share.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6"/>
          <w:szCs w:val="16"/>
          <w:color w:val="auto"/>
        </w:rPr>
        <w:t>Vericel Corporation is a leading developer of patient-specific expanded cell therapies for use in the treatment of patients with severe diseases and conditions. We currently have three U.S. Food and Drug Administration (FDA) approved autologous cell therapy products in the United States. MACI</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(autologous cultured chondrocytes on porcine collagen membrane), is an autologous cellularized scaffold product indicated for the repair of symptomatic, single or multiple full-thickness cartilage defects of the knee with or without bone involvement in adults that was approved by the FDA on December 13, 2016. The first shipment and implantation of MACI occurred on January 31, 2017. Carticel® (autologous cultured chondrocytes) is an autologous chondrocyte implant indicated for the repair of symptomatic cartilage defects of the femoral condyle (medial, lateral or trochlea), caused by acute or repetitive trauma, in patients who have had an inadequate response to a prior arthroscopic or other surgical repair procedure (e.g., debridement, microfracture, drilling/abrasion arthroplasty, or osteochondral allograft/autograft. Carticel was replaced by MACI, at the end of the second quarter. We also market Epicel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(cultured epidermal autografts), a permanent skin replacement Humanitarian Use Device (HUD) for the treatment of patients with deep-dermal or full-thickness burns comprising greater than or equal to 30 percent of total body surface area (TBSA). Our development stage portfolio includes ixmyelocel-T, a patient-specific multicellular therapy for the treatment of advanced heart failure due to ischemic dilated cardiomyopathy (DCM).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have a cell-manufacturing facility in Cambridge, Massachusetts which is used for U.S. manufacturing and distribution of MACI and Carticel, Epicel manufacturing and also manufacturing of MACI for the SUMMIT study conducted for approval in Europe and the U.S. Throughout 2016, we also operated a centralized cell manufacturing facility in Ann Arbor, Michigan. The Ann Arbor facility continues to support the current open label extension portion of the ixCELL-DCM clinical trial being conducted in the United States and Canada and we believe we have sufficient capacity, with minor modifications, to supply our early commercialization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Portfolio</w:t>
      </w:r>
    </w:p>
    <w:p>
      <w:pPr>
        <w:spacing w:after="0" w:line="22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Our approved and marketed products include two approved autologous cell therapy products: MACI (autologous cultured chondrocytes on a porcine collagen membrane), a third generation autologous implant for the repair of symptomatic, full-thickness cartilage defects of the knee in adult patients and Epicel (cultured epidermal autografts), a permanent skin replacement for full thickness burns in adults and pediatrics with greater than or equal to 30% of total body surface area (TBSA) also currently marketed in the U.S. We also own Carticel (autologous cultured chondrocytes), a first-generation product for autologous chondrocyte implantation (ACI) which is no longer marketed in the U.S. Our product candidate portfolio also includes ixmyelocel-T, a patient-specific multicellular therapy currently in development for the treatment of advanced heart failure due to ischemic dilated cardiomyopathy (DCM). We completed enrolling and treating patients in our Phase 2b ixCELL-DCM study in February 2015 and on March 10, 2016 announced the trial had met its primary endpoint of reduction in clinical cardiac events and that incidence of adverse events, including serious adverse events, in patients treated with ixmyelocel-T was comparable to patients in the placebo group.</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Carticel and MACI</w:t>
      </w:r>
    </w:p>
    <w:p>
      <w:pPr>
        <w:spacing w:after="0" w:line="22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Carticel, a first-generation ACI product for the treatment and repair of cartilage defects in the knee, is the first FDA-approved autologous cartilage repair product. Carticel is indicated for the repair of symptomatic cartilage defects of the femoral condyle (medial, lateral or trochlea) caused by acute or repetitive trauma, in patients who have had an inadequate response to a prior arthroscopic or other surgical repair procedure such as debridement, microfracture, drilling/abrasion arthroplasty, or osteochondral allograft/autograft. Carticel received a Biologics License Application (BLA) approval in 1997 and is no longer marketed in the U.S. It is generally used on patients with larger lesions (greater than 3 cm</w:t>
      </w:r>
      <w:r>
        <w:rPr>
          <w:rFonts w:ascii="Arial" w:cs="Arial" w:eastAsia="Arial" w:hAnsi="Arial"/>
          <w:sz w:val="11"/>
          <w:szCs w:val="11"/>
          <w:color w:val="auto"/>
        </w:rPr>
        <w:t>2</w:t>
      </w:r>
      <w:r>
        <w:rPr>
          <w:rFonts w:ascii="Arial" w:cs="Arial" w:eastAsia="Arial" w:hAnsi="Arial"/>
          <w:sz w:val="16"/>
          <w:szCs w:val="16"/>
          <w:color w:val="auto"/>
        </w:rPr>
        <w:t>). Carticel was replaced at the end of the second quarter of 2017 by MACI, which was approved on December 13, 2016 by the U.S. Food and Drug Administration. MACI is a third generation autologous implant for the repair of symptomatic, single or multiple full-thickness cartilage defects of the knee with or without bone involvement in adults. The first shipment and implantation of MACI occurred on January 31, 2017, and we stopped manufacturing and marketing Carticel at the end of the second quarter in 2017.</w:t>
      </w:r>
    </w:p>
    <w:p>
      <w:pPr>
        <w:spacing w:after="0" w:line="16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the U.S., the orthopedic physician target audience is very concentrated, with two thirds of our 2016 Carticel business originating from approximately 150 physicians. Our target Carticel and MACI audience is a group of physicians who self-identify as or have the formal specialty of sports medicine physicians. We believe this target audience is approximately 500 physicians. At the end of 2016 we expanded our field force from 21 to 28 representatives. Most private payers have a medical policy that allows treatment with Carticel and we are actively working with payers to ensure reimbursement for MACI. Of the 28 largest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0" w:right="239" w:bottom="1440" w:gutter="0" w:footer="0" w:header="0"/>
        </w:sectPr>
      </w:pPr>
    </w:p>
    <w:bookmarkStart w:id="14" w:name="page15"/>
    <w:bookmarkEnd w:id="14"/>
    <w:p>
      <w:pPr>
        <w:jc w:val="both"/>
        <w:spacing w:after="0" w:line="264" w:lineRule="auto"/>
        <w:rPr>
          <w:sz w:val="20"/>
          <w:szCs w:val="20"/>
          <w:color w:val="auto"/>
        </w:rPr>
      </w:pPr>
      <w:r>
        <w:rPr>
          <w:rFonts w:ascii="Arial" w:cs="Arial" w:eastAsia="Arial" w:hAnsi="Arial"/>
          <w:sz w:val="18"/>
          <w:szCs w:val="18"/>
          <w:color w:val="auto"/>
        </w:rPr>
        <w:t>payers for Carticel, 18 have a formal medical policy for MACI which we believe represent approximately half of covered lives. For those private payers which have not yet approved a medical policy for MACI, for medically appropriate cases we can often obtain approval on a case by case basis. For the six months ended June 30, 2017, net revenues were $17.9 million for Carticel and MACI.</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Epicel</w:t>
      </w:r>
    </w:p>
    <w:p>
      <w:pPr>
        <w:spacing w:after="0" w:line="22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Epicel (cultured epidermal autografts) is a permanent skin replacement for full thickness burns greater than or equal to 30% of TBSA. Epicel is regulated by the CBER under medical device authorities, and is the only FDA-approved autologous epidermal product available for large total surface area burns. Epicel was designated as a HUD in 1998 and an HDE application for the product was submitted in 1999. HUDs are devices that are intended for diseases or conditions that affect fewer than 4,000 individuals annually in the United States. Under an HDE approval, a HUD cannot be sold for an amount that exceeds the cost of research and development, fabrication and distribution unless certain conditions are met. Currently, fewer than 100 patients are treated with Epicel in the U.S. each year. For the six months ended June 30, 2017, net revenues were $8.4 million for Epicel.</w:t>
      </w:r>
    </w:p>
    <w:p>
      <w:pPr>
        <w:spacing w:after="0" w:line="17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 HUD is eligible to be sold for profit after receiving HDE approval if the device meets certain eligibility criteria, including where the device is intended for the treatment of a disease or condition that occurs in pediatric patients and such device is labeled for use in pediatric patients. If the FDA determines that a HUD meets the eligibility criteria, the HUD is permitted to be sold for profit as long as the number of devices distributed in any calendar year does not exceed the annual distribution number (ADN). The ADN is defined as the number of devices reasonably needed to treat a population of 4,000 individuals per year in the United States.</w:t>
      </w:r>
    </w:p>
    <w:p>
      <w:pPr>
        <w:spacing w:after="0" w:line="188"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On February 18, 2016, the FDA approved our HDE supplement to revise the labeled indications of use to specifically include pediatric patients and to add pediatric labeling. The revised product label also now specifies that the probable benefit of Epicel, mainly related to survival, was demonstrated in two Epicel clinical experience databases and a physician-sponsored study comparing outcomes in patients with massive burns treated with Epicel relative to standard care. Due to the change in the label to include use in pediatric patients, Epicel is no longer subject to the HDE profit restrictions. In conjunction with meeting the pediatric eligibility criteria, the FDA has determined the ADN number for Epicel is 360,400 which is approximately 50 times larger than the volume of grafts sold in 2016. We currently have a 5-person field force.</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Ixmyelocel-T</w:t>
      </w:r>
    </w:p>
    <w:p>
      <w:pPr>
        <w:spacing w:after="0" w:line="229"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Our preapproval stage portfolio includes ixmyelocel-T, a unique patient-specific multicellular therapy derived from an adult patient’s own bone marrow which utilizes our proprietary, highly automated and scalable manufacturing system. Our proprietary cell manufacturing process significantly expands the mesenchymal stromal cells, or MSCs and M2-like anti-inflammatory macrophages in the patient’s bone marrow mononuclear cells while retaining many of the hematopoietic cells. These cell types are known to regulate the immune response and play a key role in tissue repair and regeneration by resolving pathologic inflammation, promoting angiogenesis, and remodeling ischemic tissue. We believe the novelty and advantage of using ixmyelocel-T is the expansion of a unique combination of cell populations, including MSCs and M2-like macrophages, which secrete a distinct combination of angiogenic and regenerative factors, and possess the ability to remain anti-inflammatory in the face of inflammatory challenge.</w:t>
      </w:r>
    </w:p>
    <w:p>
      <w:pPr>
        <w:spacing w:after="0" w:line="178"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Our lead clinical development program for ixmyelocel-T is focused on addressing severe, chronic ischemic cardiovascular diseases. We are currently conducting the open label extension portion of the Phase 2b ixCELL-DCM study, which is a randomized, double-blind, placebo-controlled clinical trial for patients with advanced heart failure due to ischemic DCM. Ixmyelocel-T has been granted a U.S. Orphan Drug designation by the FDA for the treatment of DCM. An ixmyelocel-T investigator-initiated clinical study was conducted for the treatment of craniofacial reconstruction, and we have conducted clinical studies for the treatment of critical limb ischemia.</w:t>
      </w:r>
    </w:p>
    <w:p>
      <w:pPr>
        <w:spacing w:after="0" w:line="188"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We completed enrolling and treating patients in our completed Phase 2b ixCELL-DCM study in February, 2015. Patients were followed for 12 months for the primary efficacy endpoint of major cardiac adverse events, or MACE. On March 10, 2016, we announced the trial had met its primary endpoint of reduction in clinical cardiac events and that the incidence of adverse events, including serious adverse events, in patients treated with ixmyelocel-T was comparable to patients in the placebo group. Patients were then followed for an additional 12 months for safety. Because the trial met the primary endpoint, patients who received placebo or were randomized to ixmyelocel-T in the double-blind portion of the trial but did not receive ixmyelocel-T have been offered the option to receive ixmyelocel-T. We successfully treated the last patients in February, 2017, and the last follow-up visit will occur approximately one year later.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jc w:val="both"/>
        <w:ind w:firstLine="230"/>
        <w:spacing w:after="0" w:line="218" w:lineRule="exact"/>
        <w:rPr>
          <w:sz w:val="20"/>
          <w:szCs w:val="20"/>
          <w:color w:val="auto"/>
        </w:rPr>
      </w:pPr>
      <w:r>
        <w:rPr>
          <w:rFonts w:ascii="Arial" w:cs="Arial" w:eastAsia="Arial" w:hAnsi="Arial"/>
          <w:sz w:val="18"/>
          <w:szCs w:val="18"/>
          <w:color w:val="auto"/>
        </w:rPr>
        <w:t>Given the expense required to conduct further development and our focus on growing our existing commercial products and becoming profitable, at this time we have no current plans to initiate or fund a Phase 3 trial on our own. We are assessing all strategic options, including non-dilutive sources of financing, such as a strategic partner, to fund the trial. On February 16, 2017, the investigation of ixmyelocel-T for reduction in the risk of death and cardiovascular hospitalization in patients with chronic advanced heart failure due to ischemic dilated cardiomyopathy was designated a Fast Track Program. On May 10, 2017, the FDA granted the Regenerative Medicine Advanced Therapy (RMAT) designation for ixmyelocel</w:t>
      </w:r>
      <w:r>
        <w:rPr>
          <w:rFonts w:ascii="MS PGothic" w:cs="MS PGothic" w:eastAsia="MS PGothic" w:hAnsi="MS PGothic"/>
          <w:sz w:val="18"/>
          <w:szCs w:val="18"/>
          <w:color w:val="auto"/>
        </w:rPr>
        <w:t>‑</w:t>
      </w:r>
      <w:r>
        <w:rPr>
          <w:rFonts w:ascii="Arial" w:cs="Arial" w:eastAsia="Arial" w:hAnsi="Arial"/>
          <w:sz w:val="18"/>
          <w:szCs w:val="18"/>
          <w:color w:val="auto"/>
        </w:rPr>
        <w:t>T. The RMAT is an expedited drug development and review program for regenerative medicine therapies. We are scheduled to meet with the FDA later this year to explore possible accelerated approval options available under an RMAT designation.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Our net loss for the three and six months ended June 30, 2017 totaled $2.4 million or $0.07 per share and $12.2 million or $0.38 per share,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Our net loss for the three and six months ended June 30, 2016 totaled $3.0 million or $0.22 per share and $6.7 million and $0.46 per share, respectively.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16,953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12,823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26,314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26,931</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product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7,670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13,860</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9,283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5,523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11,535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13,071</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11,804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20,047</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Loss from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(6,976)</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w:t>
            </w: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(2,388)</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(6,694)</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jc w:val="both"/>
        <w:ind w:firstLine="302"/>
        <w:spacing w:after="0" w:line="255" w:lineRule="auto"/>
        <w:rPr>
          <w:sz w:val="20"/>
          <w:szCs w:val="20"/>
          <w:color w:val="auto"/>
        </w:rPr>
      </w:pPr>
      <w:r>
        <w:rPr>
          <w:rFonts w:ascii="Arial" w:cs="Arial" w:eastAsia="Arial" w:hAnsi="Arial"/>
          <w:sz w:val="18"/>
          <w:szCs w:val="18"/>
          <w:color w:val="auto"/>
        </w:rPr>
        <w:t xml:space="preserve">Net revenues increased for the three months ended June 30, 2017 compared to the same period the previous year due primarily to an increase in sales units, an increase in average sales price per implant and the reversal of a revenue reserve for Carticel and MACI. In April 2017, we were informed of a </w:t>
      </w:r>
      <w:r>
        <w:rPr>
          <w:rFonts w:ascii="Arial" w:cs="Arial" w:eastAsia="Arial" w:hAnsi="Arial"/>
          <w:sz w:val="18"/>
          <w:szCs w:val="18"/>
          <w:color w:val="222222"/>
        </w:rPr>
        <w:t xml:space="preserve">contractual dispute between Vital Care, Inc. (Vital Care) and the third-party payer related to certain insurance reimbursement claims associated with Carticel and MACI surgeries performed in 2016 and 2017. This contractual dispute between Vital Care and the third-party payer was resolved. The negotiated reimbursement resulted in an increase of $1.4 million to revenue for the three </w:t>
      </w:r>
      <w:r>
        <w:rPr>
          <w:rFonts w:ascii="Arial" w:cs="Arial" w:eastAsia="Arial" w:hAnsi="Arial"/>
          <w:sz w:val="18"/>
          <w:szCs w:val="18"/>
          <w:color w:val="000000"/>
        </w:rPr>
        <w:t>months ended June 30, 2017. In addition, Carticel and MACI revenue increased</w:t>
      </w:r>
      <w:r>
        <w:rPr>
          <w:rFonts w:ascii="Arial" w:cs="Arial" w:eastAsia="Arial" w:hAnsi="Arial"/>
          <w:sz w:val="18"/>
          <w:szCs w:val="18"/>
          <w:color w:val="222222"/>
        </w:rPr>
        <w:t xml:space="preserve"> </w:t>
      </w:r>
      <w:r>
        <w:rPr>
          <w:rFonts w:ascii="Arial" w:cs="Arial" w:eastAsia="Arial" w:hAnsi="Arial"/>
          <w:sz w:val="18"/>
          <w:szCs w:val="18"/>
          <w:color w:val="000000"/>
        </w:rPr>
        <w:t>due to the collection of $0.5 million of prior year sales originally deemed uncollectible. Epicel revenue increased primarily due to an increase in sales price per graft.</w:t>
      </w:r>
    </w:p>
    <w:p>
      <w:pPr>
        <w:spacing w:after="0" w:line="18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Net revenues decreased for the six months ended June 30, 2017 primarily due to lower Epicel sales. Carticel and MACI sales were consistent due to an increase in implants offset by the lower price per unit for the implants sold through Vital Care.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Revenue by product (in thousands)</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Carticel and MACI</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12,905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17,912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17,798</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36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4,048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3,836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8,402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9,133</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16,953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26,314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26,931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78"/>
        <w:spacing w:after="0" w:line="270" w:lineRule="auto"/>
        <w:rPr>
          <w:sz w:val="20"/>
          <w:szCs w:val="20"/>
          <w:color w:val="auto"/>
        </w:rPr>
      </w:pPr>
      <w:r>
        <w:rPr>
          <w:rFonts w:ascii="Arial" w:cs="Arial" w:eastAsia="Arial" w:hAnsi="Arial"/>
          <w:sz w:val="17"/>
          <w:szCs w:val="17"/>
          <w:i w:val="1"/>
          <w:iCs w:val="1"/>
          <w:color w:val="auto"/>
        </w:rPr>
        <w:t xml:space="preserve">Seasonality. </w:t>
      </w:r>
      <w:r>
        <w:rPr>
          <w:rFonts w:ascii="Arial" w:cs="Arial" w:eastAsia="Arial" w:hAnsi="Arial"/>
          <w:sz w:val="17"/>
          <w:szCs w:val="17"/>
          <w:color w:val="auto"/>
        </w:rPr>
        <w:t>Carticel revenue is subject to seasonal fluctuations with stronger sales occurring in the fourth quarter and second quarter due to a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including insurance copay limits and the time of year patients prefer to start rehabilitation, and MACI revenue is expected to be subject to these seasonal fluctuations as well. Over the last five years, the percentage of annual sales by quarter has ranged as follows: first quarter, 20% to 24%; second quarter, 24% to 26%; third quarter, 20% to 23%; and fourth quarter, 28% to 33%. During 2016, the percentage of annual sales by quarter was as follows: 24% in the first quarter; 24% in the second quarter; 20% in the third quarter; and 32% in the fourth quarter. Epicel revenue is also subject to seasonal fluctuations mostly associated with the use of heating elements during the colder months, with stronger sales occurring in the winter months of the first and fourth quarters, and weaker sales occurring in the hot summer months of the third quarter. However, in any single year, this trend can be absent due to the extreme variability inherent with Epicel’s low patient volume of fewer than 100 patients per year. Over the last five years, the percentage of annual sales by quarter has ranged as follows: first quarter, 22% to 35%;</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second quarter, 22% to 28%; third quarter, 17% to 24%; and fourth quarter, 23% to 30%. The variability between the same quarters in consecutive years has been as high as 11% of the annual volume. While the number of patients treated per year remains low, we expect these large swings in revenue in some quarters to continue. These seasonal trends have caused and will likely continue to cause, fluctuations in our quarterly results, including fluctuations in sequential revenue growth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Profit Ratio</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2016</w:t>
            </w: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8"/>
              </w:rPr>
              <w:t>9,283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8"/>
              </w:rPr>
              <w:t>5,523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11,535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13,071</w:t>
            </w: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Gross profit %</w:t>
            </w:r>
          </w:p>
        </w:tc>
        <w:tc>
          <w:tcPr>
            <w:tcW w:w="9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229"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6"/>
          <w:szCs w:val="16"/>
          <w:color w:val="auto"/>
        </w:rPr>
        <w:t>Gross profit ratio increased for the three months ended June 30, 2017 compared to the same period in 2016 due primarily to an increase in Carticel and MACI sales described above. Gross profit ratio decreased for the six months ended June 30, 2017 compared to the same period in 2016 due primarily to a decrease in Epicel sales and an increase in cost of sales primarily due to an increase in material costs and higher scrap rates for cancelled Epicel orders.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780" w:type="dxa"/>
            <w:vAlign w:val="bottom"/>
            <w:tcBorders>
              <w:bottom w:val="single" w:sz="8" w:color="auto"/>
            </w:tcBorders>
          </w:tcPr>
          <w:p>
            <w:pPr>
              <w:jc w:val="right"/>
              <w:ind w:right="822"/>
              <w:spacing w:after="0"/>
              <w:rPr>
                <w:sz w:val="20"/>
                <w:szCs w:val="20"/>
                <w:color w:val="auto"/>
              </w:rPr>
            </w:pPr>
            <w:r>
              <w:rPr>
                <w:rFonts w:ascii="Arial" w:cs="Arial" w:eastAsia="Arial" w:hAnsi="Arial"/>
                <w:sz w:val="14"/>
                <w:szCs w:val="14"/>
                <w:b w:val="1"/>
                <w:bCs w:val="1"/>
                <w:color w:val="auto"/>
              </w:rPr>
              <w:t>2017</w:t>
            </w: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r>
      <w:tr>
        <w:trPr>
          <w:trHeight w:val="24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2,971</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4,058</w:t>
            </w: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rPr>
              <w:t>6,438</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7,594</w:t>
            </w: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Research and development costs for the three months ended June 30, 2017 were $3.0 million versus $4.1 million for the same period a year ago, primarily due to a reduction in the ixCELL-DCM clinical trial expenses. Because the trial met the primary endpoint, patients who received placebo or were randomized to ixmyelocel-T in the double-blind portion of the trial but did not receive ixmyelocel-T were offered the option to receive ixmyelocel-T beginning in 2016. We successfully treated the last patients in February 2017 and lower expenses were incurred in the current period. MACI research and development costs increased related to activity incurred as a result of the FDA approval received in December 2016.</w:t>
      </w:r>
    </w:p>
    <w:p>
      <w:pPr>
        <w:spacing w:after="0" w:line="173"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Research and development costs for the six months ended June 30, 2017 were $6.4 million versus $7.6 million for the same period a year ago. As described above, the trial expenses for the ixCELL-DCM clinical trial decreased as the trial completed treatment of the patients who received the placebo. Carticel-related expenses decreased as a result of the approved MACI product in December 2016. Additional costs were incurred related to MACI upon the approval.</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Dilated Cardiomyopathy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3,857</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MACI</w:t>
            </w:r>
          </w:p>
        </w:tc>
        <w:tc>
          <w:tcPr>
            <w:tcW w:w="36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Carticel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36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research and development costs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2,971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6,438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7,594</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Selling, General and Administrative Costs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24"/>
                <w:szCs w:val="24"/>
                <w:color w:val="auto"/>
              </w:rPr>
            </w:pPr>
          </w:p>
        </w:tc>
        <w:tc>
          <w:tcPr>
            <w:tcW w:w="270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costs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8,833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6,449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17,241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12,453</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Selling, general and administrative costs for the three months ended June 30, 2017 were $8.8 million compared to $6.4 million for the same period a year ago. The increase in selling, general and administrative costs in 2017 is due primarily to an increase in consulting expenses for marketing initiatives of $1.2 million related to the launch of MACI, an increase in personnel costs of $0.8 million primarily related to an increase in the MACI sales force, costs associated with our reimbursement and patient support services for Carticel and MACI of $0.2 million and an increase in administrative salaries and employee expenses of $0.1 million.</w:t>
      </w:r>
    </w:p>
    <w:p>
      <w:pPr>
        <w:spacing w:after="0" w:line="18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Selling, general and administrative costs for the six months ended June 30, 2017 were $17.2 million compared to $12.5 million for the same period a year ago. The increase in selling, general and administrative costs in 2017 is due primarily to an increase in</w:t>
      </w:r>
    </w:p>
    <w:p>
      <w:pPr>
        <w:sectPr>
          <w:pgSz w:w="11900" w:h="16838" w:orient="portrait"/>
          <w:cols w:equalWidth="0" w:num="1">
            <w:col w:w="11420"/>
          </w:cols>
          <w:pgMar w:left="240" w:top="584"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584" w:right="239" w:bottom="1440" w:gutter="0" w:footer="0" w:header="0"/>
          <w:type w:val="continuous"/>
        </w:sectPr>
      </w:pPr>
    </w:p>
    <w:bookmarkStart w:id="17" w:name="page18"/>
    <w:bookmarkEnd w:id="17"/>
    <w:p>
      <w:pPr>
        <w:jc w:val="both"/>
        <w:spacing w:after="0" w:line="312" w:lineRule="auto"/>
        <w:rPr>
          <w:sz w:val="20"/>
          <w:szCs w:val="20"/>
          <w:color w:val="auto"/>
        </w:rPr>
      </w:pPr>
      <w:r>
        <w:rPr>
          <w:rFonts w:ascii="Arial" w:cs="Arial" w:eastAsia="Arial" w:hAnsi="Arial"/>
          <w:sz w:val="16"/>
          <w:szCs w:val="16"/>
          <w:color w:val="auto"/>
        </w:rPr>
        <w:t>consulting expenses for marketing initiatives of $2.1 million related to the launch of MACI, an increase in personnel costs of $1.3 million primarily related to an increase in the MACI sales force, costs associated with our reimbursement and patient support services for Carticel and MACI of $0.7 million, an increase in administrative salaries and employee expenses of $0.5 million, and an increase in audit, tax and information technology expenses of $0.2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Decrease in fair value of warrants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Foreign currency translation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interest (expense) income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other income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change in other income and expense for the three and six months ended June 30, 2017 compared to 2016 is due primarily to interest expense on the outstanding revolving credit agreement and term loans, the change in warrant value as a result of the fluctuations in our stock price and the reduction in the time to maturity. Fluctuations in the fair value of the warrants in future periods could result in significant non-cash adjustments to the condensed consolidated financial statements; however, any income or expense recorded will not impact our cash, operating expenses or cash flow.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Non-cash stock-based compensation expense included in cost of goods sold, research and development expenses and selling, general and administrative expenses is summarized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920" w:type="dxa"/>
            <w:vAlign w:val="bottom"/>
          </w:tcPr>
          <w:p>
            <w:pPr>
              <w:jc w:val="right"/>
              <w:ind w:right="717"/>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258</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w:t>
            </w:r>
          </w:p>
        </w:tc>
      </w:tr>
      <w:tr>
        <w:trPr>
          <w:trHeight w:val="237"/>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Total non-cash stock-based compensation expense</w:t>
            </w:r>
          </w:p>
        </w:tc>
        <w:tc>
          <w:tcPr>
            <w:tcW w:w="100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717"/>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1,298</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1,319</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changes in stock-based compensation expense are due primarily to fluctuations in the fair value of the options granted in 2017 compared to 2016.</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currently focused on utilizing our technology to identify, develop and commercialize innovative therapies that enable the body to repair and regenerate damaged tissues and organs to restore normal structure and function. Since the acquisition in 2014 of the CTRM Business of Sanofi, the sales of Carticel and Epicel therapies have constituted nearly all of our product sales revenues. With the approval of MACI and planned replacement of Carticel with MACI, we expect the sales of MACI and Epicel therapies will constitute nearly all of our product sales revenues. Additionally, we are focusing significant resources to grow our commercial business.</w:t>
      </w:r>
    </w:p>
    <w:p>
      <w:pPr>
        <w:spacing w:after="0" w:line="188" w:lineRule="exact"/>
        <w:rPr>
          <w:sz w:val="20"/>
          <w:szCs w:val="20"/>
          <w:color w:val="auto"/>
        </w:rPr>
      </w:pPr>
    </w:p>
    <w:p>
      <w:pPr>
        <w:jc w:val="both"/>
        <w:ind w:firstLine="336"/>
        <w:spacing w:after="0" w:line="257" w:lineRule="auto"/>
        <w:rPr>
          <w:sz w:val="20"/>
          <w:szCs w:val="20"/>
          <w:color w:val="auto"/>
        </w:rPr>
      </w:pPr>
      <w:r>
        <w:rPr>
          <w:rFonts w:ascii="Arial" w:cs="Arial" w:eastAsia="Arial" w:hAnsi="Arial"/>
          <w:sz w:val="18"/>
          <w:szCs w:val="18"/>
          <w:color w:val="auto"/>
        </w:rPr>
        <w:t>We have raised significant funds in order to complete our product development programs, and complete clinical trials needed to market and commercialize our products. To date, we have financed our operations primarily through public and private sales of our equity securities including the net proceeds of approximately $18.0 million we received from our December 2016 public offering and the availability of funds under the SVB-Mid-Cap Facility. While we believe that, based on our current cash on hand, we are in a position to sustain operations through at least August 2018, if actual results differ from our projections, we may need to access additional capital.</w:t>
      </w:r>
    </w:p>
    <w:p>
      <w:pPr>
        <w:spacing w:after="0" w:line="1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October 10, 2016 we entered into an at-the-market sales agreement (ATM Agreement) with Cowen and Company, LLC, (Cowen) as sales agent to sell, from time to time, our common stock, no par value per share (ATM Shares), having an aggregate sale price of up to $25.0 million, through an “at the market offering” program (ATM Offering). The ATM Shares will be issued pursuant to our shelf registration statement on Form S-3 (File No. 333-205336). We filed a prospectus supplement, dated October 10, 2016, with the Securities and Exchange Commission in connection with the offer and sale of the ATM Shares sold under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ATM Agreement. We are obliged to pay up to 3% of the gross proceeds to Cowen as a commission. As of June 30, 2017, approximately $24.2 million of net capacity remained under the ATM Agreement.</w:t>
      </w:r>
    </w:p>
    <w:p>
      <w:pPr>
        <w:spacing w:after="0" w:line="170"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Our cash totaled $14.0 million as of June 30, 2017. During the six months ended June 30, 2017, the cash used for operations was $8.8 million. This use of funds was fueled largely by our operating loss reduced by noncash charges including $1.3 million of stock compensation expense and $0.8 million of depreciation expense. Working capital requirements increased by $2.4 million in accounts receivable as a result in the increase of days sales outstanding related to the change in reimbursement and patient support service providers.</w:t>
      </w:r>
    </w:p>
    <w:p>
      <w:pPr>
        <w:spacing w:after="0" w:line="18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 xml:space="preserve">On March 8, 2016, we entered into a $15.0 million debt financing with SVB which we replaced on September 9, 2016 with an expanded term loan and revolving line of credit agreement with SVB and MidCap Financial Services, or MidCap, which initially provide access to up to $20 million. The updated debt financing consists of a $4.0 million term loan which was drawn at the closing, a $4.0 million term loan which was drawn upon in November 2016, a $2.0 million term loan which is no longer available as it was not drawn on by April 12, 2017 and up to $10.0 million of a revolving line of credit. The term loans are interest only (indexed to Wall Street Journal (WSJ) Prime plus 5.00%) until September 1, 2017 followed by 36 equal monthly payments of principal plus interest maturing September 9, 2020. Per the initial terms of the agreement, the revolving credit is limited to a borrowing base calculated using eligible accounts receivable which was further reduced in the amendment described below and maturing September 9, 2020 with an interest rate indexed to WSJ Prime plus 1.25%. </w:t>
      </w:r>
      <w:r>
        <w:rPr>
          <w:rFonts w:ascii="Arial" w:cs="Arial" w:eastAsia="Arial" w:hAnsi="Arial"/>
          <w:sz w:val="17"/>
          <w:szCs w:val="17"/>
          <w:color w:val="222222"/>
        </w:rPr>
        <w:t>We are subject to various financial and nonfinancial covenants including but not limited to a monthly minimum net revenue covenant</w:t>
      </w:r>
      <w:r>
        <w:rPr>
          <w:rFonts w:ascii="Arial" w:cs="Arial" w:eastAsia="Arial" w:hAnsi="Arial"/>
          <w:sz w:val="17"/>
          <w:szCs w:val="17"/>
          <w:color w:val="auto"/>
        </w:rPr>
        <w:t xml:space="preserve"> (determined in accordance with GAAP), measured on a trailing twelve month basis</w:t>
      </w:r>
      <w:r>
        <w:rPr>
          <w:rFonts w:ascii="Arial" w:cs="Arial" w:eastAsia="Arial" w:hAnsi="Arial"/>
          <w:sz w:val="17"/>
          <w:szCs w:val="17"/>
          <w:color w:val="222222"/>
        </w:rPr>
        <w:t>. T</w:t>
      </w:r>
      <w:r>
        <w:rPr>
          <w:rFonts w:ascii="Arial" w:cs="Arial" w:eastAsia="Arial" w:hAnsi="Arial"/>
          <w:sz w:val="17"/>
          <w:szCs w:val="17"/>
          <w:color w:val="auto"/>
        </w:rPr>
        <w:t xml:space="preserve">he December 31, 2017 minimum revenue covenant is set at $51.7 million. </w:t>
      </w:r>
      <w:r>
        <w:rPr>
          <w:rFonts w:ascii="Arial" w:cs="Arial" w:eastAsia="Arial" w:hAnsi="Arial"/>
          <w:sz w:val="17"/>
          <w:szCs w:val="17"/>
          <w:color w:val="222222"/>
        </w:rPr>
        <w:t>SVB and MidCap also have the ability to call debt based on material adverse change clauses which are subjectively determinable and result in a</w:t>
      </w:r>
      <w:r>
        <w:rPr>
          <w:rFonts w:ascii="Arial" w:cs="Arial" w:eastAsia="Arial" w:hAnsi="Arial"/>
          <w:sz w:val="17"/>
          <w:szCs w:val="17"/>
          <w:color w:val="auto"/>
        </w:rPr>
        <w:t xml:space="preserve"> subjective acceleration clause. While we believe the acceleration of the due date may be reasonably possible, it is not probable and therefore, the debt is classified in current and non-current liabilities. SVB and MidCap have a shared first priority perfected security interest in all of our assets other than intellectual property. As of June 30, 2017, there was an outstanding balance of $8.0 million under the term loan and $2.5 million under the revolving line of credit.</w:t>
      </w:r>
    </w:p>
    <w:p>
      <w:pPr>
        <w:spacing w:after="0" w:line="185"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222222"/>
        </w:rPr>
        <w:t xml:space="preserve">On December 30, 2016, we entered into an amendment to the SVB-MidCap facility to amend certain financial covenants and to modify the final payment of the term loan advance. We further amended the SVB-MidCap facility on May 9, 2017 to update the monthly net revenue requirement covenants, </w:t>
      </w:r>
      <w:r>
        <w:rPr>
          <w:rFonts w:ascii="Arial" w:cs="Arial" w:eastAsia="Arial" w:hAnsi="Arial"/>
          <w:sz w:val="16"/>
          <w:szCs w:val="16"/>
          <w:color w:val="000000"/>
        </w:rPr>
        <w:t>measured</w:t>
      </w:r>
      <w:r>
        <w:rPr>
          <w:rFonts w:ascii="Arial" w:cs="Arial" w:eastAsia="Arial" w:hAnsi="Arial"/>
          <w:sz w:val="16"/>
          <w:szCs w:val="16"/>
          <w:color w:val="222222"/>
        </w:rPr>
        <w:t xml:space="preserve"> </w:t>
      </w:r>
      <w:r>
        <w:rPr>
          <w:rFonts w:ascii="Arial" w:cs="Arial" w:eastAsia="Arial" w:hAnsi="Arial"/>
          <w:sz w:val="16"/>
          <w:szCs w:val="16"/>
          <w:color w:val="000000"/>
        </w:rPr>
        <w:t>on a trailing twelve month basis</w:t>
      </w:r>
      <w:r>
        <w:rPr>
          <w:rFonts w:ascii="Arial" w:cs="Arial" w:eastAsia="Arial" w:hAnsi="Arial"/>
          <w:sz w:val="16"/>
          <w:szCs w:val="16"/>
          <w:color w:val="222222"/>
        </w:rPr>
        <w:t>. The amendment</w:t>
      </w:r>
      <w:r>
        <w:rPr>
          <w:rFonts w:ascii="Arial" w:cs="Arial" w:eastAsia="Arial" w:hAnsi="Arial"/>
          <w:sz w:val="16"/>
          <w:szCs w:val="16"/>
          <w:color w:val="000000"/>
        </w:rPr>
        <w:t xml:space="preserve"> decreased the 12 month trailing minimum revenue covenant </w:t>
      </w:r>
      <w:r>
        <w:rPr>
          <w:rFonts w:ascii="Arial" w:cs="Arial" w:eastAsia="Arial" w:hAnsi="Arial"/>
          <w:sz w:val="16"/>
          <w:szCs w:val="16"/>
          <w:color w:val="222222"/>
        </w:rPr>
        <w:t>as of June 30, 2017 and revised the</w:t>
      </w:r>
      <w:r>
        <w:rPr>
          <w:rFonts w:ascii="Arial" w:cs="Arial" w:eastAsia="Arial" w:hAnsi="Arial"/>
          <w:sz w:val="16"/>
          <w:szCs w:val="16"/>
          <w:color w:val="000000"/>
        </w:rPr>
        <w:t xml:space="preserve"> December 31, 2017 minimum revenue covenant to $51.7 million. </w:t>
      </w:r>
      <w:r>
        <w:rPr>
          <w:rFonts w:ascii="Arial" w:cs="Arial" w:eastAsia="Arial" w:hAnsi="Arial"/>
          <w:sz w:val="16"/>
          <w:szCs w:val="16"/>
          <w:color w:val="222222"/>
        </w:rPr>
        <w:t>As of</w:t>
      </w:r>
      <w:r>
        <w:rPr>
          <w:rFonts w:ascii="Arial" w:cs="Arial" w:eastAsia="Arial" w:hAnsi="Arial"/>
          <w:sz w:val="16"/>
          <w:szCs w:val="16"/>
          <w:color w:val="000000"/>
        </w:rPr>
        <w:t xml:space="preserve"> June 30, 2017</w:t>
      </w:r>
      <w:r>
        <w:rPr>
          <w:rFonts w:ascii="Arial" w:cs="Arial" w:eastAsia="Arial" w:hAnsi="Arial"/>
          <w:sz w:val="16"/>
          <w:szCs w:val="16"/>
          <w:color w:val="222222"/>
        </w:rPr>
        <w:t>, we were in compliance with the minimum revenue covenant. The amount of</w:t>
      </w:r>
      <w:r>
        <w:rPr>
          <w:rFonts w:ascii="Arial" w:cs="Arial" w:eastAsia="Arial" w:hAnsi="Arial"/>
          <w:sz w:val="16"/>
          <w:szCs w:val="16"/>
          <w:color w:val="000000"/>
        </w:rPr>
        <w:t xml:space="preserve"> </w:t>
      </w:r>
      <w:r>
        <w:rPr>
          <w:rFonts w:ascii="Arial" w:cs="Arial" w:eastAsia="Arial" w:hAnsi="Arial"/>
          <w:sz w:val="16"/>
          <w:szCs w:val="16"/>
          <w:color w:val="222222"/>
        </w:rPr>
        <w:t xml:space="preserve">eligible account receivables used to calculate the availability under the revolving line of credit was reduced under the amendment </w:t>
      </w:r>
      <w:r>
        <w:rPr>
          <w:rFonts w:ascii="Arial" w:cs="Arial" w:eastAsia="Arial" w:hAnsi="Arial"/>
          <w:sz w:val="16"/>
          <w:szCs w:val="16"/>
          <w:color w:val="000000"/>
        </w:rPr>
        <w:t>by $3.0 million per the</w:t>
      </w:r>
      <w:r>
        <w:rPr>
          <w:rFonts w:ascii="Arial" w:cs="Arial" w:eastAsia="Arial" w:hAnsi="Arial"/>
          <w:sz w:val="16"/>
          <w:szCs w:val="16"/>
          <w:color w:val="222222"/>
        </w:rPr>
        <w:t xml:space="preserve"> </w:t>
      </w:r>
      <w:r>
        <w:rPr>
          <w:rFonts w:ascii="Arial" w:cs="Arial" w:eastAsia="Arial" w:hAnsi="Arial"/>
          <w:sz w:val="16"/>
          <w:szCs w:val="16"/>
          <w:color w:val="000000"/>
        </w:rPr>
        <w:t xml:space="preserve">terms of an amendment. The restriction will be lifted if our revenue meets minimum revenue targets for two (2) consecutive quarters. </w:t>
      </w:r>
      <w:r>
        <w:rPr>
          <w:rFonts w:ascii="Arial" w:cs="Arial" w:eastAsia="Arial" w:hAnsi="Arial"/>
          <w:sz w:val="16"/>
          <w:szCs w:val="16"/>
          <w:color w:val="222222"/>
        </w:rPr>
        <w:t>As of</w:t>
      </w:r>
      <w:r>
        <w:rPr>
          <w:rFonts w:ascii="Arial" w:cs="Arial" w:eastAsia="Arial" w:hAnsi="Arial"/>
          <w:sz w:val="16"/>
          <w:szCs w:val="16"/>
          <w:color w:val="000000"/>
        </w:rPr>
        <w:t xml:space="preserve"> June 30, 2017</w:t>
      </w:r>
      <w:r>
        <w:rPr>
          <w:rFonts w:ascii="Arial" w:cs="Arial" w:eastAsia="Arial" w:hAnsi="Arial"/>
          <w:sz w:val="16"/>
          <w:szCs w:val="16"/>
          <w:color w:val="222222"/>
        </w:rPr>
        <w:t>,</w:t>
      </w:r>
      <w:r>
        <w:rPr>
          <w:rFonts w:ascii="Arial" w:cs="Arial" w:eastAsia="Arial" w:hAnsi="Arial"/>
          <w:sz w:val="16"/>
          <w:szCs w:val="16"/>
          <w:color w:val="000000"/>
        </w:rPr>
        <w:t xml:space="preserve"> </w:t>
      </w:r>
      <w:r>
        <w:rPr>
          <w:rFonts w:ascii="Arial" w:cs="Arial" w:eastAsia="Arial" w:hAnsi="Arial"/>
          <w:sz w:val="16"/>
          <w:szCs w:val="16"/>
          <w:color w:val="222222"/>
        </w:rPr>
        <w:t xml:space="preserve">there was </w:t>
      </w:r>
      <w:r>
        <w:rPr>
          <w:rFonts w:ascii="Arial" w:cs="Arial" w:eastAsia="Arial" w:hAnsi="Arial"/>
          <w:sz w:val="16"/>
          <w:szCs w:val="16"/>
          <w:color w:val="000000"/>
        </w:rPr>
        <w:t>$2.2 million remaining capacity under the revolving line of credit. The distribution agreement with Orsini discussed in note 4 and the concentration</w:t>
      </w:r>
      <w:r>
        <w:rPr>
          <w:rFonts w:ascii="Arial" w:cs="Arial" w:eastAsia="Arial" w:hAnsi="Arial"/>
          <w:sz w:val="16"/>
          <w:szCs w:val="16"/>
          <w:color w:val="222222"/>
        </w:rPr>
        <w:t xml:space="preserve"> </w:t>
      </w:r>
      <w:r>
        <w:rPr>
          <w:rFonts w:ascii="Arial" w:cs="Arial" w:eastAsia="Arial" w:hAnsi="Arial"/>
          <w:sz w:val="16"/>
          <w:szCs w:val="16"/>
          <w:color w:val="000000"/>
        </w:rPr>
        <w:t>of credit limitations in the calculation of eligible account receivables could further reduce our ability to borrow under the revolving line of credit.</w:t>
      </w:r>
    </w:p>
    <w:p>
      <w:pPr>
        <w:spacing w:after="0" w:line="166"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While we believe that, based on our current cash on hand, we are in a position to sustain operations through at least August 2018, if actual results differ from our projections or we pursue other strategic opportunities, we may need to access additional capital. In addition, if our revenues do not meet the existing threshold set forth in the debt covenants, and we are unable to renegotiate those thresholds, SVB could call the debt immediately. Such events could result in the need for additional funds. However, we may not be able to obtain financing on acceptable terms or at all. The terms of any financing may adversely affect the holdings or the rights of our shareholders. If we need additional funds and we are unable to obtain funding on a timely basis, we may need to significantly curtail our operations including our research and development programs in an effort to provide sufficient funds to continue our operations, which could adversely affect our business prospects. Actual cash requirements may differ from projections and will depend on many factors, including continued scientific progress in our research and development programs, the scope and results of clinical trials, the time and costs involved in obtaining regulatory approvals, the costs involved in filing, prosecuting and enforcing patents, competing technological and market developments, costs of possible acquisition or development of complementary business activities, the cost of product launch and market acceptance of those products and commercialization of newly approved products.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At June 30, 2017, we were not party 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condensed consolidated financial statements are prepared in accordance with accounting principles generally accepted in the United States of America (GAAP). The preparation of these condensed consolidated financial statements requires the application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jc w:val="both"/>
        <w:spacing w:after="0" w:line="255" w:lineRule="auto"/>
        <w:rPr>
          <w:sz w:val="20"/>
          <w:szCs w:val="20"/>
          <w:color w:val="auto"/>
        </w:rPr>
      </w:pPr>
      <w:r>
        <w:rPr>
          <w:rFonts w:ascii="Arial" w:cs="Arial" w:eastAsia="Arial" w:hAnsi="Arial"/>
          <w:sz w:val="18"/>
          <w:szCs w:val="18"/>
          <w:color w:val="auto"/>
        </w:rPr>
        <w:t>of appropriate technical accounting rules and guidance, as well as the use of estimates. The application of these policies necessarily involves judgments regarding future events. These estimates and judgments, in and of themselves, could materially impact the condensed consolidated financial statements and disclosures based on varying assumptions. The accounting policies discussed in our Form 10-K for the fiscal year ended December 31, 2016 are considered by management to be the most important to an understanding of the consolidated financial statements because of their significance to the portrayal of our financial condition and results of operations. There have been no material changes to that information disclosed in our Annual Report during the six months ended June 30,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This report, including the documents that we incorporate by reference, contains forward-looking statements within the meaning of Section 27A of the Securities Act of 1933 and Section 21E of the Securities Exchange Act of 1934, as amended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“anticipates,” “estimates,” “plans,” “projects,” “trends,” “opportunity,” “comfortable,” “current,” “intention,” “position,” “assume,” “potential,” “outlook,” “remain,” “continue,” “maintain,” “sustain,” “seek,” “achieve,” “continuing,” “ongoing,” “expects,” “management believes,” “we believe,” “we intend” and similar words or phrases, or future or conditional verbs such as “will,” “would,” “should,” “could,” “may,” or similar expressions. Accordingly, these statements involve estimates, assumptions and uncertainties which could cause actual results to differ materially from those expressed in them. The factors described in our Annual Report, among others, could have a material adverse effect upon our business, results of operations and financial conditions.</w:t>
      </w:r>
    </w:p>
    <w:p>
      <w:pPr>
        <w:spacing w:after="0" w:line="18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Because the factors referred to in the preceding paragraph could cause actual results or outcomes to differ materially from those expressed in any forward-looking statements we make, you should not place undue reliance on any such forward-looking statements. Further, any forward-looking statement speaks only as of the date on which it is made, and 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These forward-looking statements include statements regarding:</w:t>
      </w:r>
    </w:p>
    <w:p>
      <w:pPr>
        <w:spacing w:after="0" w:line="216" w:lineRule="exact"/>
        <w:rPr>
          <w:sz w:val="20"/>
          <w:szCs w:val="20"/>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strategic collaborations with others;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capital needs and financing sources;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adequacy of existing capital to support operations for a specified time;</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development and marketing plans;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filing plans;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features and successes of our cellular therapies;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manufacturing and facility capabilities;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clinical trial plans, including publication thereof;</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anticipation of future losses;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replacement of manufacturing sources;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commercialization plans; or</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expectations and operating results.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As of June 30, 2017, we would not expect our operating results or cash flows to be affected to any significant degree by the effect of a sudden change in market interest rates or credit conditions on our securities portfolio. For additional information regarding our market risk, refer to Item 7A. Quantitative and Qualitative Disclosures About Market Risk in our Annual Report on Form 10-K for the year ended December 31,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The Company has established disclosure controls and procedures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management of the Company, with the participation of its Chief Executive Officer and Chief Financial Officer (its “Certifying Officers”), as appropriate, to allow timely decisions regarding required disclosure.</w:t>
      </w:r>
    </w:p>
    <w:p>
      <w:pPr>
        <w:spacing w:after="0" w:line="170" w:lineRule="exact"/>
        <w:rPr>
          <w:sz w:val="20"/>
          <w:szCs w:val="20"/>
          <w:color w:val="auto"/>
        </w:rPr>
      </w:pPr>
    </w:p>
    <w:p>
      <w:pPr>
        <w:jc w:val="both"/>
        <w:ind w:right="20" w:firstLine="230"/>
        <w:spacing w:after="0" w:line="264" w:lineRule="auto"/>
        <w:rPr>
          <w:sz w:val="20"/>
          <w:szCs w:val="20"/>
          <w:color w:val="auto"/>
        </w:rPr>
      </w:pPr>
      <w:r>
        <w:rPr>
          <w:rFonts w:ascii="Arial" w:cs="Arial" w:eastAsia="Arial" w:hAnsi="Arial"/>
          <w:sz w:val="18"/>
          <w:szCs w:val="18"/>
          <w:color w:val="auto"/>
        </w:rPr>
        <w:t>Management of the Company, with the participation of its Certifying Officers, evaluated the effectiveness of the Company’s disclosure controls and procedures as defined in Rules l3a-15(e) and l5d-15(e) under the Exchange Act. Based on the evaluation as of June 30, 2017, our Certifying Officers concluded that the Company’s disclosure controls and procedures were effective.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There have been no changes in internal control over financial reporting during the quarter ended June 30, 2017 that have materially affected, or are reasonably likely to materially affect, the Company’s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From time to time we receive threats or may be subject to litigation matters incidental to our business. However, we are not currently a party to any material pending legal proceedings.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There have been no material changes from the risk factors previously disclosed in the Company's Quarterly Report on Form 10-Q for the quarter ended March 31, 2017 and the risk factors found in Part I, Item 1A, "Risk Factors," of the Company's Annual Report on Form 10-K for the year ended December 31, 2016. The risks described in the Annual Report on Form 10-K and Quarterly Report on Form 10-Q for the quarter ended March 31, 2017 are not the only risks the Company faces. Additional risks and uncertainties not currently known or currently deemed to be immaterial also may materially and adversely affect the Company’s business, financial condition, results of operations or cash flows.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did not repurchase any of its equity securities during the quarter ended June 30,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Exhibits listed in the Exhibit Index immediately following the Signature, are filed as a part of this Quarterly Report on Form 10-Q.</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jc w:val="center"/>
        <w:ind w:right="-3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00"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2017</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VERICEL CORPORATION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6"/>
          <w:szCs w:val="16"/>
          <w:i w:val="1"/>
          <w:iCs w:val="1"/>
          <w:color w:val="auto"/>
        </w:rPr>
        <w:t>Chief Financial Officer and Vice President, Corporate Development</w:t>
      </w:r>
    </w:p>
    <w:p>
      <w:pPr>
        <w:spacing w:after="0" w:line="86"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240" w:top="580" w:right="6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2940"/>
              <w:spacing w:after="0"/>
              <w:rPr>
                <w:sz w:val="20"/>
                <w:szCs w:val="20"/>
                <w:color w:val="auto"/>
              </w:rPr>
            </w:pPr>
            <w:r>
              <w:rPr>
                <w:rFonts w:ascii="Arial" w:cs="Arial" w:eastAsia="Arial" w:hAnsi="Arial"/>
                <w:sz w:val="18"/>
                <w:szCs w:val="18"/>
                <w:b w:val="1"/>
                <w:bCs w:val="1"/>
                <w:color w:val="auto"/>
              </w:rPr>
              <w:t>EXHIBIT INDEX</w:t>
            </w:r>
          </w:p>
        </w:tc>
      </w:tr>
      <w:tr>
        <w:trPr>
          <w:trHeight w:val="548"/>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No.</w:t>
            </w:r>
          </w:p>
        </w:tc>
        <w:tc>
          <w:tcPr>
            <w:tcW w:w="460" w:type="dxa"/>
            <w:vAlign w:val="bottom"/>
          </w:tcPr>
          <w:p>
            <w:pPr>
              <w:spacing w:after="0"/>
              <w:rPr>
                <w:sz w:val="24"/>
                <w:szCs w:val="24"/>
                <w:color w:val="auto"/>
              </w:rPr>
            </w:pPr>
          </w:p>
        </w:tc>
        <w:tc>
          <w:tcPr>
            <w:tcW w:w="9340" w:type="dxa"/>
            <w:vAlign w:val="bottom"/>
            <w:tcBorders>
              <w:bottom w:val="single" w:sz="8" w:color="auto"/>
            </w:tcBorders>
          </w:tcPr>
          <w:p>
            <w:pPr>
              <w:ind w:left="4320"/>
              <w:spacing w:after="0"/>
              <w:rPr>
                <w:sz w:val="20"/>
                <w:szCs w:val="20"/>
                <w:color w:val="auto"/>
              </w:rPr>
            </w:pPr>
            <w:r>
              <w:rPr>
                <w:rFonts w:ascii="Arial" w:cs="Arial" w:eastAsia="Arial" w:hAnsi="Arial"/>
                <w:sz w:val="14"/>
                <w:szCs w:val="14"/>
                <w:b w:val="1"/>
                <w:bCs w:val="1"/>
                <w:color w:val="auto"/>
              </w:rPr>
              <w:t>Description</w:t>
            </w:r>
          </w:p>
        </w:tc>
      </w:tr>
      <w:tr>
        <w:trPr>
          <w:trHeight w:val="512"/>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10.1†</w:t>
            </w:r>
          </w:p>
        </w:tc>
        <w:tc>
          <w:tcPr>
            <w:tcW w:w="9340" w:type="dxa"/>
            <w:vAlign w:val="bottom"/>
          </w:tcPr>
          <w:p>
            <w:pPr>
              <w:ind w:left="20"/>
              <w:spacing w:after="0"/>
              <w:rPr>
                <w:sz w:val="20"/>
                <w:szCs w:val="20"/>
                <w:color w:val="auto"/>
              </w:rPr>
            </w:pPr>
            <w:r>
              <w:rPr>
                <w:rFonts w:ascii="Arial" w:cs="Arial" w:eastAsia="Arial" w:hAnsi="Arial"/>
                <w:sz w:val="18"/>
                <w:szCs w:val="18"/>
                <w:color w:val="auto"/>
                <w:w w:val="92"/>
              </w:rPr>
              <w:t>Form of Warrant issued by the Company to Innovative Cellular Therapeutics CO., LTD., filed as Exhibit 10.1 to the Company’s</w:t>
            </w: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Current Report on Form 8-K filed on May 15, 2017, incorporated herein by reference.</w:t>
            </w:r>
          </w:p>
        </w:tc>
      </w:tr>
      <w:tr>
        <w:trPr>
          <w:trHeight w:val="539"/>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10.2†</w:t>
            </w:r>
          </w:p>
        </w:tc>
        <w:tc>
          <w:tcPr>
            <w:tcW w:w="9340" w:type="dxa"/>
            <w:vAlign w:val="bottom"/>
          </w:tcPr>
          <w:p>
            <w:pPr>
              <w:ind w:left="20"/>
              <w:spacing w:after="0"/>
              <w:rPr>
                <w:sz w:val="20"/>
                <w:szCs w:val="20"/>
                <w:color w:val="auto"/>
              </w:rPr>
            </w:pPr>
            <w:r>
              <w:rPr>
                <w:rFonts w:ascii="Arial" w:cs="Arial" w:eastAsia="Arial" w:hAnsi="Arial"/>
                <w:sz w:val="18"/>
                <w:szCs w:val="18"/>
                <w:color w:val="auto"/>
                <w:w w:val="92"/>
              </w:rPr>
              <w:t>Second Loan Modification Agreement dated May 9, 2017 between Vericel Corporation, as borrower, Silicon Valley Bank, in its</w:t>
            </w:r>
          </w:p>
        </w:tc>
      </w:tr>
      <w:tr>
        <w:trPr>
          <w:trHeight w:val="216"/>
        </w:trPr>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7"/>
              </w:rPr>
              <w:t>capacity as Administrative Agent, and Silicon Valley Bank, MidCap Funding IV Trust, MidCap Funding III Trust, and ELM</w:t>
            </w:r>
          </w:p>
        </w:tc>
      </w:tr>
      <w:tr>
        <w:trPr>
          <w:trHeight w:val="216"/>
        </w:trPr>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2016-1 Trust as lenders, filed as Exhibit 10.1 to the Company’s Current Report on Form 8-K/A filed on June 2, 2017,</w:t>
            </w: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incorporated herein by reference.</w:t>
            </w:r>
          </w:p>
        </w:tc>
      </w:tr>
      <w:tr>
        <w:trPr>
          <w:trHeight w:val="539"/>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10.3†</w:t>
            </w:r>
          </w:p>
        </w:tc>
        <w:tc>
          <w:tcPr>
            <w:tcW w:w="9340" w:type="dxa"/>
            <w:vAlign w:val="bottom"/>
          </w:tcPr>
          <w:p>
            <w:pPr>
              <w:ind w:left="20"/>
              <w:spacing w:after="0"/>
              <w:rPr>
                <w:sz w:val="20"/>
                <w:szCs w:val="20"/>
                <w:color w:val="auto"/>
              </w:rPr>
            </w:pPr>
            <w:r>
              <w:rPr>
                <w:rFonts w:ascii="Arial" w:cs="Arial" w:eastAsia="Arial" w:hAnsi="Arial"/>
                <w:sz w:val="18"/>
                <w:szCs w:val="18"/>
                <w:color w:val="auto"/>
                <w:w w:val="93"/>
              </w:rPr>
              <w:t>License Agreement between Vericel Corporation and Innovative Cellular Therapeutics CO., LTD., dated May 9, 2017, filed as</w:t>
            </w: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9"/>
              </w:rPr>
              <w:t>Exhibit 10.2 to the Company’s Current Report on Form 8-K/A filed on June 2, 2017, incorporated herein by reference.</w:t>
            </w:r>
          </w:p>
        </w:tc>
      </w:tr>
      <w:tr>
        <w:trPr>
          <w:trHeight w:val="755"/>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10.4†</w:t>
            </w:r>
          </w:p>
        </w:tc>
        <w:tc>
          <w:tcPr>
            <w:tcW w:w="9340" w:type="dxa"/>
            <w:vAlign w:val="bottom"/>
          </w:tcPr>
          <w:p>
            <w:pPr>
              <w:ind w:left="20"/>
              <w:spacing w:after="0"/>
              <w:rPr>
                <w:sz w:val="20"/>
                <w:szCs w:val="20"/>
                <w:color w:val="auto"/>
              </w:rPr>
            </w:pPr>
            <w:r>
              <w:rPr>
                <w:rFonts w:ascii="Arial" w:cs="Arial" w:eastAsia="Arial" w:hAnsi="Arial"/>
                <w:sz w:val="18"/>
                <w:szCs w:val="18"/>
                <w:color w:val="auto"/>
                <w:w w:val="94"/>
              </w:rPr>
              <w:t>Side Letter between Vericel Corporation and Innovative Cellular Therapeutics CO., LTD., dated May 8, 2017, filed as Exhibit</w:t>
            </w: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10.3 to the Company’s Current Report on Form 8-K/A filed on June 2, 2017, incorporated herein by reference.</w:t>
            </w:r>
          </w:p>
        </w:tc>
      </w:tr>
      <w:tr>
        <w:trPr>
          <w:trHeight w:val="580"/>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10.5†</w:t>
            </w:r>
          </w:p>
        </w:tc>
        <w:tc>
          <w:tcPr>
            <w:tcW w:w="9340" w:type="dxa"/>
            <w:vAlign w:val="bottom"/>
          </w:tcPr>
          <w:p>
            <w:pPr>
              <w:ind w:left="20"/>
              <w:spacing w:after="0"/>
              <w:rPr>
                <w:sz w:val="20"/>
                <w:szCs w:val="20"/>
                <w:color w:val="auto"/>
              </w:rPr>
            </w:pPr>
            <w:r>
              <w:rPr>
                <w:rFonts w:ascii="Arial" w:cs="Arial" w:eastAsia="Arial" w:hAnsi="Arial"/>
                <w:sz w:val="18"/>
                <w:szCs w:val="18"/>
                <w:color w:val="auto"/>
                <w:w w:val="93"/>
              </w:rPr>
              <w:t>Distribution Agreement by and between Orsini Pharmaceutical Services, Inc. and the Company, dated May 15, 2017, filed as</w:t>
            </w: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9"/>
              </w:rPr>
              <w:t>Exhibit 10.1 to the Company’s Current Report on Form 8-K/A filed on June 2, 2017, incorporated herein by reference.</w:t>
            </w:r>
          </w:p>
        </w:tc>
      </w:tr>
      <w:tr>
        <w:trPr>
          <w:trHeight w:val="580"/>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10.6†</w:t>
            </w:r>
          </w:p>
        </w:tc>
        <w:tc>
          <w:tcPr>
            <w:tcW w:w="9340" w:type="dxa"/>
            <w:vAlign w:val="bottom"/>
          </w:tcPr>
          <w:p>
            <w:pPr>
              <w:ind w:left="20"/>
              <w:spacing w:after="0"/>
              <w:rPr>
                <w:sz w:val="20"/>
                <w:szCs w:val="20"/>
                <w:color w:val="auto"/>
              </w:rPr>
            </w:pPr>
            <w:r>
              <w:rPr>
                <w:rFonts w:ascii="Arial" w:cs="Arial" w:eastAsia="Arial" w:hAnsi="Arial"/>
                <w:sz w:val="18"/>
                <w:szCs w:val="18"/>
                <w:color w:val="auto"/>
                <w:w w:val="94"/>
              </w:rPr>
              <w:t>Fifth Amendment, dated May 15, 2017, to the Services Agreement by and between the Company and Dohmen Life Science</w:t>
            </w:r>
          </w:p>
        </w:tc>
      </w:tr>
      <w:tr>
        <w:trPr>
          <w:trHeight w:val="216"/>
        </w:trPr>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2"/>
              </w:rPr>
              <w:t>Services, LLC, dated April 5, 2016, as amended, filed as Exhibit 10.2 to the Company’s Current Report on Form 8-K/A filed on</w:t>
            </w: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June 2, 2017, incorporated herein by reference.</w:t>
            </w:r>
          </w:p>
        </w:tc>
      </w:tr>
      <w:tr>
        <w:trPr>
          <w:trHeight w:val="594"/>
        </w:trPr>
        <w:tc>
          <w:tcPr>
            <w:tcW w:w="1620" w:type="dxa"/>
            <w:vAlign w:val="bottom"/>
          </w:tcPr>
          <w:p>
            <w:pPr>
              <w:jc w:val="center"/>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540"/>
        </w:trPr>
        <w:tc>
          <w:tcPr>
            <w:tcW w:w="1620" w:type="dxa"/>
            <w:vAlign w:val="bottom"/>
          </w:tcPr>
          <w:p>
            <w:pPr>
              <w:jc w:val="center"/>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540"/>
        </w:trPr>
        <w:tc>
          <w:tcPr>
            <w:tcW w:w="1620" w:type="dxa"/>
            <w:vAlign w:val="bottom"/>
          </w:tcPr>
          <w:p>
            <w:pPr>
              <w:jc w:val="center"/>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594"/>
        </w:trPr>
        <w:tc>
          <w:tcPr>
            <w:tcW w:w="1620" w:type="dxa"/>
            <w:vAlign w:val="bottom"/>
          </w:tcPr>
          <w:p>
            <w:pPr>
              <w:jc w:val="center"/>
              <w:spacing w:after="0"/>
              <w:rPr>
                <w:sz w:val="20"/>
                <w:szCs w:val="20"/>
                <w:color w:val="auto"/>
              </w:rPr>
            </w:pPr>
            <w:r>
              <w:rPr>
                <w:rFonts w:ascii="Arial" w:cs="Arial" w:eastAsia="Arial" w:hAnsi="Arial"/>
                <w:sz w:val="18"/>
                <w:szCs w:val="18"/>
                <w:color w:val="auto"/>
              </w:rPr>
              <w:t>32.2**</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540"/>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8"/>
              </w:rPr>
              <w:t>101.INS**</w:t>
            </w:r>
          </w:p>
        </w:tc>
        <w:tc>
          <w:tcPr>
            <w:tcW w:w="934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40"/>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8"/>
              </w:rPr>
              <w:t>101.SCH**</w:t>
            </w:r>
          </w:p>
        </w:tc>
        <w:tc>
          <w:tcPr>
            <w:tcW w:w="934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rPr>
              <w:t>101.CAL**</w:t>
            </w:r>
          </w:p>
        </w:tc>
        <w:tc>
          <w:tcPr>
            <w:tcW w:w="934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rPr>
              <w:t>101.LAB**</w:t>
            </w:r>
          </w:p>
        </w:tc>
        <w:tc>
          <w:tcPr>
            <w:tcW w:w="934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101.PRE**</w:t>
            </w:r>
          </w:p>
        </w:tc>
        <w:tc>
          <w:tcPr>
            <w:tcW w:w="934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594"/>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6"/>
              </w:rPr>
              <w:t>101 DEF**</w:t>
            </w:r>
          </w:p>
        </w:tc>
        <w:tc>
          <w:tcPr>
            <w:tcW w:w="934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459"/>
        </w:trPr>
        <w:tc>
          <w:tcPr>
            <w:tcW w:w="2080" w:type="dxa"/>
            <w:vAlign w:val="bottom"/>
            <w:gridSpan w:val="2"/>
          </w:tcPr>
          <w:p>
            <w:pPr>
              <w:spacing w:after="0"/>
              <w:rPr>
                <w:sz w:val="20"/>
                <w:szCs w:val="20"/>
                <w:color w:val="auto"/>
              </w:rPr>
            </w:pPr>
            <w:r>
              <w:rPr>
                <w:rFonts w:ascii="Arial" w:cs="Arial" w:eastAsia="Arial" w:hAnsi="Arial"/>
                <w:sz w:val="18"/>
                <w:szCs w:val="18"/>
                <w:color w:val="auto"/>
              </w:rPr>
              <w:t>** Filed herewith.</w:t>
            </w:r>
          </w:p>
        </w:tc>
        <w:tc>
          <w:tcPr>
            <w:tcW w:w="9340" w:type="dxa"/>
            <w:vAlign w:val="bottom"/>
          </w:tcPr>
          <w:p>
            <w:pPr>
              <w:spacing w:after="0"/>
              <w:rPr>
                <w:sz w:val="24"/>
                <w:szCs w:val="24"/>
                <w:color w:val="auto"/>
              </w:rPr>
            </w:pPr>
          </w:p>
        </w:tc>
      </w:tr>
    </w:tbl>
    <w:p>
      <w:pPr>
        <w:spacing w:after="0" w:line="202" w:lineRule="exact"/>
        <w:rPr>
          <w:sz w:val="20"/>
          <w:szCs w:val="20"/>
          <w:color w:val="auto"/>
        </w:rPr>
      </w:pPr>
    </w:p>
    <w:p>
      <w:pPr>
        <w:ind w:right="440" w:firstLine="8"/>
        <w:spacing w:after="0" w:line="277" w:lineRule="auto"/>
        <w:tabs>
          <w:tab w:leader="none" w:pos="1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Confidential treatment has been requested as to certain portions thereto, which portions are omitted and will be filed separately with the Securities and Exchange Commission.</w:t>
      </w:r>
    </w:p>
    <w:p>
      <w:pPr>
        <w:sectPr>
          <w:pgSz w:w="11900" w:h="16838" w:orient="portrait"/>
          <w:cols w:equalWidth="0" w:num="1">
            <w:col w:w="11420"/>
          </w:cols>
          <w:pgMar w:left="240" w:top="580"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580" w:right="239" w:bottom="144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Dominick C. Colangelo, certify that:</w:t>
      </w:r>
    </w:p>
    <w:p>
      <w:pPr>
        <w:spacing w:after="0" w:line="225" w:lineRule="exact"/>
        <w:rPr>
          <w:sz w:val="20"/>
          <w:szCs w:val="20"/>
          <w:color w:val="auto"/>
        </w:rPr>
      </w:pPr>
    </w:p>
    <w:p>
      <w:pPr>
        <w:ind w:left="820" w:hanging="488"/>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65" w:lineRule="exact"/>
        <w:rPr>
          <w:rFonts w:ascii="Arial" w:cs="Arial" w:eastAsia="Arial" w:hAnsi="Arial"/>
          <w:sz w:val="18"/>
          <w:szCs w:val="18"/>
          <w:color w:val="auto"/>
        </w:rPr>
      </w:pPr>
    </w:p>
    <w:p>
      <w:pPr>
        <w:ind w:right="120" w:firstLine="332"/>
        <w:spacing w:after="0" w:line="395" w:lineRule="auto"/>
        <w:tabs>
          <w:tab w:leader="none" w:pos="815"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100" w:firstLine="332"/>
        <w:spacing w:after="0" w:line="324"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820" w:hanging="488"/>
        <w:spacing w:after="0"/>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right="180" w:firstLine="1169"/>
        <w:spacing w:after="0" w:line="264" w:lineRule="auto"/>
        <w:tabs>
          <w:tab w:leader="none" w:pos="1406"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1169"/>
        <w:spacing w:after="0" w:line="264" w:lineRule="auto"/>
        <w:tabs>
          <w:tab w:leader="none" w:pos="1416"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00" w:firstLine="1169"/>
        <w:spacing w:after="0" w:line="308" w:lineRule="auto"/>
        <w:tabs>
          <w:tab w:leader="none" w:pos="1406"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260" w:firstLine="1169"/>
        <w:spacing w:after="0" w:line="264" w:lineRule="auto"/>
        <w:tabs>
          <w:tab w:leader="none" w:pos="1416"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332"/>
        <w:spacing w:after="0" w:line="357" w:lineRule="auto"/>
        <w:tabs>
          <w:tab w:leader="none" w:pos="81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520" w:firstLine="1169"/>
        <w:spacing w:after="0" w:line="308" w:lineRule="auto"/>
        <w:tabs>
          <w:tab w:leader="none" w:pos="1396"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00" w:firstLine="1169"/>
        <w:spacing w:after="0" w:line="277" w:lineRule="auto"/>
        <w:tabs>
          <w:tab w:leader="none" w:pos="140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 August 9, 2017</w:t>
      </w:r>
    </w:p>
    <w:p>
      <w:pPr>
        <w:spacing w:after="0" w:line="38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Gerard Michel, certify that:</w:t>
      </w:r>
    </w:p>
    <w:p>
      <w:pPr>
        <w:spacing w:after="0" w:line="225" w:lineRule="exact"/>
        <w:rPr>
          <w:sz w:val="20"/>
          <w:szCs w:val="20"/>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65" w:lineRule="exact"/>
        <w:rPr>
          <w:rFonts w:ascii="Arial" w:cs="Arial" w:eastAsia="Arial" w:hAnsi="Arial"/>
          <w:sz w:val="18"/>
          <w:szCs w:val="18"/>
          <w:color w:val="auto"/>
        </w:rPr>
      </w:pPr>
    </w:p>
    <w:p>
      <w:pPr>
        <w:ind w:right="120" w:firstLine="332"/>
        <w:spacing w:after="0" w:line="395" w:lineRule="auto"/>
        <w:tabs>
          <w:tab w:leader="none" w:pos="815"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100" w:firstLine="332"/>
        <w:spacing w:after="0" w:line="324" w:lineRule="auto"/>
        <w:tabs>
          <w:tab w:leader="none" w:pos="8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right="40" w:firstLine="1102"/>
        <w:spacing w:after="0" w:line="264" w:lineRule="auto"/>
        <w:tabs>
          <w:tab w:leader="none" w:pos="133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1102"/>
        <w:spacing w:after="0" w:line="264" w:lineRule="auto"/>
        <w:tabs>
          <w:tab w:leader="none" w:pos="134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1102"/>
        <w:spacing w:after="0" w:line="308" w:lineRule="auto"/>
        <w:tabs>
          <w:tab w:leader="none" w:pos="1339"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40" w:firstLine="1102"/>
        <w:spacing w:after="0" w:line="264" w:lineRule="auto"/>
        <w:tabs>
          <w:tab w:leader="none" w:pos="134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332"/>
        <w:spacing w:after="0" w:line="357" w:lineRule="auto"/>
        <w:tabs>
          <w:tab w:leader="none" w:pos="8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1102"/>
        <w:spacing w:after="0" w:line="308" w:lineRule="auto"/>
        <w:tabs>
          <w:tab w:leader="none" w:pos="1329"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80" w:firstLine="1102"/>
        <w:spacing w:after="0" w:line="277" w:lineRule="auto"/>
        <w:tabs>
          <w:tab w:leader="none" w:pos="133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 August 9, 2017</w:t>
      </w:r>
    </w:p>
    <w:p>
      <w:pPr>
        <w:spacing w:after="0" w:line="38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80"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00" w:firstLine="351"/>
        <w:spacing w:after="0" w:line="264" w:lineRule="auto"/>
        <w:rPr>
          <w:sz w:val="20"/>
          <w:szCs w:val="20"/>
          <w:color w:val="auto"/>
        </w:rPr>
      </w:pPr>
      <w:r>
        <w:rPr>
          <w:rFonts w:ascii="Arial" w:cs="Arial" w:eastAsia="Arial" w:hAnsi="Arial"/>
          <w:sz w:val="18"/>
          <w:szCs w:val="18"/>
          <w:color w:val="auto"/>
        </w:rPr>
        <w:t>In connection with the Quarterly Report of Vericel Corporation (the “Company”) on Form 10-Q for the quarter ended June 30, 2017,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1" w:lineRule="exact"/>
        <w:rPr>
          <w:sz w:val="20"/>
          <w:szCs w:val="20"/>
          <w:color w:val="auto"/>
        </w:rPr>
      </w:pPr>
    </w:p>
    <w:p>
      <w:pPr>
        <w:ind w:left="700" w:hanging="368"/>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65" w:lineRule="exact"/>
        <w:rPr>
          <w:rFonts w:ascii="Arial" w:cs="Arial" w:eastAsia="Arial" w:hAnsi="Arial"/>
          <w:sz w:val="18"/>
          <w:szCs w:val="18"/>
          <w:color w:val="auto"/>
        </w:rPr>
      </w:pPr>
    </w:p>
    <w:p>
      <w:pPr>
        <w:ind w:right="280" w:firstLine="332"/>
        <w:spacing w:after="0" w:line="575" w:lineRule="auto"/>
        <w:tabs>
          <w:tab w:leader="none" w:pos="6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9, 2017</w:t>
      </w:r>
    </w:p>
    <w:p>
      <w:pPr>
        <w:spacing w:after="0" w:line="7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00" w:firstLine="351"/>
        <w:spacing w:after="0" w:line="264" w:lineRule="auto"/>
        <w:rPr>
          <w:sz w:val="20"/>
          <w:szCs w:val="20"/>
          <w:color w:val="auto"/>
        </w:rPr>
      </w:pPr>
      <w:r>
        <w:rPr>
          <w:rFonts w:ascii="Arial" w:cs="Arial" w:eastAsia="Arial" w:hAnsi="Arial"/>
          <w:sz w:val="18"/>
          <w:szCs w:val="18"/>
          <w:color w:val="auto"/>
        </w:rPr>
        <w:t>In connection with the Quarterly Report of Vericel Corporation (the “Company”) on Form 10-Q for the quarter ended June 30, 2017,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1" w:lineRule="exact"/>
        <w:rPr>
          <w:sz w:val="20"/>
          <w:szCs w:val="20"/>
          <w:color w:val="auto"/>
        </w:rPr>
      </w:pPr>
    </w:p>
    <w:p>
      <w:pPr>
        <w:ind w:left="700" w:hanging="368"/>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65" w:lineRule="exact"/>
        <w:rPr>
          <w:rFonts w:ascii="Arial" w:cs="Arial" w:eastAsia="Arial" w:hAnsi="Arial"/>
          <w:sz w:val="18"/>
          <w:szCs w:val="18"/>
          <w:color w:val="auto"/>
        </w:rPr>
      </w:pPr>
    </w:p>
    <w:p>
      <w:pPr>
        <w:ind w:right="280" w:firstLine="332"/>
        <w:spacing w:after="0" w:line="575" w:lineRule="auto"/>
        <w:tabs>
          <w:tab w:leader="none" w:pos="68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9, 2017</w:t>
      </w:r>
    </w:p>
    <w:p>
      <w:pPr>
        <w:spacing w:after="0" w:line="7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2"/>
    </w:lvl>
  </w:abstractNum>
  <w:abstractNum w:abstractNumId="3">
    <w:nsid w:val="66EF438D"/>
    <w:multiLevelType w:val="hybridMultilevel"/>
    <w:lvl w:ilvl="0">
      <w:lvlJc w:val="left"/>
      <w:lvlText w:val="%1."/>
      <w:numFmt w:val="decimal"/>
      <w:start w:val="3"/>
    </w:lvl>
  </w:abstractNum>
  <w:abstractNum w:abstractNumId="4">
    <w:nsid w:val="140E0F76"/>
    <w:multiLevelType w:val="hybridMultilevel"/>
    <w:lvl w:ilvl="0">
      <w:lvlJc w:val="left"/>
      <w:lvlText w:val="%1."/>
      <w:numFmt w:val="decimal"/>
      <w:start w:val="6"/>
    </w:lvl>
  </w:abstractNum>
  <w:abstractNum w:abstractNumId="5">
    <w:nsid w:val="3352255A"/>
    <w:multiLevelType w:val="hybridMultilevel"/>
    <w:lvl w:ilvl="0">
      <w:lvlJc w:val="left"/>
      <w:lvlText w:val="%1."/>
      <w:numFmt w:val="decimal"/>
      <w:start w:val="7"/>
    </w:lvl>
  </w:abstractNum>
  <w:abstractNum w:abstractNumId="6">
    <w:nsid w:val="109CF92E"/>
    <w:multiLevelType w:val="hybridMultilevel"/>
    <w:lvl w:ilvl="0">
      <w:lvlJc w:val="left"/>
      <w:lvlText w:val="%1."/>
      <w:numFmt w:val="decimal"/>
      <w:start w:val="7"/>
    </w:lvl>
  </w:abstractNum>
  <w:abstractNum w:abstractNumId="7">
    <w:nsid w:val="DED7263"/>
    <w:multiLevelType w:val="hybridMultilevel"/>
    <w:lvl w:ilvl="0">
      <w:lvlJc w:val="left"/>
      <w:lvlText w:val="%1."/>
      <w:numFmt w:val="decimal"/>
      <w:start w:val="8"/>
    </w:lvl>
  </w:abstractNum>
  <w:abstractNum w:abstractNumId="8">
    <w:nsid w:val="7FDCC233"/>
    <w:multiLevelType w:val="hybridMultilevel"/>
    <w:lvl w:ilvl="0">
      <w:lvlJc w:val="left"/>
      <w:lvlText w:val="%1."/>
      <w:numFmt w:val="decimal"/>
      <w:start w:val="9"/>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lvl w:ilvl="1">
      <w:lvlJc w:val="left"/>
      <w:lvlText w:val="(%2)"/>
      <w:numFmt w:val="lowerLetter"/>
      <w:start w:val="1"/>
    </w:lvl>
  </w:abstractNum>
  <w:abstractNum w:abstractNumId="14">
    <w:nsid w:val="519B500D"/>
    <w:multiLevelType w:val="hybridMultilevel"/>
    <w:lvl w:ilvl="0">
      <w:lvlJc w:val="left"/>
      <w:lvlText w:val="%1."/>
      <w:numFmt w:val="decimal"/>
      <w:start w:val="5"/>
    </w:lvl>
    <w:lvl w:ilvl="1">
      <w:lvlJc w:val="left"/>
      <w:lvlText w:val="(%2)"/>
      <w:numFmt w:val="lowerLetter"/>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5"/>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2019-12-29T05:11:46Z</dcterms:created>
  <dcterms:modified xsi:type="dcterms:W3CDTF">2019-12-29T05:11:46Z</dcterms:modified>
</cp:coreProperties>
</file>