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397510</wp:posOffset>
            </wp:positionV>
            <wp:extent cx="72123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9"/>
          <w:szCs w:val="19"/>
          <w:color w:val="auto"/>
        </w:rPr>
      </w:pPr>
      <w:r>
        <w:rPr>
          <w:rFonts w:ascii="Arial" w:cs="Arial" w:eastAsia="Arial" w:hAnsi="Arial"/>
          <w:sz w:val="21"/>
          <w:szCs w:val="21"/>
          <w:b w:val="1"/>
          <w:bCs w:val="1"/>
          <w:color w:val="auto"/>
        </w:rPr>
        <w:t>QUARTERLY REPORT PURSUANT TO SECTION 13 OR 15(D) OF THE SECURITIES EXCHANGE ACT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1934</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right="260" w:firstLine="324"/>
        <w:spacing w:after="0" w:line="250"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jc w:val="center"/>
        <w:ind w:right="-19"/>
        <w:spacing w:after="0" w:line="197" w:lineRule="auto"/>
        <w:rPr>
          <w:sz w:val="20"/>
          <w:szCs w:val="20"/>
          <w:color w:val="auto"/>
        </w:rPr>
      </w:pPr>
      <w:r>
        <w:rPr>
          <w:rFonts w:ascii="Arial" w:cs="Arial" w:eastAsia="Arial" w:hAnsi="Arial"/>
          <w:sz w:val="18"/>
          <w:szCs w:val="18"/>
          <w:b w:val="1"/>
          <w:bCs w:val="1"/>
          <w:color w:val="auto"/>
        </w:rPr>
        <w:t>Commission file number 001-35280</w:t>
      </w:r>
    </w:p>
    <w:p>
      <w:pPr>
        <w:jc w:val="center"/>
        <w:ind w:right="-1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921" w:right="239" w:bottom="1440" w:gutter="0" w:footer="0" w:header="0"/>
        </w:sectPr>
      </w:pPr>
    </w:p>
    <w:p>
      <w:pPr>
        <w:spacing w:after="0" w:line="300"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7540" w:space="720"/>
            <w:col w:w="3160"/>
          </w:cols>
          <w:pgMar w:left="240" w:top="921" w:right="2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360" w:space="720"/>
            <w:col w:w="3340"/>
          </w:cols>
          <w:pgMar w:left="240" w:top="921" w:right="23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320" w:space="720"/>
            <w:col w:w="3380"/>
          </w:cols>
          <w:pgMar w:left="240" w:top="921" w:right="239" w:bottom="1440" w:gutter="0" w:footer="0" w:header="0"/>
          <w:type w:val="continuous"/>
        </w:sectPr>
      </w:pP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 Sidney Street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 02139</w:t>
      </w:r>
    </w:p>
    <w:p>
      <w:pPr>
        <w:sectPr>
          <w:pgSz w:w="11900" w:h="16838" w:orient="portrait"/>
          <w:cols w:equalWidth="0" w:num="1">
            <w:col w:w="11420"/>
          </w:cols>
          <w:pgMar w:left="240" w:top="921" w:right="239" w:bottom="1440" w:gutter="0" w:footer="0" w:header="0"/>
          <w:type w:val="continuous"/>
        </w:sectPr>
      </w:pP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p>
      <w:pPr>
        <w:ind w:right="14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jc w:val="both"/>
        <w:ind w:firstLine="243"/>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298" w:lineRule="exact"/>
        <w:rPr>
          <w:sz w:val="24"/>
          <w:szCs w:val="24"/>
          <w:color w:val="auto"/>
        </w:rPr>
      </w:pPr>
    </w:p>
    <w:p>
      <w:pPr>
        <w:ind w:right="240" w:firstLine="243"/>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21" w:right="239" w:bottom="1440" w:gutter="0" w:footer="0" w:header="0"/>
          <w:type w:val="continuous"/>
        </w:sectPr>
      </w:pPr>
    </w:p>
    <w:p>
      <w:pPr>
        <w:spacing w:after="0" w:line="323"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Large accelerated filer - o</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 o</w:t>
      </w:r>
    </w:p>
    <w:p>
      <w:pPr>
        <w:spacing w:after="0" w:line="200" w:lineRule="exact"/>
        <w:rPr>
          <w:sz w:val="24"/>
          <w:szCs w:val="24"/>
          <w:color w:val="auto"/>
        </w:rPr>
      </w:pPr>
    </w:p>
    <w:p>
      <w:pPr>
        <w:sectPr>
          <w:pgSz w:w="11900" w:h="16838" w:orient="portrait"/>
          <w:cols w:equalWidth="0" w:num="2">
            <w:col w:w="7240" w:space="720"/>
            <w:col w:w="3460"/>
          </w:cols>
          <w:pgMar w:left="240" w:top="921" w:right="239" w:bottom="1440" w:gutter="0" w:footer="0" w:header="0"/>
          <w:type w:val="continuous"/>
        </w:sectPr>
      </w:pPr>
    </w:p>
    <w:p>
      <w:pPr>
        <w:spacing w:after="0" w:line="156"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Non-accelerated filer -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x</w:t>
      </w:r>
    </w:p>
    <w:p>
      <w:pPr>
        <w:spacing w:after="0" w:line="86" w:lineRule="exact"/>
        <w:rPr>
          <w:sz w:val="24"/>
          <w:szCs w:val="24"/>
          <w:color w:val="auto"/>
        </w:rPr>
      </w:pPr>
    </w:p>
    <w:p>
      <w:pPr>
        <w:sectPr>
          <w:pgSz w:w="11900" w:h="16838" w:orient="portrait"/>
          <w:cols w:equalWidth="0" w:num="2">
            <w:col w:w="6860" w:space="720"/>
            <w:col w:w="3840"/>
          </w:cols>
          <w:pgMar w:left="240" w:top="921"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921" w:right="239" w:bottom="1440" w:gutter="0" w:footer="0" w:header="0"/>
          <w:type w:val="continuous"/>
        </w:sectPr>
      </w:pPr>
    </w:p>
    <w:p>
      <w:pPr>
        <w:spacing w:after="0" w:line="27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COMMON STOCK, NO PAR VALUE</w:t>
            </w:r>
          </w:p>
        </w:tc>
        <w:tc>
          <w:tcPr>
            <w:tcW w:w="5360" w:type="dxa"/>
            <w:vAlign w:val="bottom"/>
          </w:tcPr>
          <w:p>
            <w:pPr>
              <w:jc w:val="right"/>
              <w:ind w:right="2170"/>
              <w:spacing w:after="0"/>
              <w:rPr>
                <w:sz w:val="20"/>
                <w:szCs w:val="20"/>
                <w:color w:val="auto"/>
              </w:rPr>
            </w:pPr>
            <w:r>
              <w:rPr>
                <w:rFonts w:ascii="Arial" w:cs="Arial" w:eastAsia="Arial" w:hAnsi="Arial"/>
                <w:sz w:val="18"/>
                <w:szCs w:val="18"/>
                <w:b w:val="1"/>
                <w:bCs w:val="1"/>
                <w:color w:val="auto"/>
              </w:rPr>
              <w:t>23,787,870</w:t>
            </w:r>
          </w:p>
        </w:tc>
      </w:tr>
      <w:tr>
        <w:trPr>
          <w:trHeight w:val="270"/>
        </w:trPr>
        <w:tc>
          <w:tcPr>
            <w:tcW w:w="5740" w:type="dxa"/>
            <w:vAlign w:val="bottom"/>
          </w:tcPr>
          <w:p>
            <w:pPr>
              <w:jc w:val="center"/>
              <w:ind w:right="290"/>
              <w:spacing w:after="0"/>
              <w:rPr>
                <w:sz w:val="20"/>
                <w:szCs w:val="20"/>
                <w:color w:val="auto"/>
              </w:rPr>
            </w:pPr>
            <w:r>
              <w:rPr>
                <w:rFonts w:ascii="Arial" w:cs="Arial" w:eastAsia="Arial" w:hAnsi="Arial"/>
                <w:sz w:val="18"/>
                <w:szCs w:val="18"/>
                <w:color w:val="auto"/>
                <w:w w:val="91"/>
              </w:rPr>
              <w:t>(Class)</w:t>
            </w: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Outstanding at August 6, 2015</w:t>
            </w:r>
          </w:p>
        </w:tc>
      </w:tr>
      <w:tr>
        <w:trPr>
          <w:trHeight w:val="655"/>
        </w:trPr>
        <w:tc>
          <w:tcPr>
            <w:tcW w:w="57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169"/>
        </w:trPr>
        <w:tc>
          <w:tcPr>
            <w:tcW w:w="5740" w:type="dxa"/>
            <w:vAlign w:val="bottom"/>
            <w:tcBorders>
              <w:bottom w:val="single" w:sz="8" w:color="auto"/>
            </w:tcBorders>
          </w:tcPr>
          <w:p>
            <w:pPr>
              <w:spacing w:after="0"/>
              <w:rPr>
                <w:sz w:val="14"/>
                <w:szCs w:val="14"/>
                <w:color w:val="auto"/>
              </w:rPr>
            </w:pPr>
          </w:p>
        </w:tc>
        <w:tc>
          <w:tcPr>
            <w:tcW w:w="536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921"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0" w:type="dxa"/>
            <w:vAlign w:val="bottom"/>
            <w:gridSpan w:val="9"/>
          </w:tcPr>
          <w:p>
            <w:pPr>
              <w:jc w:val="center"/>
              <w:ind w:right="3220"/>
              <w:spacing w:after="0"/>
              <w:rPr>
                <w:sz w:val="20"/>
                <w:szCs w:val="20"/>
                <w:color w:val="auto"/>
              </w:rPr>
            </w:pPr>
            <w:r>
              <w:rPr>
                <w:rFonts w:ascii="Arial" w:cs="Arial" w:eastAsia="Arial" w:hAnsi="Arial"/>
                <w:sz w:val="18"/>
                <w:szCs w:val="18"/>
                <w:b w:val="1"/>
                <w:bCs w:val="1"/>
                <w:color w:val="auto"/>
              </w:rPr>
              <w:t>VERICEL CORPORATION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0" w:type="dxa"/>
            <w:vAlign w:val="bottom"/>
            <w:gridSpan w:val="9"/>
          </w:tcPr>
          <w:p>
            <w:pPr>
              <w:jc w:val="center"/>
              <w:ind w:right="322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11180" w:type="dxa"/>
            <w:vAlign w:val="bottom"/>
            <w:gridSpan w:val="17"/>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June 30, 2015 and December 31, 2014</w:t>
              </w:r>
            </w:hyperlink>
          </w:p>
        </w:tc>
        <w:tc>
          <w:tcPr>
            <w:tcW w:w="41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and six months ended June 30, 2015 and 2014</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Loss for the three and six months ended June 30, 2015 and 2014</w:t>
              </w:r>
            </w:hyperlink>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six months ended June 30, 2015 and 2014</w:t>
              </w:r>
            </w:hyperlink>
          </w:p>
        </w:tc>
        <w:tc>
          <w:tcPr>
            <w:tcW w:w="29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180" w:type="dxa"/>
            <w:vAlign w:val="bottom"/>
            <w:gridSpan w:val="17"/>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1"/>
              </w:rPr>
            </w:pPr>
            <w:hyperlink w:anchor="page22">
              <w:r>
                <w:rPr>
                  <w:rFonts w:ascii="Arial" w:cs="Arial" w:eastAsia="Arial" w:hAnsi="Arial"/>
                  <w:sz w:val="18"/>
                  <w:szCs w:val="18"/>
                  <w:color w:val="0000EE"/>
                  <w:w w:val="81"/>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80" w:type="dxa"/>
            <w:vAlign w:val="bottom"/>
            <w:tcBorders>
              <w:top w:val="single" w:sz="8" w:color="0000EE"/>
            </w:tcBorders>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592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w:t>
              </w:r>
            </w:hyperlink>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23</w:t>
              </w:r>
            </w:hyperlink>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0" w:type="dxa"/>
            <w:vAlign w:val="bottom"/>
            <w:gridSpan w:val="1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18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24</w:t>
              </w:r>
            </w:hyperlink>
          </w:p>
        </w:tc>
      </w:tr>
      <w:tr>
        <w:trPr>
          <w:trHeight w:val="520"/>
        </w:trPr>
        <w:tc>
          <w:tcPr>
            <w:tcW w:w="40" w:type="dxa"/>
            <w:vAlign w:val="bottom"/>
          </w:tcPr>
          <w:p>
            <w:pPr>
              <w:spacing w:after="0"/>
              <w:rPr>
                <w:sz w:val="24"/>
                <w:szCs w:val="24"/>
                <w:color w:val="auto"/>
              </w:rPr>
            </w:pPr>
          </w:p>
        </w:tc>
        <w:tc>
          <w:tcPr>
            <w:tcW w:w="980" w:type="dxa"/>
            <w:vAlign w:val="bottom"/>
            <w:tcBorders>
              <w:top w:val="single" w:sz="8" w:color="0000EE"/>
            </w:tcBorders>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Glossary</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25</w:t>
              </w:r>
            </w:hyperlink>
          </w:p>
        </w:tc>
      </w:tr>
      <w:tr>
        <w:trPr>
          <w:trHeight w:val="480"/>
        </w:trPr>
        <w:tc>
          <w:tcPr>
            <w:tcW w:w="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6"/>
          </w:tcPr>
          <w:p>
            <w:pPr>
              <w:jc w:val="center"/>
              <w:ind w:right="5120"/>
              <w:spacing w:after="0"/>
              <w:rPr>
                <w:sz w:val="20"/>
                <w:szCs w:val="20"/>
                <w:color w:val="auto"/>
              </w:rPr>
            </w:pPr>
            <w:r>
              <w:rPr>
                <w:rFonts w:ascii="Arial" w:cs="Arial" w:eastAsia="Arial" w:hAnsi="Arial"/>
                <w:sz w:val="18"/>
                <w:szCs w:val="18"/>
                <w:color w:val="auto"/>
              </w:rPr>
              <w:t>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Arial" w:cs="Arial" w:eastAsia="Arial" w:hAnsi="Arial"/>
                <w:sz w:val="18"/>
                <w:szCs w:val="18"/>
                <w:color w:val="0000EE"/>
                <w:w w:val="92"/>
              </w:rPr>
            </w:pPr>
            <w:hyperlink w:anchor="page1">
              <w:r>
                <w:rPr>
                  <w:rFonts w:ascii="Arial" w:cs="Arial" w:eastAsia="Arial" w:hAnsi="Arial"/>
                  <w:sz w:val="18"/>
                  <w:szCs w:val="18"/>
                  <w:color w:val="0000EE"/>
                  <w:w w:val="92"/>
                </w:rPr>
                <w:t>Table of Contents</w:t>
              </w:r>
            </w:hyperlink>
          </w:p>
        </w:tc>
        <w:tc>
          <w:tcPr>
            <w:tcW w:w="6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900" w:type="dxa"/>
            <w:vAlign w:val="bottom"/>
          </w:tcPr>
          <w:p>
            <w:pPr>
              <w:jc w:val="center"/>
              <w:ind w:left="177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90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Arial" w:cs="Arial" w:eastAsia="Arial" w:hAnsi="Arial"/>
                <w:sz w:val="18"/>
                <w:szCs w:val="18"/>
                <w:b w:val="1"/>
                <w:bCs w:val="1"/>
                <w:color w:val="auto"/>
              </w:rPr>
              <w:t>VERICEL CORPORATION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00" w:type="dxa"/>
            <w:vAlign w:val="bottom"/>
          </w:tcPr>
          <w:p>
            <w:pPr>
              <w:jc w:val="center"/>
              <w:ind w:left="17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90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(Unaudited, amounts in thousands)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9"/>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76"/>
        </w:trPr>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9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30"/>
        </w:trPr>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6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69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20,218</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30,343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$91 and $40,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6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2,078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7"/>
        </w:trPr>
        <w:tc>
          <w:tcPr>
            <w:tcW w:w="8240" w:type="dxa"/>
            <w:vAlign w:val="bottom"/>
            <w:gridSpan w:val="3"/>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33,546</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41,490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w w:val="94"/>
              </w:rPr>
              <w:t>Intangible assets</w:t>
            </w:r>
          </w:p>
        </w:tc>
        <w:tc>
          <w:tcPr>
            <w:tcW w:w="6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3,057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Total assets</w:t>
            </w:r>
          </w:p>
        </w:tc>
        <w:tc>
          <w:tcPr>
            <w:tcW w:w="69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41,219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47,579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Current liabilities:</w:t>
            </w:r>
          </w:p>
        </w:tc>
        <w:tc>
          <w:tcPr>
            <w:tcW w:w="6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6,120</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43"/>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Warrant liabilities</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69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7"/>
        </w:trPr>
        <w:tc>
          <w:tcPr>
            <w:tcW w:w="8240" w:type="dxa"/>
            <w:vAlign w:val="bottom"/>
            <w:gridSpan w:val="3"/>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10,818</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11,829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 term debt</w:t>
            </w:r>
          </w:p>
        </w:tc>
        <w:tc>
          <w:tcPr>
            <w:tcW w:w="6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11,938</w:t>
            </w:r>
          </w:p>
        </w:tc>
        <w:tc>
          <w:tcPr>
            <w:tcW w:w="0" w:type="dxa"/>
            <w:vAlign w:val="bottom"/>
          </w:tcPr>
          <w:p>
            <w:pPr>
              <w:spacing w:after="0"/>
              <w:rPr>
                <w:sz w:val="1"/>
                <w:szCs w:val="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 (Note 14)</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gridSpan w:val="3"/>
          </w:tcPr>
          <w:p>
            <w:pPr>
              <w:ind w:left="180"/>
              <w:spacing w:after="0"/>
              <w:rPr>
                <w:sz w:val="20"/>
                <w:szCs w:val="20"/>
                <w:color w:val="auto"/>
              </w:rPr>
            </w:pPr>
            <w:r>
              <w:rPr>
                <w:rFonts w:ascii="Arial" w:cs="Arial" w:eastAsia="Arial" w:hAnsi="Arial"/>
                <w:sz w:val="18"/>
                <w:szCs w:val="18"/>
                <w:color w:val="auto"/>
                <w:w w:val="89"/>
              </w:rPr>
              <w:t>Series B-2 voting convertible preferred stock, no par value: shares authorized and reserved — 39, shares issued</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and outstanding — 12</w:t>
            </w:r>
          </w:p>
        </w:tc>
        <w:tc>
          <w:tcPr>
            <w:tcW w:w="3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38,389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38,389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Common stock, no par value; shares authorized — 75,000; shares issued and outstanding — 23,787</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306,625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305,008</w:t>
            </w:r>
          </w:p>
        </w:tc>
        <w:tc>
          <w:tcPr>
            <w:tcW w:w="0" w:type="dxa"/>
            <w:vAlign w:val="bottom"/>
          </w:tcPr>
          <w:p>
            <w:pPr>
              <w:spacing w:after="0"/>
              <w:rPr>
                <w:sz w:val="1"/>
                <w:szCs w:val="1"/>
                <w:color w:val="auto"/>
              </w:rPr>
            </w:pPr>
          </w:p>
        </w:tc>
      </w:tr>
      <w:tr>
        <w:trPr>
          <w:trHeight w:val="243"/>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(314,699)</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(307,685)</w:t>
            </w:r>
          </w:p>
        </w:tc>
        <w:tc>
          <w:tcPr>
            <w:tcW w:w="0" w:type="dxa"/>
            <w:vAlign w:val="bottom"/>
          </w:tcPr>
          <w:p>
            <w:pPr>
              <w:spacing w:after="0"/>
              <w:rPr>
                <w:sz w:val="1"/>
                <w:szCs w:val="1"/>
                <w:color w:val="auto"/>
              </w:rPr>
            </w:pPr>
          </w:p>
        </w:tc>
      </w:tr>
      <w:tr>
        <w:trPr>
          <w:trHeight w:val="237"/>
        </w:trPr>
        <w:tc>
          <w:tcPr>
            <w:tcW w:w="8240" w:type="dxa"/>
            <w:vAlign w:val="bottom"/>
            <w:gridSpan w:val="3"/>
          </w:tcPr>
          <w:p>
            <w:pPr>
              <w:ind w:left="38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30,244</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35,641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41,219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47,579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13,590</w:t>
            </w:r>
          </w:p>
        </w:tc>
        <w:tc>
          <w:tcPr>
            <w:tcW w:w="2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4,432</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24,439</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13,590</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24,439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23"/>
        </w:trPr>
        <w:tc>
          <w:tcPr>
            <w:tcW w:w="52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6,901</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6,689</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11,970</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3,369</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7,635</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5,585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3,581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11,061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8,954</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18,807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(8,522)</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(6,837)</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Decrease (increase) in fair value of warrants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Bargain purchase gain</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currency translation gain (loss)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(4,638)</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40"/>
              <w:spacing w:after="0"/>
              <w:rPr>
                <w:sz w:val="20"/>
                <w:szCs w:val="20"/>
                <w:color w:val="auto"/>
              </w:rPr>
            </w:pPr>
            <w:r>
              <w:rPr>
                <w:rFonts w:ascii="Arial" w:cs="Arial" w:eastAsia="Arial" w:hAnsi="Arial"/>
                <w:sz w:val="18"/>
                <w:szCs w:val="18"/>
                <w:color w:val="auto"/>
                <w:w w:val="97"/>
              </w:rPr>
              <w:t>Net loss per share attributable to common shareholders (Basic and</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(0.94)</w:t>
            </w:r>
          </w:p>
        </w:tc>
        <w:tc>
          <w:tcPr>
            <w:tcW w:w="22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(see note 11)</w:t>
            </w:r>
          </w:p>
        </w:tc>
        <w:tc>
          <w:tcPr>
            <w:tcW w:w="3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Weighted average number of common shares outstanding (Basic and</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23,786</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6,518</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23,786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(10,628)</w:t>
            </w: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3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(7,014)</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(10,633)</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1,104</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Bargain purchase gain</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Foreign currency translation gain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sales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r>
      <w:tr>
        <w:trPr>
          <w:trHeight w:val="243"/>
        </w:trPr>
        <w:tc>
          <w:tcPr>
            <w:tcW w:w="824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(4,256)</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24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2,770</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w:t>
            </w:r>
          </w:p>
        </w:tc>
      </w:tr>
      <w:tr>
        <w:trPr>
          <w:trHeight w:val="243"/>
        </w:trPr>
        <w:tc>
          <w:tcPr>
            <w:tcW w:w="8240" w:type="dxa"/>
            <w:vAlign w:val="bottom"/>
          </w:tcPr>
          <w:p>
            <w:pPr>
              <w:ind w:left="600"/>
              <w:spacing w:after="0"/>
              <w:rPr>
                <w:sz w:val="20"/>
                <w:szCs w:val="20"/>
                <w:color w:val="auto"/>
              </w:rPr>
            </w:pPr>
            <w:r>
              <w:rPr>
                <w:rFonts w:ascii="Arial" w:cs="Arial" w:eastAsia="Arial" w:hAnsi="Arial"/>
                <w:sz w:val="18"/>
                <w:szCs w:val="18"/>
                <w:color w:val="auto"/>
              </w:rPr>
              <w:t>Other non-current assets and liabilities,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(10,743)</w:t>
            </w:r>
          </w:p>
        </w:tc>
      </w:tr>
      <w:tr>
        <w:trPr>
          <w:trHeight w:val="223"/>
        </w:trPr>
        <w:tc>
          <w:tcPr>
            <w:tcW w:w="82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CTRM business,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ind w:left="720"/>
              <w:spacing w:after="0"/>
              <w:rPr>
                <w:sz w:val="20"/>
                <w:szCs w:val="20"/>
                <w:color w:val="auto"/>
              </w:rPr>
            </w:pPr>
            <w:r>
              <w:rPr>
                <w:rFonts w:ascii="Arial" w:cs="Arial" w:eastAsia="Arial" w:hAnsi="Arial"/>
                <w:sz w:val="18"/>
                <w:szCs w:val="18"/>
                <w:color w:val="auto"/>
              </w:rPr>
              <w:t>Net cash (used for) provided by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1,036</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 and warrants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8,917</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24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8,911</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at beginning of period</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30,343</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8,059</w:t>
            </w:r>
          </w:p>
        </w:tc>
      </w:tr>
      <w:tr>
        <w:trPr>
          <w:trHeight w:val="27"/>
        </w:trPr>
        <w:tc>
          <w:tcPr>
            <w:tcW w:w="8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period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20,218</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 (non-cash):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Acquisition of business through issuance of promissory note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2,500</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Warrants exchanged for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2015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7"/>
          <w:szCs w:val="17"/>
          <w:color w:val="auto"/>
        </w:rPr>
        <w:t>Vericel Corporation a Michigan corporation, which was formerly known as Aastrom Biosciences, Inc. (the Company, Vericel, we, us or our), was incorporated in March 1989 and began employee-based operations in 1991. On May 30, 2014, Vericel completed the acquisition of certain assets and assumed certain liabilities of Sanofi, a French société anonyme (Sanofi), including all of the outstanding equity interests of Genzyme Biosurgery ApS (Genzyme Denmark or the Danish subsidiary) (now known as Vericel Denmark ApS), a wholly-owned subsidiary of Sanofi, and over 250 patents and patent applications of Sanofi and certain of its subsidiaries for purposes of acquiring the portion of the cell therapy and regenerative medicine business (the CTRM Business), which researches, develops, manufactures, markets and sells the Carticel</w:t>
      </w:r>
      <w:r>
        <w:rPr>
          <w:rFonts w:ascii="Arial" w:cs="Arial" w:eastAsia="Arial" w:hAnsi="Arial"/>
          <w:sz w:val="24"/>
          <w:szCs w:val="24"/>
          <w:color w:val="auto"/>
          <w:vertAlign w:val="superscript"/>
        </w:rPr>
        <w:t>®</w:t>
      </w:r>
      <w:r>
        <w:rPr>
          <w:rFonts w:ascii="Arial" w:cs="Arial" w:eastAsia="Arial" w:hAnsi="Arial"/>
          <w:sz w:val="17"/>
          <w:szCs w:val="17"/>
          <w:color w:val="auto"/>
        </w:rPr>
        <w:t>, MACI™,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as well as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Successful future operations are subject to several technical hurdles and risk factors, including satisfactory product development, timely initiation and completion of clinical trials, regulatory approval and market acceptance of the Company’s products, and the successful integration and profitability of the CTRM Business.</w:t>
      </w:r>
    </w:p>
    <w:p>
      <w:pPr>
        <w:spacing w:after="0" w:line="17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and six months ended June 30, 2015, are not necessarily indicative of the results to be expected for the full year or for any other period. The December 31, 2014 condensed consolidated balance sheet data was derived from the Company’s audited consolidated financial statements, but does not include all disclosures required by U.S. GAAP.</w:t>
      </w:r>
    </w:p>
    <w:p>
      <w:pPr>
        <w:spacing w:after="0" w:line="18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the notes thereto included in our Annual Report on Form 10-K for the year ended December 31, 2014, as filed with the SEC on March 25, 2015 (Annual Report).</w:t>
      </w:r>
    </w:p>
    <w:p>
      <w:pPr>
        <w:spacing w:after="0" w:line="1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condensed consolidated financial statements include the accounts of Vericel and its wholly-owned subsidiaries, Marrow Donation, LLC, located in San Diego, California, and Vericel Denmark ApS, in Kastrup, Demark (collectively, the Company). All inter-company transactions and accounts have been eliminated in consolidation. Aastrom Biosciences GmbH ceased operations in 2014.</w:t>
      </w:r>
    </w:p>
    <w:p>
      <w:pPr>
        <w:spacing w:after="0" w:line="177" w:lineRule="exact"/>
        <w:rPr>
          <w:sz w:val="20"/>
          <w:szCs w:val="20"/>
          <w:color w:val="auto"/>
        </w:rPr>
      </w:pPr>
    </w:p>
    <w:p>
      <w:pPr>
        <w:ind w:left="240" w:right="8380" w:hanging="232"/>
        <w:spacing w:after="0" w:line="604" w:lineRule="auto"/>
        <w:tabs>
          <w:tab w:leader="none" w:pos="254"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Revenue Recognition</w:t>
      </w:r>
    </w:p>
    <w:p>
      <w:pPr>
        <w:jc w:val="both"/>
        <w:ind w:firstLine="230"/>
        <w:spacing w:after="0" w:line="273" w:lineRule="auto"/>
        <w:rPr>
          <w:sz w:val="20"/>
          <w:szCs w:val="20"/>
          <w:color w:val="auto"/>
        </w:rPr>
      </w:pPr>
      <w:r>
        <w:rPr>
          <w:rFonts w:ascii="Arial" w:cs="Arial" w:eastAsia="Arial" w:hAnsi="Arial"/>
          <w:sz w:val="17"/>
          <w:szCs w:val="17"/>
          <w:color w:val="auto"/>
        </w:rPr>
        <w:t>In May 2014, the Financial Accounting Standards Board (FASB) issued authoritative guidance requiring entities to apply a new model for recognizing revenue from contracts with customers.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2017, with early adoption permitted for annual reporting periods beginning after December 2016, and may be adopted using a full or modified retrospective application. The Company is currently in the process of evaluating its revenue arrangements under the issued guidance and has not yet determined the impact to its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CTRM Business acquisition</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May 30, 2014, Vericel completed its acquisition of certain assets of Sanofi, including all of the outstanding equity interests of Genzyme Denmark, a wholly-owned subsidiary of Sanofi, and over 250 patents and patent applications and assumed certain liabilities for purposes of acquiring portions of the CTRM Business. Vericel is a leader in developing patient-specific expanded cellular therapies for use in the treatment of patients with severe diseases and conditions. The CTRM Business, also a leader in developing patient-specific expanded cellular therapies, expands the Company’s portfolio of cellular therapies to include products which treat severe burns and as well as cartilage defects. The CTRM Business is a commercial business, with manufacturing, marketing and sales capabilities. Pursuant to the terms of the asset purchase agreement, the Company paid a total purchase price of $6.5 million, including $4.0 million in cash and a $2.5 million promissory note which was repaid on July 30, 2014.</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purchase price consideration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Acquisition consideration (In thousands):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Promissory note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2,500</w:t>
            </w:r>
          </w:p>
        </w:tc>
      </w:tr>
      <w:tr>
        <w:trPr>
          <w:trHeight w:val="27"/>
        </w:trPr>
        <w:tc>
          <w:tcPr>
            <w:tcW w:w="9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 consideration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6,500</w:t>
            </w:r>
          </w:p>
        </w:tc>
      </w:tr>
      <w:tr>
        <w:trPr>
          <w:trHeight w:val="20"/>
        </w:trPr>
        <w:tc>
          <w:tcPr>
            <w:tcW w:w="9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recognized tangible and intangible assets and liabilities acquired based upon their respective estimated fair values as of the acquisition date. The table below shows the fair values assigned to the assets acquired and liabilities assumed. Based on this analysis, the transaction resulted in a bargain purchase gain.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final purchase price allocation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Purchase price allocation (In thousands):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192</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retirement obligation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3,360</w:t>
            </w:r>
          </w:p>
        </w:tc>
      </w:tr>
      <w:tr>
        <w:trPr>
          <w:trHeight w:val="27"/>
        </w:trPr>
        <w:tc>
          <w:tcPr>
            <w:tcW w:w="9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6,500</w:t>
            </w:r>
          </w:p>
        </w:tc>
      </w:tr>
      <w:tr>
        <w:trPr>
          <w:trHeight w:val="27"/>
        </w:trPr>
        <w:tc>
          <w:tcPr>
            <w:tcW w:w="9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part of the acquisition, $5.0 million in cash was received from Sanofi in order to fund the restructuring of the Denmark operations and close the facility. In 2014, the Company implemented its restructuring plans for the Danish subsidiary after the consummation of the acquisition of the CTRM Business and recorded restructuring charges in the US and Denmark of $3.0 million and do not expect to incur additional costs. See Note 7 “Restructuring” below for additional information.</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intangible assets acquired represent commercial use rights for certain products acquired in the transaction. This fair value of $3.4 million was determined using the income approach based on projected cash flows attributed to the commercial rights. The calculated value of the commercial rights intangible assets are amortized using the straight line method over an estimated useful life of 12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Selected Balance Sheet Components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June 30, 2015 and December 31,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net as of June 30, 2015 and December 31, 2014:</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7,289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Depreciation expense for the three and six months ended June 30, 2015 was $0.2 million and $0.5 million respectively, compared to $0.1 million and $0.2 million, respectively, for the same periods in 2014.</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Intangible assets, net as of June 30, 2015 and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rights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Amortization expense was $0.1 million and $0.2 million for the three and six months ended June 30, 2015, respectively. Amortization expense was less than $0.1 million for both the three and six months ended June 30, 2014.</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Estimated future amortization expense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Calendar Years Ending December 31, (In thousands)</w:t>
            </w:r>
          </w:p>
        </w:tc>
        <w:tc>
          <w:tcPr>
            <w:tcW w:w="5360" w:type="dxa"/>
            <w:vAlign w:val="bottom"/>
            <w:tcBorders>
              <w:bottom w:val="single" w:sz="8" w:color="auto"/>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9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2016</w:t>
            </w:r>
          </w:p>
        </w:tc>
        <w:tc>
          <w:tcPr>
            <w:tcW w:w="5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2018</w:t>
            </w:r>
          </w:p>
        </w:tc>
        <w:tc>
          <w:tcPr>
            <w:tcW w:w="5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5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3970"/>
              <w:spacing w:after="0"/>
              <w:rPr>
                <w:sz w:val="20"/>
                <w:szCs w:val="20"/>
                <w:color w:val="auto"/>
              </w:rPr>
            </w:pPr>
            <w:r>
              <w:rPr>
                <w:rFonts w:ascii="Arial" w:cs="Arial" w:eastAsia="Arial" w:hAnsi="Arial"/>
                <w:sz w:val="18"/>
                <w:szCs w:val="18"/>
                <w:color w:val="auto"/>
              </w:rPr>
              <w:t>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June 30, 2015 and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1,281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retirement obligation</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348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4,714</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Accumulated other comprehensive loss in 2014 consisted entirely of foreign currency translation activity. Foreign currency translation loss recorded in 2014 was mainly the result of the weakening U.S. dollar and its impact on intercompany balances with the Denmark subsidiary. No changes related to unrealized gains or losses in foreign currency translation were recorded during the three and six months ended June 30, 2015 due to a change in the functional currency of the Denmark subsidiary from the Danish Krone to the U.S. dollar.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can issue nonqualified and incentive stock options as well as other equity awards pursuant to its Amended and Restated 2009 Omnibus Incentive Plan, (Option Plan). Such awards pursuant to the Option Plan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During the three and six months ended June 30, 2015, the Company granted 69,750 and 2,018,850 service-based options to purchase common stock, respectively. The options were granted with exercise prices equal to the fair market value of the Company’s stock at the grant date, and other than those granted to non-employee directors, generally vest over four years, under a graded-vesting methodology, following the date of grant, and expire after ten years. The Company issues new shares upon the exercise of stock options. The weighted average grant-date fair value of service-based options granted under the Option Plan during the three months ended June 30, 2015 and 2014 was $2.43 and $3.11, respectively. The weighted average grant-date fair value of service-based options granted under the Option Plan during the six months ended June 30, 2015 and 2014 was $2.22 and $2.85, respectively.</w:t>
      </w:r>
    </w:p>
    <w:p>
      <w:pPr>
        <w:spacing w:after="0" w:line="16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net compensation expense recorded for the service-based stock options related to employees and directors was $0.7 million and $1.6 million for the three and six months ended June 30, 2015 and $0.2 million and $0.5 million for the three and six months ended June 30, 2014, respectively. The compensation cost includes forfeiture adjustments.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3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2014</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3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78.8 – 88.1%</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82.4 – 88.2%</w:t>
            </w:r>
          </w:p>
        </w:tc>
      </w:tr>
      <w:tr>
        <w:trPr>
          <w:trHeight w:val="27"/>
        </w:trPr>
        <w:tc>
          <w:tcPr>
            <w:tcW w:w="39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 – 2.0%</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 – 2.2%</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5.5 – 6.3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5.5 – 6.3</w:t>
            </w:r>
          </w:p>
        </w:tc>
      </w:tr>
      <w:tr>
        <w:trPr>
          <w:trHeight w:val="702"/>
        </w:trPr>
        <w:tc>
          <w:tcPr>
            <w:tcW w:w="3920" w:type="dxa"/>
            <w:vAlign w:val="bottom"/>
          </w:tcPr>
          <w:p>
            <w:pPr>
              <w:spacing w:after="0"/>
              <w:rPr>
                <w:sz w:val="24"/>
                <w:szCs w:val="24"/>
                <w:color w:val="auto"/>
              </w:rPr>
            </w:pPr>
          </w:p>
        </w:tc>
        <w:tc>
          <w:tcPr>
            <w:tcW w:w="3740" w:type="dxa"/>
            <w:vAlign w:val="bottom"/>
          </w:tcPr>
          <w:p>
            <w:pPr>
              <w:jc w:val="right"/>
              <w:ind w:right="17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36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vMerge w:val="restart"/>
          </w:tcPr>
          <w:p>
            <w:pPr>
              <w:spacing w:after="0"/>
              <w:rPr>
                <w:sz w:val="12"/>
                <w:szCs w:val="12"/>
                <w:color w:val="auto"/>
              </w:rPr>
            </w:pPr>
          </w:p>
        </w:tc>
        <w:tc>
          <w:tcPr>
            <w:tcW w:w="174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2,018,850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92,875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Outstanding at June 30, 2015</w:t>
            </w:r>
          </w:p>
        </w:tc>
        <w:tc>
          <w:tcPr>
            <w:tcW w:w="1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2,398,239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921,571</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June 30, 2015</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56,702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June 30, 2015 there was approximately $3.5 million of total unrecognized compensation cost related to non-vested service-based stock options granted under the Option Plan. That cost is expected to be recognized over a weighted-average period of 3.4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fair value of options vested during the six months ended June 30, 2015 and 2014 was $0.9 million and $1.0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w:t>
      </w:r>
    </w:p>
    <w:p>
      <w:pPr>
        <w:spacing w:after="0" w:line="229" w:lineRule="exact"/>
        <w:rPr>
          <w:sz w:val="20"/>
          <w:szCs w:val="20"/>
          <w:color w:val="auto"/>
        </w:rPr>
      </w:pPr>
    </w:p>
    <w:p>
      <w:pPr>
        <w:ind w:right="120" w:firstLine="230"/>
        <w:spacing w:after="0" w:line="257" w:lineRule="auto"/>
        <w:rPr>
          <w:sz w:val="20"/>
          <w:szCs w:val="20"/>
          <w:color w:val="auto"/>
        </w:rPr>
      </w:pPr>
      <w:r>
        <w:rPr>
          <w:rFonts w:ascii="Arial" w:cs="Arial" w:eastAsia="Arial" w:hAnsi="Arial"/>
          <w:sz w:val="18"/>
          <w:szCs w:val="18"/>
          <w:color w:val="auto"/>
        </w:rPr>
        <w:t>In June 2014, the Company announced a strategic plan to maximize the profitability and growth potential of the CTRM Business (the Plan). Under the Plan, the Company discontinued manufacturing MACI in Denmark, temporarily suspended sales of MACI in Europe, and significantly reduced research and development expenses associated with MACI. Furthermore, the Company eliminated approximately 80 full time employee positions, which represented approximately 30% of the Company’s current total workforce. Employees terminated as part the Plan were provided with severance payments and outplacement assistance.</w:t>
      </w:r>
    </w:p>
    <w:p>
      <w:pPr>
        <w:spacing w:after="0" w:line="188" w:lineRule="exact"/>
        <w:rPr>
          <w:sz w:val="20"/>
          <w:szCs w:val="20"/>
          <w:color w:val="auto"/>
        </w:rPr>
      </w:pPr>
    </w:p>
    <w:p>
      <w:pPr>
        <w:ind w:right="100" w:firstLine="230"/>
        <w:spacing w:after="0" w:line="279" w:lineRule="auto"/>
        <w:rPr>
          <w:sz w:val="20"/>
          <w:szCs w:val="20"/>
          <w:color w:val="auto"/>
        </w:rPr>
      </w:pPr>
      <w:r>
        <w:rPr>
          <w:rFonts w:ascii="Arial" w:cs="Arial" w:eastAsia="Arial" w:hAnsi="Arial"/>
          <w:sz w:val="17"/>
          <w:szCs w:val="17"/>
          <w:color w:val="auto"/>
        </w:rPr>
        <w:t>As a result of the Plan, the Company recorded a restructuring charge of $3.0 million for the three and six month ended June 30, 2014, related to the operations in the United States and Denmark, primarily representing cash payments for severance and other personnel-related expenses. Of the total restructuring charge, $2.5 million was recorded in cost of product sales, and $0.5 million was recorded in selling, general and administrative expenses. There was no restructuring reserve as of June 30, 2015 as a result of cash payments made for severance and other personnel-related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Purchase Warrants</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 The following warrants were outstanding at June 30, 2015, and include provisions that could require cash settlement of the warrants or have anti-dilution price protection provisions requiring each to be recorded as liabilities of the Company at the estimated fair value at the date of issuance, with changes in estimated fair value recorded as other income or expense (non-cash) in the Company’s statement of operations in each subsequent period: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ind w:left="220"/>
              <w:spacing w:after="0"/>
              <w:rPr>
                <w:sz w:val="20"/>
                <w:szCs w:val="20"/>
                <w:color w:val="auto"/>
              </w:rPr>
            </w:pPr>
            <w:r>
              <w:rPr>
                <w:rFonts w:ascii="Arial" w:cs="Arial" w:eastAsia="Arial" w:hAnsi="Arial"/>
                <w:sz w:val="14"/>
                <w:szCs w:val="14"/>
                <w:b w:val="1"/>
                <w:bCs w:val="1"/>
                <w:color w:val="auto"/>
              </w:rPr>
              <w:t>January 2010 Class</w:t>
            </w:r>
          </w:p>
        </w:tc>
        <w:tc>
          <w:tcPr>
            <w:tcW w:w="400" w:type="dxa"/>
            <w:vAlign w:val="bottom"/>
          </w:tcPr>
          <w:p>
            <w:pPr>
              <w:spacing w:after="0"/>
              <w:rPr>
                <w:sz w:val="14"/>
                <w:szCs w:val="1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2010</w:t>
            </w:r>
          </w:p>
        </w:tc>
        <w:tc>
          <w:tcPr>
            <w:tcW w:w="440" w:type="dxa"/>
            <w:vAlign w:val="bottom"/>
          </w:tcPr>
          <w:p>
            <w:pPr>
              <w:spacing w:after="0"/>
              <w:rPr>
                <w:sz w:val="14"/>
                <w:szCs w:val="14"/>
                <w:color w:val="auto"/>
              </w:rPr>
            </w:pPr>
          </w:p>
        </w:tc>
        <w:tc>
          <w:tcPr>
            <w:tcW w:w="1840" w:type="dxa"/>
            <w:vAlign w:val="bottom"/>
          </w:tcPr>
          <w:p>
            <w:pPr>
              <w:jc w:val="right"/>
              <w:ind w:right="677"/>
              <w:spacing w:after="0"/>
              <w:rPr>
                <w:sz w:val="20"/>
                <w:szCs w:val="20"/>
                <w:color w:val="auto"/>
              </w:rPr>
            </w:pPr>
            <w:r>
              <w:rPr>
                <w:rFonts w:ascii="Arial" w:cs="Arial" w:eastAsia="Arial" w:hAnsi="Arial"/>
                <w:sz w:val="14"/>
                <w:szCs w:val="14"/>
                <w:b w:val="1"/>
                <w:bCs w:val="1"/>
                <w:color w:val="auto"/>
              </w:rPr>
              <w:t>August 2013</w:t>
            </w:r>
          </w:p>
        </w:tc>
      </w:tr>
      <w:tr>
        <w:trPr>
          <w:trHeight w:val="192"/>
        </w:trPr>
        <w:tc>
          <w:tcPr>
            <w:tcW w:w="4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A Warrants (a)</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Warrants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Warrants</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Expiration date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gridSpan w:val="2"/>
          </w:tcPr>
          <w:p>
            <w:pPr>
              <w:ind w:left="880"/>
              <w:spacing w:after="0"/>
              <w:rPr>
                <w:sz w:val="20"/>
                <w:szCs w:val="20"/>
                <w:color w:val="auto"/>
              </w:rPr>
            </w:pPr>
            <w:r>
              <w:rPr>
                <w:rFonts w:ascii="Arial" w:cs="Arial" w:eastAsia="Arial" w:hAnsi="Arial"/>
                <w:sz w:val="18"/>
                <w:szCs w:val="18"/>
                <w:color w:val="auto"/>
              </w:rPr>
              <w:t>July 21, 2015</w:t>
            </w:r>
          </w:p>
        </w:tc>
        <w:tc>
          <w:tcPr>
            <w:tcW w:w="400" w:type="dxa"/>
            <w:vAlign w:val="bottom"/>
          </w:tcPr>
          <w:p>
            <w:pPr>
              <w:spacing w:after="0"/>
              <w:rPr>
                <w:sz w:val="21"/>
                <w:szCs w:val="21"/>
                <w:color w:val="auto"/>
              </w:rPr>
            </w:pPr>
          </w:p>
        </w:tc>
        <w:tc>
          <w:tcPr>
            <w:tcW w:w="2000" w:type="dxa"/>
            <w:vAlign w:val="bottom"/>
            <w:gridSpan w:val="2"/>
          </w:tcPr>
          <w:p>
            <w:pPr>
              <w:ind w:left="360"/>
              <w:spacing w:after="0"/>
              <w:rPr>
                <w:sz w:val="20"/>
                <w:szCs w:val="20"/>
                <w:color w:val="auto"/>
              </w:rPr>
            </w:pPr>
            <w:r>
              <w:rPr>
                <w:rFonts w:ascii="Arial" w:cs="Arial" w:eastAsia="Arial" w:hAnsi="Arial"/>
                <w:sz w:val="18"/>
                <w:szCs w:val="18"/>
                <w:color w:val="auto"/>
              </w:rPr>
              <w:t>December 15, 2015</w:t>
            </w:r>
          </w:p>
        </w:tc>
        <w:tc>
          <w:tcPr>
            <w:tcW w:w="440" w:type="dxa"/>
            <w:vAlign w:val="bottom"/>
          </w:tcPr>
          <w:p>
            <w:pPr>
              <w:spacing w:after="0"/>
              <w:rPr>
                <w:sz w:val="21"/>
                <w:szCs w:val="21"/>
                <w:color w:val="auto"/>
              </w:rPr>
            </w:pPr>
          </w:p>
        </w:tc>
        <w:tc>
          <w:tcPr>
            <w:tcW w:w="1840" w:type="dxa"/>
            <w:vAlign w:val="bottom"/>
          </w:tcPr>
          <w:p>
            <w:pPr>
              <w:jc w:val="right"/>
              <w:ind w:right="17"/>
              <w:spacing w:after="0"/>
              <w:rPr>
                <w:sz w:val="20"/>
                <w:szCs w:val="20"/>
                <w:color w:val="auto"/>
              </w:rPr>
            </w:pPr>
            <w:r>
              <w:rPr>
                <w:rFonts w:ascii="Arial" w:cs="Arial" w:eastAsia="Arial" w:hAnsi="Arial"/>
                <w:sz w:val="18"/>
                <w:szCs w:val="18"/>
                <w:color w:val="auto"/>
              </w:rPr>
              <w:t>August 16, 2018</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shares issuable on exercise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226,299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15,405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724,950</w:t>
            </w:r>
          </w:p>
        </w:tc>
      </w:tr>
      <w:tr>
        <w:trPr>
          <w:trHeight w:val="297"/>
        </w:trPr>
        <w:tc>
          <w:tcPr>
            <w:tcW w:w="4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January 2010 Class A warrants expired unexercised.</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fair values of the warrants are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assumptions used by the Company are summarized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January 2010 Class A Warrants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40" w:type="dxa"/>
            <w:vAlign w:val="bottom"/>
          </w:tcPr>
          <w:p>
            <w:pPr>
              <w:spacing w:after="0"/>
              <w:rPr>
                <w:sz w:val="21"/>
                <w:szCs w:val="21"/>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17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0.55</w:t>
            </w:r>
          </w:p>
        </w:tc>
      </w:tr>
      <w:tr>
        <w:trPr>
          <w:trHeight w:val="615"/>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2010 Warrants</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40" w:type="dxa"/>
            <w:vAlign w:val="bottom"/>
          </w:tcPr>
          <w:p>
            <w:pPr>
              <w:spacing w:after="0"/>
              <w:rPr>
                <w:sz w:val="21"/>
                <w:szCs w:val="21"/>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5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0.96</w:t>
            </w:r>
          </w:p>
        </w:tc>
      </w:tr>
      <w:tr>
        <w:trPr>
          <w:trHeight w:val="615"/>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August 2013 Warrants</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3.04</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40" w:type="dxa"/>
            <w:vAlign w:val="bottom"/>
          </w:tcPr>
          <w:p>
            <w:pPr>
              <w:spacing w:after="0"/>
              <w:rPr>
                <w:sz w:val="21"/>
                <w:szCs w:val="21"/>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5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3.63</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For the six months ended June 30, 2015 and year-ended December 31, 2014, there were no transfers between levels. The following table summarizes the valuation of the Company’s investments and financial instruments that are measured at fair value on a recurring basis:</w:t>
      </w: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23495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38100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23495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20" w:space="720"/>
            <w:col w:w="27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1"/>
                <w:szCs w:val="21"/>
                <w:color w:val="auto"/>
              </w:rPr>
            </w:pP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459"/>
        </w:trPr>
        <w:tc>
          <w:tcPr>
            <w:tcW w:w="8120" w:type="dxa"/>
            <w:vAlign w:val="bottom"/>
            <w:gridSpan w:val="17"/>
          </w:tcPr>
          <w:p>
            <w:pPr>
              <w:jc w:val="center"/>
              <w:ind w:left="54"/>
              <w:spacing w:after="0"/>
              <w:rPr>
                <w:sz w:val="20"/>
                <w:szCs w:val="20"/>
                <w:color w:val="auto"/>
              </w:rPr>
            </w:pPr>
            <w:r>
              <w:rPr>
                <w:rFonts w:ascii="Arial" w:cs="Arial" w:eastAsia="Arial" w:hAnsi="Arial"/>
                <w:sz w:val="18"/>
                <w:szCs w:val="18"/>
                <w:color w:val="auto"/>
                <w:w w:val="91"/>
              </w:rPr>
              <w:t>The following table summarizes the change in the estimated fair value of the Company’s warrant liabilities: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2"/>
        </w:trPr>
        <w:tc>
          <w:tcPr>
            <w:tcW w:w="2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Warrant Liabilities (In thousands)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Balance at December 31, 2014</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1,081</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Increase in fair value</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205</w:t>
            </w:r>
          </w:p>
        </w:tc>
      </w:tr>
      <w:tr>
        <w:trPr>
          <w:trHeight w:val="27"/>
        </w:trPr>
        <w:tc>
          <w:tcPr>
            <w:tcW w:w="24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1,286</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beginning and ending balances for the Company’s fair value measurements using Level 3 inputs is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Decrease in fair value</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9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r>
      <w:tr>
        <w:trPr>
          <w:trHeight w:val="20"/>
        </w:trPr>
        <w:tc>
          <w:tcPr>
            <w:tcW w:w="9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5 years anniversary of the closing of the offering, (the Conversion date) into shares of common stock at a conversion price of $3.25 per share of common stock. At any time after the Conversion date, the Company may elect to convert any or all outstanding shares of Series B preferred stock into shares of common stock, subject to certain limitations. Stock dividends on the Series B preferred stock will be cumulative and compound daily, at a rate of 11.5% per annum, payable upon conversion, liquidation, redemption or other similar events, and payable in cash or Series B-1 preferred stock until the Conversion date. As of June 30, 2015, there are approximately 284,979 shares of accumulated but undeclared Series B-1 Stock dividends. Unless prohibited by Michigan law governing distributions to shareholders, the Series B-1 preferred stock shall be redeemable at the option of holder of the Series B-1 preferred stock commencing at any time after the Conversion date, liquidation, winding up, dissolution or other similar events, subject to certain terms and limitations.</w:t>
      </w:r>
    </w:p>
    <w:p>
      <w:pPr>
        <w:spacing w:after="0" w:line="1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Series B preferred stock does not, in its entirety, require liability classification and was evaluated for embedded features to determine if those features require bifurcation and separate classification as derivative liabilities. The Series B preferred stock host contract was evaluated for equity or mezzanine classification based upon the nature of the redemption and conversion features. Generally, any feature that could require cash redemption for matters not within the Company’s control, irrespective of probability of the event occurring, requires classification outside of shareholders’ equity. The Series B preferred stock was initially recorded as mezzanine in the Condensed Consolidated Balance Sheets and was accreted to its redemption value through charges to accumulated deficit using the effective interest method.</w:t>
      </w:r>
    </w:p>
    <w:p>
      <w:pPr>
        <w:spacing w:after="0" w:line="19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August 12,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years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years anniversary, is the amount equal to the greater of the Series B offering price plus accrued dividends or the conversion value in common stock. As a result of the amendment to the agreement, the total amount of $38.4 million Series B preferred stock was reclassified from mezzanine into shareholders’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Common Share</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are treated as a reduction of earnings attributable to common shareholders.</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20"/>
                <w:szCs w:val="20"/>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dividends accumulated on convertible preferred stock</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Numerator of basic and diluted EPS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Denominator for basic and diluted EPS: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w w:val="95"/>
              </w:rPr>
              <w:t>Net loss per share attributable to common shareholders (basic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2"/>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June 30, 2015 and 2014 were 4.3 million and 2.6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January 21, 2014, the Company entered into a purchase agreement (Purchase Agreement), together with a registration rights agreement, for the sale of up to $15.0 million of shares of its common stock to Lincoln Park, subject to certain limitations, from time to time over a 30 months period, which began on April 3, 2014 and ends on October 3, 2016.</w:t>
      </w:r>
    </w:p>
    <w:p>
      <w:pPr>
        <w:spacing w:after="0" w:line="18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 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 Company’s sales of shares of common stock to Lincoln Park under the Purchase Agreement are limited to no more than the number of shares that would result in the beneficial ownership by Lincoln Park and its affiliates, at any single point in time, of more than 9.99% of the then outstanding shares of the common stock. The remaining capacity under this agreement is $11.3 million.</w:t>
      </w:r>
    </w:p>
    <w:p>
      <w:pPr>
        <w:spacing w:after="0" w:line="18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At June 30, 2015 there was approximately $7.8 million of net capacity remaining on the At-the-Market Sales Agreement with MLV &amp; Co. LLC (formerly McNicoll, Lewis &amp; Vlak).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Concentration of Credit Risk</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Revenue from one customer, a distributor in the U.S., represented approximately 63% and 76% of total revenue during the six months ended June 30, 2015 and 2014, respectively, and 74% and 81% of outstanding accounts receivable as of June 30, 2015 and 2014, respectively. The next largest customer represented approximately 16% of revenue for the six months ended June 30, 2015. No other customer accounted for more than 10% of revenue in 2014 or accounts receivable reported in either period. Revenue primarily reflects sales related to the acquisition of the CTRM Business from Sanofi since May 30,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leases facilities in Ann Arbor, Michigan; Cambridge, Massachusetts and Kastrup, Denmark. In March 2015, the Company amended a portion of the property lease in Ann Arbor which is reflected in the future minimum payments below. In addition to the property leases, the Company also leases various vehicles and computer equipment.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2015, future minimum payments related to leases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Capital leases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7,834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Rent expense for the three and six months ended June 30, 2015 was $1.3 million and $2.5 million, respectively, compared to $0.6 million and $0.8 million for the same periods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30"/>
        <w:spacing w:after="0" w:line="235" w:lineRule="auto"/>
        <w:rPr>
          <w:sz w:val="20"/>
          <w:szCs w:val="20"/>
          <w:color w:val="auto"/>
        </w:rPr>
      </w:pPr>
      <w:r>
        <w:rPr>
          <w:rFonts w:ascii="Arial" w:cs="Arial" w:eastAsia="Arial" w:hAnsi="Arial"/>
          <w:sz w:val="17"/>
          <w:szCs w:val="17"/>
          <w:color w:val="auto"/>
        </w:rPr>
        <w:t>Vericel Corporation is a leader in developing patient-specific expanded cellular therapies for use in the treatment of patients with severe diseases and conditions. We market two autologous cell therapy products in the United States: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an autologous chondrocyte implant for the treatment of cartilage defects in the knee, and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for the treatment of patients with deep-dermal or full-thickness burns comprising greater than or equal to 30 percent of total body surface area. We are also developing MACI™, a third-generation autologous chondrocyte implant for the treatment of cartilage defects in the knee, and ixmyelocel-T, a patient-specific multicellular therapy for the treatment of advanced heart failure due to ischemic dilated cardiomyopathy.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Sanofi’s CTRM Business</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On May 30, 2014, we completed the acquisition of the Cell Therapy and Regenerative Medicine (CTRM) business of Sanofi,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(Sanofi), certain assets, including all of the outstanding equity interests of Genzyme Biosurgery ApS (Genzyme Denmark or the Danish subsidiary) (now known as Åström BIOSCIENCES DK ApS), a wholly-owned subsidiary of Sanofi and over 250 patents and patent applications of Sanofi and certain of its subsidiaries and assumed certain liabilities for purposes of acquiring a portion of the CTRM business, which researches, develops, manufactures, markets and sells Carticel, MACI and Epicel (the CTRM Transaction). In consideration for the acquisition of the CTRM business, we paid a total purchase price of approximately $6.5 million, as follows: (a) $4 million was paid in cash on the closing date of the CTRM Transaction, and (b) a $2.5 million promissory note which was paid on July 30, 2014.</w:t>
      </w:r>
    </w:p>
    <w:p>
      <w:pPr>
        <w:spacing w:after="0" w:line="1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Concurrent with the closing of the CTRM Transaction, we and Sanofi entered into (i) certain IP assignment and license agreements to effect the transfer and license of the intellectual property related to the CTRM Business assigned and/or licensed to us, (ii) certain assignment and assumption of lease agreements for each of the real property leases being assigned to us, and (iii) transition services and transition supply agreements.</w:t>
      </w:r>
    </w:p>
    <w:p>
      <w:pPr>
        <w:spacing w:after="0" w:line="166"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In consideration for the acquisition of the CTRM business, we paid a total purchase price of approximately $6.5 million, as follows: (a) $4.0 million was paid in cash on the closing date of the CTRM Transaction, and (b) a $2.5 million promissory note which we repaid on July 30, 2014. In accordance with generally accepted accounting principles in the United States of America (U.S. GAAP), we recorded the assets and liabilities of the CTRM business at fair value. The net assets of the CTRM business were valued at $10.0 million, which is in excess of the $6.5 million purchase price, which resulted in a $3.5 million bargain purchase gain. The primary driving factor for the bargain purchase gain was the structure of the CTRM Transaction. As part of the CTRM Transaction, Sanofi funded the Danish subsidiary with $5.0 million in cash in order to fund the restructuring of the Denmark operations and close the facility. Under U.S. GAAP, no restructuring actions were taken by Sanofi prior to our purchase of the CTRM business, and accordingly, there were no restructuring related accruals in the opening balance sheet. Additionally, there were no restrictions on the use of the cash in the Danish subsidiary. In 2014, we implemented our restructuring plans for the Danish subsidiary after the consummation of the CTRM Transaction and recorded restructuring charges in the US and Denmark of $3.0 million and do not expect to incur additional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acquired two cell-manufacturing facilities as part of the acquisition of the CTRM business in Cambridge, Massachusetts and Copenhagen, Denmark. The Cambridge facility, which is approved by the U.S. Food and Drug Administration (FDA), is used for U.S. manufacturing and distribution of Carticel, Epicel manufacturing and also manufactured MACI for the SUMMIT study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conducted for approval in Europe. The Copenhagen manufacturing facility, which was approved by the Danish Medicines Agency (DKMA), was responsible for MACI manufacturing and distribution in Europe. As part of the June 2014 restructuring, we discontinued MACI manufacturing at the Copenhagen manufacturing facility. Going forward, we expect that any clinical and commercial production of MACI will occur at our Cambridge facility.</w:t>
      </w:r>
    </w:p>
    <w:p>
      <w:pPr>
        <w:spacing w:after="0" w:line="16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also operate a centralized cell manufacturing facility in Ann Arbor, Michigan. The facility supports the current ixCELL-DCM clinical trial being conducted in the United States and Canada and we believe we have sufficient capacity, with minor modifications, to supply our early commercialization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Our approved and marketed products were acquired through the CTRM Transaction and include three approved autologous cell therapy products, each of which are further described below: Carticel (autologous cultured chondrocytes), a first-generation product for autologous chondrocyte implantation (ACI) currently marketed in the U.S., MACI (matrix-applied characterized autologous cultured chondrocytes), a third-generation ACI product that was approved in Europe where we have temporarily suspended sales, and Epicel (cultured epidermal autografts), a permanent skin replacement for full thickness burns greater than or equal to 30% of total body surface area. Our product candidate portfolio also includes ixmyelocel-T, a patient-specific multicellular therapy currently in development for the treatment of advanced heart failure due to ischemic dilated cardiomyopathy (DCM).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Carticel</w:t>
      </w:r>
    </w:p>
    <w:p>
      <w:pPr>
        <w:spacing w:after="0" w:line="229"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Carticel, a first-generation ACI product for the treatment and repair of cartilage defects in the knee, is the first and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currently marketed in the U.S. It is generally used on patients with larger lesions (greater than 3 cm</w:t>
      </w:r>
      <w:r>
        <w:rPr>
          <w:rFonts w:ascii="Arial" w:cs="Arial" w:eastAsia="Arial" w:hAnsi="Arial"/>
          <w:sz w:val="10"/>
          <w:szCs w:val="10"/>
          <w:color w:val="auto"/>
        </w:rPr>
        <w:t>2</w:t>
      </w:r>
      <w:r>
        <w:rPr>
          <w:rFonts w:ascii="Arial" w:cs="Arial" w:eastAsia="Arial" w:hAnsi="Arial"/>
          <w:sz w:val="17"/>
          <w:szCs w:val="17"/>
          <w:color w:val="auto"/>
        </w:rPr>
        <w:t>).</w:t>
      </w:r>
    </w:p>
    <w:p>
      <w:pPr>
        <w:spacing w:after="0" w:line="20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U.S., we focus our sales of Carticel on the sports-injury-targeted orthopedic physician target audience, which is very concentrated, with 60% of the current Carticel business originating from 25% of this audience, or approximately 110 physicians. We currently have a 21-person field force calling on this sports-injury targeted orthopedic physician audience.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Epicel is a permanent skin replacement for full thickness burns greater than or equal to 30% of total body surface area (TBSA). Epicel is regulated by the Center for Biologics Evaluation and Research (CBER) under medical device authorities, and is the only FDA-approved autologous epidermal product available for large total surface area burns. Epicel was designed as a Humanitarian Use Device (HUD in 1998 and a Humanitarian Device Exemption (HDE) application for the product was submitted in 1999. HUDs are devices that are intended for diseases or conditions that affect or are manifested in fewer than 4,000 individuals annually in the United States. Currently, approximately less than 100 patients are treated with Epicel in the U.S. each year. For the three and six months ended June 30, 2015, net revenues were $4.3 million and $7.9 million for Epicel, respectively.</w:t>
      </w:r>
    </w:p>
    <w:p>
      <w:pPr>
        <w:spacing w:after="0" w:line="178"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Under the HDE approval of 2007, Epicel cannot not be sold for an amount that exceeds the cost of research and development, fabrication and distribution. However, pursuant to the Pediatric Medical Device Safety and Improvement Act of 2007 and the FDA Safety and Innovation Act of 2012 (FDASIA), a HUD can be sold for profit if certain conditions are met. Under current law as amended by FDASIA, an HDE holder can make a profit on its HUD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Annual Distribution Number (ADN) for the device. The ADN is determined by FDA when it approves the original HDE application, or when the agency approves an HDE supplement for an HDE approved before the enactment of FDASIA, if the HDE holder seeks a determination for the HUD in an HDE supplement based upon the profit-making eligibility criteria, and FDA determines that the HUD meets the eligibility criteria.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are currently investigating Epicel’s eligibility for an exemption from the profit prohibition and held a pre-submission meeting with the FDA to discuss the process and required data for submitting an HDE supplement to obtain an exemption from the profit prohibition. We plan to submit an HDE supplement to the FDA in the fourth quarter of 2015 to revise the labeled indications for use of Epicel to specifically include pediatric patients and to add pediatric labeling for Epicel. Epicel is currently being sold at a price that reflects the cost of research and development, fabrication and distribution.</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Also, up until July, 2014, we had one sales representative selling Epicel. We currently have a 4-person field force.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MACI is a third-generation ACI product for the treatment of focal chondral cartilage defects in the knee. MACI received marketing authorization in Europe in July 2013 by meeting the requirements of the Advanced Therapy and Medicinal Product (ATMP) guidelines. MACI had been commercially available in the European Union (EU) since 1998. As part of the June 2014 restructuring we temporarily suspended sales of MACI in August 2014, primarily due to low utilization and an unfavorable pricing environment. We believe that MACI has significant revenue potential in the U.S., if approved and reimbursed. We plan to submit a Biologics License Application to the FDA by the end of 2015 for MACI. The timing and strategy for and a possible reintroduction in select EU countries have not yet been determined.</w:t>
      </w:r>
    </w:p>
    <w:p>
      <w:pPr>
        <w:spacing w:after="0" w:line="193" w:lineRule="exact"/>
        <w:rPr>
          <w:sz w:val="20"/>
          <w:szCs w:val="20"/>
          <w:color w:val="auto"/>
        </w:rPr>
      </w:pPr>
    </w:p>
    <w:p>
      <w:pPr>
        <w:ind w:right="420" w:firstLine="230"/>
        <w:spacing w:after="0" w:line="273" w:lineRule="auto"/>
        <w:rPr>
          <w:sz w:val="20"/>
          <w:szCs w:val="20"/>
          <w:color w:val="auto"/>
        </w:rPr>
      </w:pPr>
      <w:r>
        <w:rPr>
          <w:rFonts w:ascii="Arial" w:cs="Arial" w:eastAsia="Arial" w:hAnsi="Arial"/>
          <w:sz w:val="17"/>
          <w:szCs w:val="17"/>
          <w:color w:val="auto"/>
        </w:rPr>
        <w:t>MACI was obtained by Sanofi by acquiring Verigen AG (Verigen) in 2005. As part of Sanofi’s acquisition of Verigen, Sanofi agreed to make cash payments to Verigen upon the achievement of developmental milestones relating to regulatory and commercialization of MACI in the United States. In connection with our acquisition of the CTRM business, we agreed that if we further developed MACI in the U.S., we would be obligated to pay these milestone payments. During the third quarter of 2014, at our request, Sanofi entered into a settlement agreement with the former shareholders of Verigen whereby these shareholders agreed to discharge all obligations related to these MACI milestone payments in exchange for a one-time cash payment of €2.5 million (approximately $3.2 million). We paid this amount in full in October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Our preapproval stage portfolio also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78"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Our lead clinical development program for ixmyelocel-T is focused on severe, chronic ischemic cardiovascular diseases. We are currently conducting the Phase 2b ixCELL-DCM study, which is a randomized, double-blind, placebo-controlled clinical trial for patients with advanced heart failure due to ischemic DCM. Ixmyelocel-T has been granted a U.S. Orphan Drug designation by the FDA for the treatment of DCM. We also have an ongoing ixmyelocel-T clinical program for the treatment of craniofacial reconstruction and have conducted clinical studies for the treatment of critical limb ischemia.</w:t>
      </w:r>
    </w:p>
    <w:p>
      <w:pPr>
        <w:spacing w:after="0" w:line="154"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The ongoing Phase 2b ixCELL-DCM clinical study has treated 114 patients at 28 sites in the U.S. and Canada. Patients will be followed for 12 months for the primary efficacy endpoint of major adverse cardiovascular events, defined as all-cause deaths, all-cause hospitalizations, and unplanned outpatient or emergency department visits for IV treatment of acute worsening heart failure. Secondary endpoints include clinical, functional, structural, symptomatic, quality of life, and biomarker measures at 3, 6 and 9 months. Patients will be followed for an additional 12 months for safety. We completed enrollment of the ixCELL-DCM study in January 2015, and expect to have top-line efficacy results around the end of the first quarter of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Our net loss for the three and six months ended June 30, 2015 totaled $2.2 million or $0.16 per share and $7.0 million or $0.43 per share,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13,590</w:t>
            </w:r>
          </w:p>
        </w:tc>
        <w:tc>
          <w:tcPr>
            <w:tcW w:w="12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24,439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4,432</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6,901</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5,009</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Gross profit (loss)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6,689</w:t>
            </w:r>
          </w:p>
        </w:tc>
        <w:tc>
          <w:tcPr>
            <w:tcW w:w="1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11,970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12,589</w:t>
            </w: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(8,522)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(13,166)</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2,533</w:t>
            </w:r>
          </w:p>
        </w:tc>
      </w:tr>
      <w:tr>
        <w:trPr>
          <w:trHeight w:val="25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(4,638)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(10,633)</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Period comparisons for net revenues by product are not yet meaningful due to the timing of the acquisition of the CTRM Business in May 2014.</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3,445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40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928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Bone Marrow</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13,590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4,432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24,439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4,432</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88"/>
        <w:spacing w:after="0" w:line="270"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Carticel revenue is subject to seasonal fluctuations with stronger sales occurring in the fourth quarter and second quarter due to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including insurance copay limits and the time of year patients prefer to start rehabilitation. During 2014, the percentage of annual sales by quarter was as follows: 21.6% in the first quarter, 23.7% in the second quarter, 21.8% in the third quarter, and 32.9% in the fourth quarter.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four years, the percentage of annual sales by quarter were as follows: first quarter, 28%; second quarter, 24%; third quarter, 20%; and fourth quarter, 28%. The variability between the same quarters in consecutive years has been as high as 10% of the annual volume.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Period comparisons for gross profit are not yet meaningful due to the timing of the acquisition of the CTRM Business.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00" w:type="dxa"/>
            <w:vAlign w:val="bottom"/>
            <w:gridSpan w:val="4"/>
          </w:tcPr>
          <w:p>
            <w:pPr>
              <w:jc w:val="right"/>
              <w:ind w:right="77"/>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gridSpan w:val="2"/>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11,970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459"/>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Research and Development Costs</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717"/>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3,369</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4,364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7,746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7,635</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Research and development expenses for the three months ended June 30, 2015 were $3.4 million versus $4.4 million for the same period a year ago. The decrease in research and development expenses is a result of the ixCELL-DCM study, which completed enrollment in January 2015 and incurred minimal expenses in 2015 versus 2014 in addition to the cancelled Critical Limb Ischemia study. The decrease was partially offset by additional research and development costs incurred for MACI, Carticel and Epicel.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Research and development expenses for the six months ended June 30, 2015 were $7.7 million versus $7.6 million for the same period a year ago.</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6,598</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Critical Limb Ischemia</w:t>
            </w:r>
          </w:p>
        </w:tc>
        <w:tc>
          <w:tcPr>
            <w:tcW w:w="10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544</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Carticel</w:t>
            </w:r>
          </w:p>
        </w:tc>
        <w:tc>
          <w:tcPr>
            <w:tcW w:w="10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Epicel</w:t>
            </w:r>
          </w:p>
        </w:tc>
        <w:tc>
          <w:tcPr>
            <w:tcW w:w="10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w:t>
            </w:r>
          </w:p>
        </w:tc>
      </w:tr>
      <w:tr>
        <w:trPr>
          <w:trHeight w:val="25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7,746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7,635</w:t>
            </w: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2014</w:t>
            </w: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3,581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11,061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4,954</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Selling, general and administrative expenses for the three months ended June 30, 2015 were $5.6 million compared to $3.6 million for the same period a year ago. The increase in selling, general and administrative expenses is due to an increase of $1.8 million in sales and marketing expenses from the CTRM business and approximately $0.6 million of increased personnel costs to manage the CTRM business. These increases were partially offset by a decrease in professional service fees which were incurred in 2014 related to the acquisition of the CTRM business.</w:t>
      </w:r>
    </w:p>
    <w:p>
      <w:pPr>
        <w:spacing w:after="0" w:line="17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Selling, general and administrative expenses for the six months ended June 30, 2015 were $11.1 million compared to $5.0 million for the same period a year ago. The increase in selling, general and administrative expenses is due to approximately $4.7 million in sales and marketing expenses from the CTRM business and approximately $1.4 million in increased information technology, legal, consulting and personnel costs related to integrating and managing the CTRM business in the U.S. The CTRM business was not part of our business a year ago.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fair value of warrants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(1,104)</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Bargain purchase gain</w:t>
            </w:r>
          </w:p>
        </w:tc>
        <w:tc>
          <w:tcPr>
            <w:tcW w:w="11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3,634</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Net interest income</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income (expense)</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change in the fair value of warrants in 2015 was primarily due to the increase in our stock price, and the reduction in the time to maturity. Fluctuations in the fair value of the warrants in future periods could result in significant non-cash adjustments to the condensed consolidated financial statements, however, any income or expense recorded will not impact our cash, operating expenses or cash flow.</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bargain purchase gain of $3.6 million for the three months ended and six months ended June 30, 2014 represents the gain associated with the acquisition of the CTRM Business on May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w:t>
            </w: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increase in stock-based compensation expense is due primarily to an increase in options granted in the three and six months ended June 30, 2015 compared to the same period in 2014 as a result of an increase in employees as a result of the acquisition of the CTRM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are currently focused on utilizing our technology to identify, develop and commercialize innovative therapies that enable the body to repair and regenerate damaged tissues and organs to restore normal structure and function. Until such time as we satisfy, if at all, applicable regulatory approval requirements for ixmyelocel-T and MACI, we expect the sales of Carticel and Epicel therapies to constitute nearly all of our product sales revenues. Additionally, we are focusing significant resources to successfully integrate and grow our CTRM business.</w:t>
      </w:r>
    </w:p>
    <w:p>
      <w:pPr>
        <w:spacing w:after="0" w:line="187"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While we believe we will achieve positive cash flow without needing to raise additional capital, we do not expect to generate positive cash flows from our consolidated operations for at least a year and then only if we achieve some combination of significant product sales growth, improved product margins, and lower selling, general and administrative expenses and research and development expenses.</w:t>
      </w:r>
    </w:p>
    <w:p>
      <w:pPr>
        <w:spacing w:after="0" w:line="181" w:lineRule="exact"/>
        <w:rPr>
          <w:sz w:val="20"/>
          <w:szCs w:val="20"/>
          <w:color w:val="auto"/>
        </w:rPr>
      </w:pPr>
    </w:p>
    <w:p>
      <w:pPr>
        <w:jc w:val="both"/>
        <w:ind w:firstLine="336"/>
        <w:spacing w:after="0" w:line="289" w:lineRule="auto"/>
        <w:rPr>
          <w:sz w:val="20"/>
          <w:szCs w:val="20"/>
          <w:color w:val="auto"/>
        </w:rPr>
      </w:pPr>
      <w:r>
        <w:rPr>
          <w:rFonts w:ascii="Arial" w:cs="Arial" w:eastAsia="Arial" w:hAnsi="Arial"/>
          <w:sz w:val="16"/>
          <w:szCs w:val="16"/>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The current cash on hand will be sufficient to sustain operations until we become cash flow positive, however, if actual results differ from our projections, we may need to access additional capital. We have access to certain amounts of financing through an agreement with Lincoln Park Capital Fund, LLC (Lincoln Park). We may direct Lincoln Park to purchase up to $15.0 million worth of shares of our common stock over a 30-month period generally in amounts up to 50,000 shares of our common stock on certain business days under a Purchase Agreement (the Purchase Agreement). However, there are certain factors, such as volume of trading in our common stock and our stock price, which limit the amount that can be raised in a short period of time. The extent to which we rely on the Lincoln Park Equity Line as a source of funding will depend on a number of factors, including the prevailing market price of our common stock and the extent to which we are able to secure working capital from other sources. The remaining capacity under this agreement is $11.3 million.</w:t>
      </w:r>
    </w:p>
    <w:p>
      <w:pPr>
        <w:spacing w:after="0" w:line="16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At June 30, 2015 there was approximately $7.8 million of net capacity remaining on the At-the-Market Sales Agreement with MLV &amp; Co. LLC (formerly McNicoll, Lewis &amp; Vlak), which allowed us to sell our common stock from time to time under a registration statement on Form S-3 filed in June 2011, pursuant to which we registered $100 million of our securities for public sale. The Form S-3 registration statement filed in June 2011 expired in July 2014.</w:t>
      </w:r>
    </w:p>
    <w:p>
      <w:pPr>
        <w:spacing w:after="0" w:line="14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cash totaled $20.2 million at June 30, 2015. During the six months ended June 30, 2015, the primary uses of cash included $8.6 million for our operations and working capital requirements. This use of funds was fueled largely by our operating loss reduced by stock compensation expense of $1.6 million as a result of an increase in personnel, depreciation and amortization expense of $0.7 million as a result of required capital expenditures in conjunction with the purchase of the CTRM business and an increase in fair value of warrants of $0.2 million. The reductions were offset by an increase in accrued expenses of $1.5 million due to an increase in employee related expenses as a result of the additional employees who joined our company during the CTRM business acquisition, other assets of $1.2 million and accounts receivable of $0.8 million, in each case, as a result of increased sales from the acquisition of the CTRM business.</w:t>
      </w:r>
    </w:p>
    <w:p>
      <w:pPr>
        <w:spacing w:after="0" w:line="18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As of June 30, 2015 we had $15.9 million of cash deposited into an Insured Cash Sweep (ICS) program which is administered by Bank of New York Mellon. This program maximizes our Federal Deposit Insurance Company (FDIC) coverage by dividing our ICS funds into amounts under the standard FDIC maximum and places these amounts with other ICS Network member banks (each an FDIC-insured institute). These funds are placed in savings accounts at the member banks earning interest while still maintaining insurance coverage.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While we believe that our current cash will be sufficient to sustain operations until the business becomes cash flow positive,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the cost of successfully integrating the CTRM business and the related capital expenditure requirements and the cost of product commercialization. We do not expect to generate positive cash flows from operations for at least a year due to the expected spending for research and development programs, the new systems integration implementation and the cost of marketing and commercializing our products and product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June 30, 2015,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2014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Form 10-K for the fiscal year ended December 31, 2014.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on Form 10-K filed with the SEC on March 25, 2015, among others, could have a material adverse effect upon our business, results of operations and financial conditions.</w:t>
      </w:r>
    </w:p>
    <w:p>
      <w:pPr>
        <w:spacing w:after="0" w:line="16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189" w:lineRule="exact"/>
        <w:rPr>
          <w:sz w:val="20"/>
          <w:szCs w:val="20"/>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23"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development and marketing plan;</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filing plans;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trial plans and anticipated results, including publication thereof:</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integration of the CTRM business and assets;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23" w:lineRule="exact"/>
        <w:rPr>
          <w:rFonts w:ascii="Arial" w:cs="Arial" w:eastAsia="Arial" w:hAnsi="Arial"/>
          <w:sz w:val="18"/>
          <w:szCs w:val="18"/>
          <w:color w:val="auto"/>
        </w:rPr>
      </w:pPr>
    </w:p>
    <w:p>
      <w:pPr>
        <w:ind w:left="700" w:hanging="368"/>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As of June 30, 2015, we would not expect our operating results or cash flows to be affected to any significant degree by the effect of a sudden change in market interest rates or credit conditions on our securities portfolio.</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operate in the United States of America and have closed operations in Denmark. We are primarily exposed to foreign exchange risk with respect to recognized assets and liabilities. Our vendors in countries outside the United States are typically paid in Euro and/or Danish Krone. We do not enter into hedging transactions and do not purchase derivative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SEC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88"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Company carried out an evaluation, under the supervision and with the participation of its management, including the Certifying Officers of the effectiveness of the Company’s disclosure controls and procedures as defined in Rules l3a-15(e) and l5d-15(e) under the Exchange Act. Based on the evaluation as of June 30, 2015, our Certifying Officers concluded that the Company’s disclosure controls and procedures were effective.</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June 30, 2015 that have materially affected, or are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Information regarding our risk factors is set forth in Part 1, Item 1A, “Risk Factors,” on our Annual Report on Form 10-K, which was filed with the Securities and Exchange Commission on March 25, 2015. There have been no material changes in our risk factors from those disclosed in Part 1, Item 1A, “Risk Factors” on our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did not repurchase any of its equity securities during the quarter ended June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immediately following the Signature,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2015</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240" w:top="125" w:right="6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80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r>
      <w:tr>
        <w:trPr>
          <w:trHeight w:val="431"/>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31.1</w:t>
            </w:r>
          </w:p>
        </w:tc>
        <w:tc>
          <w:tcPr>
            <w:tcW w:w="46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Certification by Chief Executive Officer required by Rule 13a-14(a) or 15d-14(a) of the Securities Exchange Act of 1934 (furnished</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herewith).</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4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Certification by Chief Accounting Officer required by Rule 13a-14(a) or 15d-14(a) of the Securities Exchange Act of 1934 (furnished</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herewith).</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4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Act of 2002 (furnished herewith).</w:t>
            </w:r>
          </w:p>
        </w:tc>
      </w:tr>
      <w:tr>
        <w:trPr>
          <w:trHeight w:val="52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4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Certification of Chief Accounting Officer pursuant to 18 U.S.C. Section 1350, as adopted pursuant to Section 906 of the Sarbanes-</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Oxley Act of 2002 (furnished herewith).</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40"/>
        </w:trPr>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702"/>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Adverse Event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Autologous (Patient Specific)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 — Biologics License Application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 — Critical Limb Ischemia</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Controlled Clinical Trial</w:t>
      </w:r>
    </w:p>
    <w:p>
      <w:pPr>
        <w:spacing w:after="0" w:line="200" w:lineRule="exact"/>
        <w:rPr>
          <w:sz w:val="20"/>
          <w:szCs w:val="20"/>
          <w:color w:val="auto"/>
        </w:rPr>
      </w:pPr>
    </w:p>
    <w:p>
      <w:pPr>
        <w:spacing w:after="0" w:line="295" w:lineRule="exact"/>
        <w:rPr>
          <w:sz w:val="20"/>
          <w:szCs w:val="20"/>
          <w:color w:val="auto"/>
        </w:rPr>
      </w:pPr>
    </w:p>
    <w:p>
      <w:pPr>
        <w:ind w:left="40" w:right="700"/>
        <w:spacing w:after="0" w:line="634" w:lineRule="auto"/>
        <w:rPr>
          <w:sz w:val="20"/>
          <w:szCs w:val="20"/>
          <w:color w:val="auto"/>
        </w:rPr>
      </w:pPr>
      <w:r>
        <w:rPr>
          <w:rFonts w:ascii="Arial" w:cs="Arial" w:eastAsia="Arial" w:hAnsi="Arial"/>
          <w:sz w:val="16"/>
          <w:szCs w:val="16"/>
          <w:color w:val="auto"/>
        </w:rPr>
        <w:t>DCM — Dilated Cardiomyopathy Double-Blind Clinical Trial</w:t>
      </w:r>
    </w:p>
    <w:p>
      <w:pPr>
        <w:ind w:left="40"/>
        <w:spacing w:after="0"/>
        <w:rPr>
          <w:sz w:val="20"/>
          <w:szCs w:val="20"/>
          <w:color w:val="auto"/>
        </w:rPr>
      </w:pPr>
      <w:r>
        <w:rPr>
          <w:rFonts w:ascii="Arial" w:cs="Arial" w:eastAsia="Arial" w:hAnsi="Arial"/>
          <w:sz w:val="18"/>
          <w:szCs w:val="18"/>
          <w:color w:val="auto"/>
        </w:rPr>
        <w:t>FDA — Food &amp; Drug Administration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GMP — Good Manufacturing Practice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Hematopoietic Cells</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Ischemia</w:t>
      </w:r>
    </w:p>
    <w:p>
      <w:pPr>
        <w:spacing w:after="0" w:line="279" w:lineRule="exact"/>
        <w:rPr>
          <w:sz w:val="20"/>
          <w:szCs w:val="20"/>
          <w:color w:val="auto"/>
        </w:rPr>
      </w:pPr>
    </w:p>
    <w:p>
      <w:pPr>
        <w:ind w:left="40" w:right="20"/>
        <w:spacing w:after="0" w:line="340" w:lineRule="auto"/>
        <w:rPr>
          <w:sz w:val="20"/>
          <w:szCs w:val="20"/>
          <w:color w:val="auto"/>
        </w:rPr>
      </w:pPr>
      <w:r>
        <w:rPr>
          <w:rFonts w:ascii="Arial" w:cs="Arial" w:eastAsia="Arial" w:hAnsi="Arial"/>
          <w:sz w:val="18"/>
          <w:szCs w:val="18"/>
          <w:color w:val="auto"/>
        </w:rPr>
        <w:t>LVEF — Left Ventricular Ejection Fraction Mesenchymal stromal cells</w:t>
      </w:r>
    </w:p>
    <w:p>
      <w:pPr>
        <w:spacing w:after="0" w:line="170" w:lineRule="exact"/>
        <w:rPr>
          <w:sz w:val="20"/>
          <w:szCs w:val="20"/>
          <w:color w:val="auto"/>
        </w:rPr>
      </w:pPr>
    </w:p>
    <w:p>
      <w:pPr>
        <w:ind w:left="40" w:right="560"/>
        <w:spacing w:after="0" w:line="412" w:lineRule="auto"/>
        <w:rPr>
          <w:sz w:val="20"/>
          <w:szCs w:val="20"/>
          <w:color w:val="auto"/>
        </w:rPr>
      </w:pPr>
      <w:r>
        <w:rPr>
          <w:rFonts w:ascii="Arial" w:cs="Arial" w:eastAsia="Arial" w:hAnsi="Arial"/>
          <w:sz w:val="16"/>
          <w:szCs w:val="16"/>
          <w:color w:val="auto"/>
        </w:rPr>
        <w:t>M2 anti-inflammatory macrophages Open-label Clinical Trial</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Orphan Drug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1 Clinical Trial</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2 Clinical Trial</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2b Clinical 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GLOSSARY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4776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4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 adverse change in health or “side-effect” that occurs in a person participating in a clinical trial, from the time they consent to joining the trial until a pre-specified period of time after their treatment has been completed.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Originating from the patient receiving treatment. (Vericel uses only autologous cells).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application containing product safety, efficacy and manufacturing information required by the FDA to market biologics products in the U.S.</w:t>
      </w:r>
    </w:p>
    <w:p>
      <w:pPr>
        <w:spacing w:after="0" w:line="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 atherosclerotic vascular disease characterized by insufficient blood flow in the lower extremities that causes severe pain, tissue loss or both.</w:t>
      </w:r>
    </w:p>
    <w:p>
      <w:pPr>
        <w:spacing w:after="0" w:line="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clinical study that compares patients receiving a specific treatment to patients receiving an alternate treatment for the condition of interest. The alternate treatment may be another active treatment, standard of care for the condition and/or a placebo (inactive) treatment.</w:t>
      </w:r>
    </w:p>
    <w:p>
      <w:pPr>
        <w:spacing w:after="0" w:line="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chronic cardiac disease where expansion of the patient’s heart reduces the pumping function to a point that the normal circulation of blood cannot be maintained.</w:t>
      </w:r>
    </w:p>
    <w:p>
      <w:pPr>
        <w:spacing w:after="0" w:line="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Clinical trials in which neither the patient nor the physician know if the patient received the experimental treatment or a control/placebo.</w:t>
      </w:r>
    </w:p>
    <w:p>
      <w:pPr>
        <w:spacing w:after="0" w:line="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U.S. FDA ensures that medicines, medical devices, and radiation-emitting consumer products are safe and effective. Authorized by Congress to enforce the Federal Food, Drug, and Cosmetic Act and several other public health laws, the agency monitors the manufacture, import, transport, storage, and sale of $1 trillion worth of goods annually.</w:t>
      </w:r>
    </w:p>
    <w:p>
      <w:pPr>
        <w:spacing w:after="0" w:line="25"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GMP regulations require that manufacturers, processors, and packagers of drugs, medical devices, some food, and blood take proactive steps to ensure that their products are safe, pure, and effective. GMP regulations require a quality approach to manufacturing, enabling companies to minimize or eliminate instances of contamination, mix-ups, and errors.</w:t>
      </w:r>
    </w:p>
    <w:p>
      <w:pPr>
        <w:spacing w:after="0" w:line="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of the cells in the blood system including myeloid (monocytes and macrophages, neutrophils, basophils, eosinophils, erythrocytes, megakaryocytes/platelets, dendritic cells), and lymphoid lineages (T-cells, B-cells, NK-cells).</w:t>
      </w:r>
    </w:p>
    <w:p>
      <w:pPr>
        <w:spacing w:after="0" w:line="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shortage or inadequate flow of blood to a body part (commonly an organ or tissue) caused by a constriction or obstruction of the blood vessels supplying it.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fraction of blood pumped out of the left ventricle with each heartbeat.</w:t>
      </w:r>
    </w:p>
    <w:p>
      <w:pPr>
        <w:spacing w:after="0" w:line="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Connective tissue cells that, in the case of bone marrow derived MSC, function to support blood forming cells and secrete anti-inflammatory factors.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Specialized blood cells that remove damaged tissue and bacteria and secrete anti-inflammatory factors.</w:t>
      </w:r>
    </w:p>
    <w:p>
      <w:pPr>
        <w:spacing w:after="0" w:line="8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trial in which both the treating physician and the patient know whether they are receiving the experimental treatment or control/placebo treatment.</w:t>
      </w:r>
    </w:p>
    <w:p>
      <w:pPr>
        <w:spacing w:after="0" w:line="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“Orphan drug” refers to a drug or biologic that is intended for use in the treatment of a rare disease or condition. Orphan drug designation from the U.S. Food and Drug Association (FDA) qualifies the sponsor to receive certain benefits from the Government in exchange for developing the drug for a rare disease or condition. The drug must then go through the FDA marketing approval process like any other drug or biologic which evaluates for safety and efficacy. Usually a sponsor receives a quicker review time and lower application fees for an orphan product.</w:t>
      </w:r>
    </w:p>
    <w:p>
      <w:pPr>
        <w:spacing w:after="0" w:line="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Phase 1 trial represents an initial study in a small group of patients to test for safety and other relevant factors.</w:t>
      </w:r>
    </w:p>
    <w:p>
      <w:pPr>
        <w:spacing w:after="0" w:line="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Phase 2 trial represents a study in a moderate number of patients to assess the safety and efficacy of a product.</w:t>
      </w:r>
    </w:p>
    <w:p>
      <w:pPr>
        <w:spacing w:after="0" w:line="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Phase 2b trial is a moderately-sized Phase 2 trial that is more specifically designed assess the efficacy of a product than a Phase 2a trial.</w:t>
      </w:r>
    </w:p>
    <w:p>
      <w:pPr>
        <w:spacing w:after="0" w:line="22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3200" w:space="720"/>
            <w:col w:w="7440"/>
          </w:cols>
          <w:pgMar w:left="240" w:top="125"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9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627"/>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Phase 3 Clinical Trial</w:t>
            </w:r>
          </w:p>
        </w:tc>
        <w:tc>
          <w:tcPr>
            <w:tcW w:w="7920" w:type="dxa"/>
            <w:vAlign w:val="bottom"/>
          </w:tcPr>
          <w:p>
            <w:pPr>
              <w:ind w:left="980"/>
              <w:spacing w:after="0"/>
              <w:rPr>
                <w:sz w:val="20"/>
                <w:szCs w:val="20"/>
                <w:color w:val="auto"/>
              </w:rPr>
            </w:pPr>
            <w:r>
              <w:rPr>
                <w:rFonts w:ascii="Arial" w:cs="Arial" w:eastAsia="Arial" w:hAnsi="Arial"/>
                <w:sz w:val="18"/>
                <w:szCs w:val="18"/>
                <w:color w:val="auto"/>
                <w:w w:val="89"/>
              </w:rPr>
              <w:t>Phase 3 studies are initiated to establish safety and efficacy in an expanded patient population at</w:t>
            </w:r>
          </w:p>
        </w:tc>
      </w:tr>
      <w:tr>
        <w:trPr>
          <w:trHeight w:val="230"/>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920" w:type="dxa"/>
            <w:vAlign w:val="bottom"/>
          </w:tcPr>
          <w:p>
            <w:pPr>
              <w:ind w:left="980"/>
              <w:spacing w:after="0"/>
              <w:rPr>
                <w:sz w:val="20"/>
                <w:szCs w:val="20"/>
                <w:color w:val="auto"/>
              </w:rPr>
            </w:pPr>
            <w:r>
              <w:rPr>
                <w:rFonts w:ascii="Arial" w:cs="Arial" w:eastAsia="Arial" w:hAnsi="Arial"/>
                <w:sz w:val="18"/>
                <w:szCs w:val="18"/>
                <w:color w:val="auto"/>
                <w:w w:val="92"/>
              </w:rPr>
              <w:t>multiple clinical trial sites and are generally larger than trials in earlier phases of development.</w:t>
            </w:r>
          </w:p>
        </w:tc>
      </w:tr>
      <w:tr>
        <w:trPr>
          <w:trHeight w:val="256"/>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Prospective Clinical Trial</w:t>
            </w:r>
          </w:p>
        </w:tc>
        <w:tc>
          <w:tcPr>
            <w:tcW w:w="7920" w:type="dxa"/>
            <w:vAlign w:val="bottom"/>
          </w:tcPr>
          <w:p>
            <w:pPr>
              <w:ind w:left="980"/>
              <w:spacing w:after="0"/>
              <w:rPr>
                <w:sz w:val="20"/>
                <w:szCs w:val="20"/>
                <w:color w:val="auto"/>
              </w:rPr>
            </w:pPr>
            <w:r>
              <w:rPr>
                <w:rFonts w:ascii="Arial" w:cs="Arial" w:eastAsia="Arial" w:hAnsi="Arial"/>
                <w:sz w:val="18"/>
                <w:szCs w:val="18"/>
                <w:color w:val="auto"/>
                <w:w w:val="92"/>
              </w:rPr>
              <w:t>A clinical trial in which participants are identified and then followed throughout the study going</w:t>
            </w:r>
          </w:p>
        </w:tc>
      </w:tr>
      <w:tr>
        <w:trPr>
          <w:trHeight w:val="230"/>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920" w:type="dxa"/>
            <w:vAlign w:val="bottom"/>
          </w:tcPr>
          <w:p>
            <w:pPr>
              <w:ind w:left="980"/>
              <w:spacing w:after="0"/>
              <w:rPr>
                <w:sz w:val="20"/>
                <w:szCs w:val="20"/>
                <w:color w:val="auto"/>
              </w:rPr>
            </w:pPr>
            <w:r>
              <w:rPr>
                <w:rFonts w:ascii="Arial" w:cs="Arial" w:eastAsia="Arial" w:hAnsi="Arial"/>
                <w:sz w:val="18"/>
                <w:szCs w:val="18"/>
                <w:color w:val="auto"/>
              </w:rPr>
              <w:t>forward in time.</w:t>
            </w:r>
          </w:p>
        </w:tc>
      </w:tr>
      <w:tr>
        <w:trPr>
          <w:trHeight w:val="270"/>
        </w:trPr>
        <w:tc>
          <w:tcPr>
            <w:tcW w:w="2940" w:type="dxa"/>
            <w:vAlign w:val="bottom"/>
            <w:gridSpan w:val="2"/>
          </w:tcPr>
          <w:p>
            <w:pPr>
              <w:ind w:left="40"/>
              <w:spacing w:after="0"/>
              <w:rPr>
                <w:sz w:val="20"/>
                <w:szCs w:val="20"/>
                <w:color w:val="auto"/>
              </w:rPr>
            </w:pPr>
            <w:r>
              <w:rPr>
                <w:rFonts w:ascii="Arial" w:cs="Arial" w:eastAsia="Arial" w:hAnsi="Arial"/>
                <w:sz w:val="18"/>
                <w:szCs w:val="18"/>
                <w:color w:val="auto"/>
              </w:rPr>
              <w:t>Randomized Clinical Trial</w:t>
            </w:r>
          </w:p>
        </w:tc>
        <w:tc>
          <w:tcPr>
            <w:tcW w:w="7920" w:type="dxa"/>
            <w:vAlign w:val="bottom"/>
          </w:tcPr>
          <w:p>
            <w:pPr>
              <w:ind w:left="980"/>
              <w:spacing w:after="0"/>
              <w:rPr>
                <w:sz w:val="20"/>
                <w:szCs w:val="20"/>
                <w:color w:val="auto"/>
              </w:rPr>
            </w:pPr>
            <w:r>
              <w:rPr>
                <w:rFonts w:ascii="Arial" w:cs="Arial" w:eastAsia="Arial" w:hAnsi="Arial"/>
                <w:sz w:val="18"/>
                <w:szCs w:val="18"/>
                <w:color w:val="auto"/>
                <w:w w:val="95"/>
              </w:rPr>
              <w:t>A clinical trial in which the participants are assigned randomly to different treatment groups.</w:t>
            </w:r>
          </w:p>
        </w:tc>
      </w:tr>
      <w:tr>
        <w:trPr>
          <w:trHeight w:val="702"/>
        </w:trPr>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920" w:type="dxa"/>
            <w:vAlign w:val="bottom"/>
          </w:tcPr>
          <w:p>
            <w:pPr>
              <w:ind w:left="268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0860"/>
          </w:cols>
          <w:pgMar w:left="240" w:top="108" w:right="7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12, 2015</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12, 2015</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2015,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12, 2015</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2015,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12, 2015</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9"/>
    </w:lvl>
    <w:lvl w:ilvl="1">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1."/>
      <w:numFmt w:val="decimal"/>
      <w:start w:val="5"/>
    </w:lvl>
    <w:lvl w:ilvl="1">
      <w:lvlJc w:val="left"/>
      <w:lvlText w:val="(%2)"/>
      <w:numFmt w:val="lowerLetter"/>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5"/>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2019-12-29T15:33:26Z</dcterms:created>
  <dcterms:modified xsi:type="dcterms:W3CDTF">2019-12-29T15:33:26Z</dcterms:modified>
</cp:coreProperties>
</file>