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203835</wp:posOffset>
            </wp:positionH>
            <wp:positionV relativeFrom="page">
              <wp:posOffset>1097915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1033780</wp:posOffset>
            </wp:positionV>
            <wp:extent cx="71412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10-Q</w:t>
      </w:r>
    </w:p>
    <w:p>
      <w:pPr>
        <w:spacing w:after="0" w:line="81" w:lineRule="exact"/>
        <w:rPr>
          <w:sz w:val="24"/>
          <w:szCs w:val="24"/>
          <w:color w:val="auto"/>
        </w:rPr>
      </w:pPr>
    </w:p>
    <w:p>
      <w:pPr>
        <w:ind w:left="640" w:hanging="287"/>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June 30, 2021</w:t>
      </w:r>
    </w:p>
    <w:p>
      <w:pPr>
        <w:jc w:val="center"/>
        <w:spacing w:after="0" w:line="186" w:lineRule="auto"/>
        <w:rPr>
          <w:sz w:val="20"/>
          <w:szCs w:val="20"/>
          <w:color w:val="auto"/>
        </w:rPr>
      </w:pPr>
      <w:r>
        <w:rPr>
          <w:rFonts w:ascii="Arial" w:cs="Arial" w:eastAsia="Arial" w:hAnsi="Arial"/>
          <w:sz w:val="17"/>
          <w:szCs w:val="17"/>
          <w:b w:val="1"/>
          <w:bCs w:val="1"/>
          <w:color w:val="auto"/>
        </w:rPr>
        <w:t>or</w:t>
      </w:r>
    </w:p>
    <w:p>
      <w:pPr>
        <w:ind w:left="660" w:hanging="334"/>
        <w:spacing w:after="0" w:line="236" w:lineRule="auto"/>
        <w:tabs>
          <w:tab w:leader="none" w:pos="6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280" w:type="dxa"/>
            <w:vAlign w:val="bottom"/>
          </w:tcPr>
          <w:p>
            <w:pPr>
              <w:spacing w:after="0"/>
              <w:rPr>
                <w:sz w:val="18"/>
                <w:szCs w:val="18"/>
                <w:color w:val="auto"/>
              </w:rPr>
            </w:pPr>
          </w:p>
        </w:tc>
        <w:tc>
          <w:tcPr>
            <w:tcW w:w="3940" w:type="dxa"/>
            <w:vAlign w:val="bottom"/>
            <w:gridSpan w:val="3"/>
          </w:tcPr>
          <w:p>
            <w:pPr>
              <w:ind w:left="1200"/>
              <w:spacing w:after="0"/>
              <w:rPr>
                <w:sz w:val="20"/>
                <w:szCs w:val="20"/>
                <w:color w:val="auto"/>
              </w:rPr>
            </w:pPr>
            <w:r>
              <w:rPr>
                <w:rFonts w:ascii="Arial" w:cs="Arial" w:eastAsia="Arial" w:hAnsi="Arial"/>
                <w:sz w:val="17"/>
                <w:szCs w:val="17"/>
                <w:b w:val="1"/>
                <w:bCs w:val="1"/>
                <w:color w:val="auto"/>
                <w:w w:val="93"/>
              </w:rPr>
              <w:t>Commission File Number 001-35280</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3280" w:type="dxa"/>
            <w:vAlign w:val="bottom"/>
          </w:tcPr>
          <w:p>
            <w:pPr>
              <w:spacing w:after="0"/>
              <w:rPr>
                <w:sz w:val="24"/>
                <w:szCs w:val="24"/>
                <w:color w:val="auto"/>
              </w:rPr>
            </w:pPr>
          </w:p>
        </w:tc>
        <w:tc>
          <w:tcPr>
            <w:tcW w:w="7960" w:type="dxa"/>
            <w:vAlign w:val="bottom"/>
            <w:gridSpan w:val="4"/>
          </w:tcPr>
          <w:p>
            <w:pPr>
              <w:jc w:val="center"/>
              <w:ind w:right="3189"/>
              <w:spacing w:after="0"/>
              <w:rPr>
                <w:sz w:val="20"/>
                <w:szCs w:val="20"/>
                <w:color w:val="auto"/>
              </w:rPr>
            </w:pPr>
            <w:r>
              <w:rPr>
                <w:rFonts w:ascii="Arial" w:cs="Arial" w:eastAsia="Arial" w:hAnsi="Arial"/>
                <w:sz w:val="30"/>
                <w:szCs w:val="30"/>
                <w:b w:val="1"/>
                <w:bCs w:val="1"/>
                <w:color w:val="auto"/>
              </w:rPr>
              <w:t>VERICEL CORPORATION</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3940" w:type="dxa"/>
            <w:vAlign w:val="bottom"/>
            <w:gridSpan w:val="3"/>
          </w:tcPr>
          <w:p>
            <w:pPr>
              <w:jc w:val="center"/>
              <w:ind w:left="676"/>
              <w:spacing w:after="0"/>
              <w:rPr>
                <w:sz w:val="20"/>
                <w:szCs w:val="20"/>
                <w:color w:val="auto"/>
              </w:rPr>
            </w:pPr>
            <w:r>
              <w:rPr>
                <w:rFonts w:ascii="Arial" w:cs="Arial" w:eastAsia="Arial" w:hAnsi="Arial"/>
                <w:sz w:val="13"/>
                <w:szCs w:val="13"/>
                <w:color w:val="auto"/>
                <w:w w:val="93"/>
              </w:rPr>
              <w:t>(Exact name of registrant as specified in its charter)</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vMerge w:val="restart"/>
          </w:tcPr>
          <w:p>
            <w:pPr>
              <w:jc w:val="center"/>
              <w:ind w:left="1609"/>
              <w:spacing w:after="0"/>
              <w:rPr>
                <w:sz w:val="20"/>
                <w:szCs w:val="20"/>
                <w:color w:val="auto"/>
              </w:rPr>
            </w:pPr>
            <w:r>
              <w:rPr>
                <w:rFonts w:ascii="Arial" w:cs="Arial" w:eastAsia="Arial" w:hAnsi="Arial"/>
                <w:sz w:val="13"/>
                <w:szCs w:val="13"/>
                <w:b w:val="1"/>
                <w:bCs w:val="1"/>
                <w:color w:val="auto"/>
                <w:w w:val="99"/>
              </w:rPr>
              <w:t>Michigan</w:t>
            </w:r>
          </w:p>
        </w:tc>
        <w:tc>
          <w:tcPr>
            <w:tcW w:w="134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2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94-3096597</w:t>
            </w:r>
          </w:p>
        </w:tc>
        <w:tc>
          <w:tcPr>
            <w:tcW w:w="0" w:type="dxa"/>
            <w:vAlign w:val="bottom"/>
          </w:tcPr>
          <w:p>
            <w:pPr>
              <w:spacing w:after="0"/>
              <w:rPr>
                <w:sz w:val="1"/>
                <w:szCs w:val="1"/>
                <w:color w:val="auto"/>
              </w:rPr>
            </w:pPr>
          </w:p>
        </w:tc>
      </w:tr>
      <w:tr>
        <w:trPr>
          <w:trHeight w:val="280"/>
        </w:trPr>
        <w:tc>
          <w:tcPr>
            <w:tcW w:w="32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20" w:type="dxa"/>
            <w:vAlign w:val="bottom"/>
            <w:gridSpan w:val="4"/>
          </w:tcPr>
          <w:p>
            <w:pPr>
              <w:jc w:val="center"/>
              <w:ind w:right="2260"/>
              <w:spacing w:after="0"/>
              <w:rPr>
                <w:sz w:val="20"/>
                <w:szCs w:val="20"/>
                <w:color w:val="auto"/>
              </w:rPr>
            </w:pPr>
            <w:r>
              <w:rPr>
                <w:rFonts w:ascii="Arial" w:cs="Arial" w:eastAsia="Arial" w:hAnsi="Arial"/>
                <w:sz w:val="13"/>
                <w:szCs w:val="13"/>
                <w:color w:val="auto"/>
                <w:w w:val="95"/>
              </w:rPr>
              <w:t>(State or other jurisdiction of incorporation or organization)</w:t>
            </w:r>
          </w:p>
        </w:tc>
        <w:tc>
          <w:tcPr>
            <w:tcW w:w="4020" w:type="dxa"/>
            <w:vAlign w:val="bottom"/>
          </w:tcPr>
          <w:p>
            <w:pPr>
              <w:ind w:left="20"/>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385"/>
        </w:trPr>
        <w:tc>
          <w:tcPr>
            <w:tcW w:w="3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w w:val="87"/>
              </w:rPr>
              <w:t>64 Sidney Street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w w:val="92"/>
              </w:rPr>
              <w:t>Cambridge, MA 02139</w:t>
            </w: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3940" w:type="dxa"/>
            <w:vAlign w:val="bottom"/>
            <w:gridSpan w:val="3"/>
          </w:tcPr>
          <w:p>
            <w:pPr>
              <w:jc w:val="center"/>
              <w:ind w:left="636"/>
              <w:spacing w:after="0"/>
              <w:rPr>
                <w:sz w:val="20"/>
                <w:szCs w:val="20"/>
                <w:color w:val="auto"/>
              </w:rPr>
            </w:pPr>
            <w:r>
              <w:rPr>
                <w:rFonts w:ascii="Arial" w:cs="Arial" w:eastAsia="Arial" w:hAnsi="Arial"/>
                <w:sz w:val="13"/>
                <w:szCs w:val="13"/>
                <w:color w:val="auto"/>
                <w:w w:val="95"/>
              </w:rPr>
              <w:t>(Address of principal executive offices, including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3280" w:type="dxa"/>
            <w:vAlign w:val="bottom"/>
          </w:tcPr>
          <w:p>
            <w:pPr>
              <w:spacing w:after="0"/>
              <w:rPr>
                <w:sz w:val="24"/>
                <w:szCs w:val="24"/>
                <w:color w:val="auto"/>
              </w:rPr>
            </w:pPr>
          </w:p>
        </w:tc>
        <w:tc>
          <w:tcPr>
            <w:tcW w:w="7960" w:type="dxa"/>
            <w:vAlign w:val="bottom"/>
            <w:gridSpan w:val="4"/>
          </w:tcPr>
          <w:p>
            <w:pPr>
              <w:jc w:val="center"/>
              <w:ind w:right="3229"/>
              <w:spacing w:after="0"/>
              <w:rPr>
                <w:sz w:val="20"/>
                <w:szCs w:val="20"/>
                <w:color w:val="auto"/>
              </w:rPr>
            </w:pPr>
            <w:r>
              <w:rPr>
                <w:rFonts w:ascii="Arial" w:cs="Arial" w:eastAsia="Arial" w:hAnsi="Arial"/>
                <w:sz w:val="13"/>
                <w:szCs w:val="13"/>
                <w:color w:val="auto"/>
                <w:w w:val="93"/>
              </w:rPr>
              <w:t xml:space="preserve">Registrant’s telephone number, including area code: </w:t>
            </w:r>
            <w:r>
              <w:rPr>
                <w:rFonts w:ascii="Arial" w:cs="Arial" w:eastAsia="Arial" w:hAnsi="Arial"/>
                <w:sz w:val="13"/>
                <w:szCs w:val="13"/>
                <w:b w:val="1"/>
                <w:bCs w:val="1"/>
                <w:color w:val="auto"/>
                <w:w w:val="93"/>
              </w:rPr>
              <w:t>(617) 588-5555</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3280" w:type="dxa"/>
            <w:vAlign w:val="bottom"/>
          </w:tcPr>
          <w:p>
            <w:pPr>
              <w:spacing w:after="0"/>
              <w:rPr>
                <w:sz w:val="24"/>
                <w:szCs w:val="24"/>
                <w:color w:val="auto"/>
              </w:rPr>
            </w:pPr>
          </w:p>
        </w:tc>
        <w:tc>
          <w:tcPr>
            <w:tcW w:w="3940" w:type="dxa"/>
            <w:vAlign w:val="bottom"/>
            <w:gridSpan w:val="3"/>
          </w:tcPr>
          <w:p>
            <w:pPr>
              <w:jc w:val="center"/>
              <w:ind w:left="676"/>
              <w:spacing w:after="0"/>
              <w:rPr>
                <w:sz w:val="20"/>
                <w:szCs w:val="20"/>
                <w:color w:val="auto"/>
              </w:rPr>
            </w:pPr>
            <w:r>
              <w:rPr>
                <w:rFonts w:ascii="Arial" w:cs="Arial" w:eastAsia="Arial" w:hAnsi="Arial"/>
                <w:sz w:val="13"/>
                <w:szCs w:val="13"/>
                <w:color w:val="auto"/>
                <w:w w:val="93"/>
              </w:rPr>
              <w:t>Securities registered pursuant to Section 12(b) of the Act: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tcBorders>
              <w:bottom w:val="single" w:sz="8" w:color="auto"/>
            </w:tcBorders>
          </w:tcPr>
          <w:p>
            <w:pPr>
              <w:jc w:val="center"/>
              <w:ind w:left="409"/>
              <w:spacing w:after="0"/>
              <w:rPr>
                <w:sz w:val="20"/>
                <w:szCs w:val="20"/>
                <w:color w:val="auto"/>
              </w:rPr>
            </w:pPr>
            <w:r>
              <w:rPr>
                <w:rFonts w:ascii="Arial" w:cs="Arial" w:eastAsia="Arial" w:hAnsi="Arial"/>
                <w:sz w:val="15"/>
                <w:szCs w:val="15"/>
                <w:b w:val="1"/>
                <w:bCs w:val="1"/>
                <w:color w:val="auto"/>
                <w:w w:val="89"/>
              </w:rPr>
              <w:t>Title of Class</w:t>
            </w:r>
          </w:p>
        </w:tc>
        <w:tc>
          <w:tcPr>
            <w:tcW w:w="1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5"/>
                <w:szCs w:val="15"/>
                <w:b w:val="1"/>
                <w:bCs w:val="1"/>
                <w:color w:val="auto"/>
                <w:w w:val="92"/>
              </w:rPr>
              <w:t>Trading Symbol(s)</w:t>
            </w:r>
          </w:p>
        </w:tc>
        <w:tc>
          <w:tcPr>
            <w:tcW w:w="402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1"/>
        </w:trPr>
        <w:tc>
          <w:tcPr>
            <w:tcW w:w="3280" w:type="dxa"/>
            <w:vAlign w:val="bottom"/>
          </w:tcPr>
          <w:p>
            <w:pPr>
              <w:jc w:val="center"/>
              <w:ind w:left="409"/>
              <w:spacing w:after="0"/>
              <w:rPr>
                <w:sz w:val="20"/>
                <w:szCs w:val="20"/>
                <w:color w:val="auto"/>
              </w:rPr>
            </w:pPr>
            <w:r>
              <w:rPr>
                <w:rFonts w:ascii="Arial" w:cs="Arial" w:eastAsia="Arial" w:hAnsi="Arial"/>
                <w:sz w:val="15"/>
                <w:szCs w:val="15"/>
                <w:color w:val="auto"/>
                <w:w w:val="93"/>
              </w:rPr>
              <w:t>Common Stock (No par value)</w:t>
            </w:r>
          </w:p>
        </w:tc>
        <w:tc>
          <w:tcPr>
            <w:tcW w:w="1340" w:type="dxa"/>
            <w:vAlign w:val="bottom"/>
          </w:tcPr>
          <w:p>
            <w:pPr>
              <w:spacing w:after="0"/>
              <w:rPr>
                <w:sz w:val="16"/>
                <w:szCs w:val="16"/>
                <w:color w:val="auto"/>
              </w:rPr>
            </w:pPr>
          </w:p>
        </w:tc>
        <w:tc>
          <w:tcPr>
            <w:tcW w:w="2600" w:type="dxa"/>
            <w:vAlign w:val="bottom"/>
            <w:gridSpan w:val="2"/>
          </w:tcPr>
          <w:p>
            <w:pPr>
              <w:jc w:val="center"/>
              <w:ind w:right="580"/>
              <w:spacing w:after="0"/>
              <w:rPr>
                <w:sz w:val="20"/>
                <w:szCs w:val="20"/>
                <w:color w:val="auto"/>
              </w:rPr>
            </w:pPr>
            <w:r>
              <w:rPr>
                <w:rFonts w:ascii="Arial" w:cs="Arial" w:eastAsia="Arial" w:hAnsi="Arial"/>
                <w:sz w:val="15"/>
                <w:szCs w:val="15"/>
                <w:color w:val="auto"/>
                <w:w w:val="96"/>
              </w:rPr>
              <w:t>VCEL</w:t>
            </w:r>
          </w:p>
        </w:tc>
        <w:tc>
          <w:tcPr>
            <w:tcW w:w="4020" w:type="dxa"/>
            <w:vAlign w:val="bottom"/>
          </w:tcPr>
          <w:p>
            <w:pPr>
              <w:ind w:left="1840"/>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bl>
    <w:p>
      <w:pPr>
        <w:spacing w:after="0" w:line="351" w:lineRule="exact"/>
        <w:rPr>
          <w:sz w:val="24"/>
          <w:szCs w:val="24"/>
          <w:color w:val="auto"/>
        </w:rPr>
      </w:pPr>
    </w:p>
    <w:p>
      <w:pPr>
        <w:ind w:right="260" w:firstLine="303"/>
        <w:spacing w:after="0" w:line="30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0" w:lineRule="exact"/>
        <w:rPr>
          <w:sz w:val="24"/>
          <w:szCs w:val="24"/>
          <w:color w:val="auto"/>
        </w:rPr>
      </w:pPr>
    </w:p>
    <w:p>
      <w:pPr>
        <w:ind w:right="140" w:firstLine="303"/>
        <w:spacing w:after="0" w:line="23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12"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940" w:type="dxa"/>
        <w:tblCellMar>
          <w:top w:w="0" w:type="dxa"/>
          <w:left w:w="0" w:type="dxa"/>
          <w:bottom w:w="0" w:type="dxa"/>
          <w:right w:w="0" w:type="dxa"/>
        </w:tblCellMar>
      </w:tblPr>
      <w:tr>
        <w:trPr>
          <w:trHeight w:val="177"/>
        </w:trPr>
        <w:tc>
          <w:tcPr>
            <w:tcW w:w="2060" w:type="dxa"/>
            <w:vAlign w:val="bottom"/>
          </w:tcPr>
          <w:p>
            <w:pPr>
              <w:jc w:val="center"/>
              <w:ind w:right="793"/>
              <w:spacing w:after="0"/>
              <w:rPr>
                <w:sz w:val="20"/>
                <w:szCs w:val="20"/>
                <w:color w:val="auto"/>
              </w:rPr>
            </w:pPr>
            <w:r>
              <w:rPr>
                <w:rFonts w:ascii="Arial" w:cs="Arial" w:eastAsia="Arial" w:hAnsi="Arial"/>
                <w:sz w:val="13"/>
                <w:szCs w:val="13"/>
                <w:color w:val="auto"/>
                <w:w w:val="93"/>
              </w:rPr>
              <w:t>Large accelerated filer</w:t>
            </w:r>
          </w:p>
        </w:tc>
        <w:tc>
          <w:tcPr>
            <w:tcW w:w="14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jc w:val="center"/>
              <w:spacing w:after="0"/>
              <w:rPr>
                <w:sz w:val="20"/>
                <w:szCs w:val="20"/>
                <w:color w:val="auto"/>
              </w:rPr>
            </w:pPr>
            <w:r>
              <w:rPr>
                <w:rFonts w:ascii="Arial" w:cs="Arial" w:eastAsia="Arial" w:hAnsi="Arial"/>
                <w:sz w:val="13"/>
                <w:szCs w:val="13"/>
                <w:color w:val="auto"/>
                <w:w w:val="96"/>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7"/>
        </w:trPr>
        <w:tc>
          <w:tcPr>
            <w:tcW w:w="2060" w:type="dxa"/>
            <w:vAlign w:val="bottom"/>
          </w:tcPr>
          <w:p>
            <w:pPr>
              <w:jc w:val="center"/>
              <w:ind w:right="813"/>
              <w:spacing w:after="0"/>
              <w:rPr>
                <w:sz w:val="20"/>
                <w:szCs w:val="20"/>
                <w:color w:val="auto"/>
              </w:rPr>
            </w:pPr>
            <w:r>
              <w:rPr>
                <w:rFonts w:ascii="Arial" w:cs="Arial" w:eastAsia="Arial" w:hAnsi="Arial"/>
                <w:sz w:val="13"/>
                <w:szCs w:val="13"/>
                <w:color w:val="auto"/>
                <w:w w:val="95"/>
              </w:rPr>
              <w:t>Non-accelerated filer</w:t>
            </w:r>
          </w:p>
        </w:tc>
        <w:tc>
          <w:tcPr>
            <w:tcW w:w="14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jc w:val="center"/>
              <w:spacing w:after="0"/>
              <w:rPr>
                <w:sz w:val="20"/>
                <w:szCs w:val="20"/>
                <w:color w:val="auto"/>
              </w:rPr>
            </w:pPr>
            <w:r>
              <w:rPr>
                <w:rFonts w:ascii="Arial" w:cs="Arial" w:eastAsia="Arial" w:hAnsi="Arial"/>
                <w:sz w:val="13"/>
                <w:szCs w:val="13"/>
                <w:color w:val="auto"/>
                <w:w w:val="95"/>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3"/>
                <w:szCs w:val="13"/>
                <w:color w:val="auto"/>
                <w:w w:val="95"/>
              </w:rPr>
              <w:t>Emerging growth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4" w:lineRule="exact"/>
        <w:rPr>
          <w:sz w:val="24"/>
          <w:szCs w:val="24"/>
          <w:color w:val="auto"/>
        </w:rPr>
      </w:pPr>
    </w:p>
    <w:p>
      <w:pPr>
        <w:ind w:right="420" w:firstLine="303"/>
        <w:spacing w:after="0" w:line="271"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8" w:lineRule="exact"/>
        <w:rPr>
          <w:sz w:val="24"/>
          <w:szCs w:val="24"/>
          <w:color w:val="auto"/>
        </w:rPr>
      </w:pPr>
    </w:p>
    <w:p>
      <w:pPr>
        <w:ind w:left="30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311"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As of July 30, 2021, 46,631,158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71412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160020</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QUARTERLY REPORT ON FORM 10-Q</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5"/>
          </w:tcPr>
          <w:p>
            <w:pPr>
              <w:ind w:left="2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60" w:type="dxa"/>
            <w:vAlign w:val="bottom"/>
            <w:gridSpan w:val="18"/>
          </w:tcPr>
          <w:p>
            <w:pPr>
              <w:spacing w:after="0"/>
              <w:rPr>
                <w:sz w:val="20"/>
                <w:szCs w:val="20"/>
                <w:color w:val="auto"/>
              </w:rPr>
            </w:pPr>
            <w:r>
              <w:rPr>
                <w:rFonts w:ascii="Arial" w:cs="Arial" w:eastAsia="Arial" w:hAnsi="Arial"/>
                <w:sz w:val="17"/>
                <w:szCs w:val="17"/>
                <w:b w:val="1"/>
                <w:bCs w:val="1"/>
                <w:color w:val="auto"/>
              </w:rPr>
              <w:t>PART I - FINANCIAL INFORMATION</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40" w:type="dxa"/>
            <w:vAlign w:val="bottom"/>
            <w:gridSpan w:val="3"/>
          </w:tcPr>
          <w:p>
            <w:pPr>
              <w:spacing w:after="0" w:line="177" w:lineRule="exact"/>
              <w:rPr>
                <w:sz w:val="20"/>
                <w:szCs w:val="20"/>
                <w:color w:val="auto"/>
              </w:rPr>
            </w:pPr>
            <w:r>
              <w:rPr>
                <w:rFonts w:ascii="Arial" w:cs="Arial" w:eastAsia="Arial" w:hAnsi="Arial"/>
                <w:sz w:val="17"/>
                <w:szCs w:val="17"/>
                <w:color w:val="auto"/>
              </w:rPr>
              <w:t>Item 1.</w:t>
            </w:r>
          </w:p>
        </w:tc>
        <w:tc>
          <w:tcPr>
            <w:tcW w:w="2320" w:type="dxa"/>
            <w:vAlign w:val="bottom"/>
            <w:gridSpan w:val="8"/>
          </w:tcPr>
          <w:p>
            <w:pPr>
              <w:spacing w:after="0" w:line="177" w:lineRule="exact"/>
              <w:rPr>
                <w:sz w:val="20"/>
                <w:szCs w:val="20"/>
                <w:color w:val="auto"/>
              </w:rPr>
            </w:pPr>
            <w:r>
              <w:rPr>
                <w:rFonts w:ascii="Arial" w:cs="Arial" w:eastAsia="Arial" w:hAnsi="Arial"/>
                <w:sz w:val="17"/>
                <w:szCs w:val="17"/>
                <w:color w:val="0000FF"/>
                <w:w w:val="89"/>
              </w:rPr>
              <w:t>Financial Statements (Unaudited):</w:t>
            </w:r>
          </w:p>
        </w:tc>
        <w:tc>
          <w:tcPr>
            <w:tcW w:w="6940" w:type="dxa"/>
            <w:vAlign w:val="bottom"/>
            <w:gridSpan w:val="10"/>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40" w:type="dxa"/>
            <w:vAlign w:val="bottom"/>
            <w:gridSpan w:val="13"/>
          </w:tcPr>
          <w:p>
            <w:pPr>
              <w:spacing w:after="0"/>
              <w:rPr>
                <w:rFonts w:ascii="Arial" w:cs="Arial" w:eastAsia="Arial" w:hAnsi="Arial"/>
                <w:sz w:val="17"/>
                <w:szCs w:val="17"/>
                <w:color w:val="0000FF"/>
                <w:w w:val="91"/>
              </w:rPr>
            </w:pPr>
            <w:hyperlink w:anchor="page3">
              <w:r>
                <w:rPr>
                  <w:rFonts w:ascii="Arial" w:cs="Arial" w:eastAsia="Arial" w:hAnsi="Arial"/>
                  <w:sz w:val="17"/>
                  <w:szCs w:val="17"/>
                  <w:color w:val="0000FF"/>
                  <w:w w:val="91"/>
                </w:rPr>
                <w:t>Condensed Consolidated Balance Sheets as of June 30, 2021 and December 31, 2020</w:t>
              </w:r>
            </w:hyperlink>
          </w:p>
        </w:tc>
        <w:tc>
          <w:tcPr>
            <w:tcW w:w="3220" w:type="dxa"/>
            <w:vAlign w:val="bottom"/>
            <w:gridSpan w:val="5"/>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00" w:type="dxa"/>
            <w:vAlign w:val="bottom"/>
            <w:gridSpan w:val="16"/>
          </w:tcPr>
          <w:p>
            <w:pPr>
              <w:spacing w:after="0"/>
              <w:rPr>
                <w:rFonts w:ascii="Arial" w:cs="Arial" w:eastAsia="Arial" w:hAnsi="Arial"/>
                <w:sz w:val="17"/>
                <w:szCs w:val="17"/>
                <w:color w:val="0000FF"/>
                <w:w w:val="95"/>
              </w:rPr>
            </w:pPr>
            <w:hyperlink w:anchor="page3">
              <w:r>
                <w:rPr>
                  <w:rFonts w:ascii="Arial" w:cs="Arial" w:eastAsia="Arial" w:hAnsi="Arial"/>
                  <w:sz w:val="17"/>
                  <w:szCs w:val="17"/>
                  <w:color w:val="0000FF"/>
                  <w:w w:val="95"/>
                </w:rPr>
                <w:t>Condensed Consolidated Statements of Operations for the three and six months ended June 30, 2021 and 2020</w:t>
              </w:r>
            </w:hyperlink>
          </w:p>
        </w:tc>
        <w:tc>
          <w:tcPr>
            <w:tcW w:w="1160" w:type="dxa"/>
            <w:vAlign w:val="bottom"/>
            <w:gridSpan w:val="2"/>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Comprehensive Loss for the three and six months ended June 30, 2021 and 2020</w:t>
              </w:r>
            </w:hyperlink>
          </w:p>
        </w:tc>
        <w:tc>
          <w:tcPr>
            <w:tcW w:w="70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7"/>
                <w:szCs w:val="17"/>
                <w:color w:val="0000FF"/>
                <w:w w:val="89"/>
              </w:rPr>
            </w:pPr>
            <w:hyperlink w:anchor="page5">
              <w:r>
                <w:rPr>
                  <w:rFonts w:ascii="Arial" w:cs="Arial" w:eastAsia="Arial" w:hAnsi="Arial"/>
                  <w:sz w:val="17"/>
                  <w:szCs w:val="17"/>
                  <w:color w:val="0000FF"/>
                  <w:w w:val="89"/>
                </w:rPr>
                <w:t>Condensed Consolidated Statements of Shareholders' Equity from December 31, 2020 to June 30, 2021 and from December 31, 2019 to</w:t>
              </w:r>
            </w:hyperlink>
          </w:p>
        </w:tc>
        <w:tc>
          <w:tcPr>
            <w:tcW w:w="600" w:type="dxa"/>
            <w:vAlign w:val="bottom"/>
            <w:gridSpan w:val="2"/>
            <w:vMerge w:val="restart"/>
          </w:tcPr>
          <w:p>
            <w:pPr>
              <w:spacing w:after="0"/>
              <w:rPr>
                <w:sz w:val="24"/>
                <w:szCs w:val="24"/>
                <w:color w:val="auto"/>
              </w:rPr>
            </w:pPr>
          </w:p>
        </w:tc>
        <w:tc>
          <w:tcPr>
            <w:tcW w:w="100" w:type="dxa"/>
            <w:vAlign w:val="bottom"/>
            <w:gridSpan w:val="2"/>
            <w:vMerge w:val="restart"/>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Borders>
              <w:top w:val="single" w:sz="8" w:color="0000FF"/>
            </w:tcBorders>
            <w:gridSpan w:val="4"/>
          </w:tcPr>
          <w:p>
            <w:pPr>
              <w:spacing w:after="0" w:line="144" w:lineRule="exact"/>
              <w:rPr>
                <w:rFonts w:ascii="Arial" w:cs="Arial" w:eastAsia="Arial" w:hAnsi="Arial"/>
                <w:sz w:val="16"/>
                <w:szCs w:val="16"/>
                <w:color w:val="0000FF"/>
              </w:rPr>
            </w:pPr>
            <w:hyperlink w:anchor="page5">
              <w:r>
                <w:rPr>
                  <w:rFonts w:ascii="Arial" w:cs="Arial" w:eastAsia="Arial" w:hAnsi="Arial"/>
                  <w:sz w:val="16"/>
                  <w:szCs w:val="16"/>
                  <w:color w:val="0000FF"/>
                </w:rPr>
                <w:t>June 30, 2020</w:t>
              </w:r>
            </w:hyperlink>
          </w:p>
        </w:tc>
        <w:tc>
          <w:tcPr>
            <w:tcW w:w="7920" w:type="dxa"/>
            <w:vAlign w:val="bottom"/>
            <w:tcBorders>
              <w:top w:val="single" w:sz="8" w:color="0000FF"/>
            </w:tcBorders>
            <w:gridSpan w:val="13"/>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Cash Flows for the six months ended June 30, 2021 and 2020</w:t>
              </w:r>
            </w:hyperlink>
          </w:p>
        </w:tc>
        <w:tc>
          <w:tcPr>
            <w:tcW w:w="700" w:type="dxa"/>
            <w:vAlign w:val="bottom"/>
            <w:gridSpan w:val="4"/>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9"/>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Condensed Consolidated Financial Statements</w:t>
              </w:r>
            </w:hyperlink>
          </w:p>
        </w:tc>
        <w:tc>
          <w:tcPr>
            <w:tcW w:w="3080" w:type="dxa"/>
            <w:vAlign w:val="bottom"/>
            <w:gridSpan w:val="5"/>
          </w:tcPr>
          <w:p>
            <w:pPr>
              <w:spacing w:after="0"/>
              <w:rPr>
                <w:sz w:val="24"/>
                <w:szCs w:val="24"/>
                <w:color w:val="auto"/>
              </w:rPr>
            </w:pPr>
          </w:p>
        </w:tc>
        <w:tc>
          <w:tcPr>
            <w:tcW w:w="2440" w:type="dxa"/>
            <w:vAlign w:val="bottom"/>
            <w:gridSpan w:val="4"/>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2.</w:t>
            </w:r>
          </w:p>
        </w:tc>
        <w:tc>
          <w:tcPr>
            <w:tcW w:w="6040" w:type="dxa"/>
            <w:vAlign w:val="bottom"/>
            <w:gridSpan w:val="13"/>
          </w:tcPr>
          <w:p>
            <w:pPr>
              <w:spacing w:after="0"/>
              <w:rPr>
                <w:rFonts w:ascii="Arial" w:cs="Arial" w:eastAsia="Arial" w:hAnsi="Arial"/>
                <w:sz w:val="17"/>
                <w:szCs w:val="17"/>
                <w:color w:val="0000FF"/>
                <w:w w:val="89"/>
              </w:rPr>
            </w:pPr>
            <w:hyperlink w:anchor="page20">
              <w:r>
                <w:rPr>
                  <w:rFonts w:ascii="Arial" w:cs="Arial" w:eastAsia="Arial" w:hAnsi="Arial"/>
                  <w:sz w:val="17"/>
                  <w:szCs w:val="17"/>
                  <w:color w:val="0000FF"/>
                  <w:w w:val="89"/>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23">
              <w:r>
                <w:rPr>
                  <w:rFonts w:ascii="Arial" w:cs="Arial" w:eastAsia="Arial" w:hAnsi="Arial"/>
                  <w:sz w:val="17"/>
                  <w:szCs w:val="17"/>
                  <w:color w:val="0000FF"/>
                </w:rPr>
                <w:t>23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3.</w:t>
            </w:r>
          </w:p>
        </w:tc>
        <w:tc>
          <w:tcPr>
            <w:tcW w:w="4080" w:type="dxa"/>
            <w:vAlign w:val="bottom"/>
            <w:gridSpan w:val="11"/>
          </w:tcPr>
          <w:p>
            <w:pPr>
              <w:spacing w:after="0"/>
              <w:rPr>
                <w:rFonts w:ascii="Arial" w:cs="Arial" w:eastAsia="Arial" w:hAnsi="Arial"/>
                <w:sz w:val="17"/>
                <w:szCs w:val="17"/>
                <w:color w:val="0000FF"/>
                <w:w w:val="91"/>
              </w:rPr>
            </w:pPr>
            <w:hyperlink w:anchor="page28">
              <w:r>
                <w:rPr>
                  <w:rFonts w:ascii="Arial" w:cs="Arial" w:eastAsia="Arial" w:hAnsi="Arial"/>
                  <w:sz w:val="17"/>
                  <w:szCs w:val="17"/>
                  <w:color w:val="0000FF"/>
                  <w:w w:val="91"/>
                </w:rPr>
                <w:t>Quantitative and Qualitative Disclosures About Market Risk</w:t>
              </w:r>
            </w:hyperlink>
          </w:p>
        </w:tc>
        <w:tc>
          <w:tcPr>
            <w:tcW w:w="1960" w:type="dxa"/>
            <w:vAlign w:val="bottom"/>
            <w:gridSpan w:val="2"/>
          </w:tcPr>
          <w:p>
            <w:pPr>
              <w:spacing w:after="0"/>
              <w:rPr>
                <w:sz w:val="24"/>
                <w:szCs w:val="24"/>
                <w:color w:val="auto"/>
              </w:rPr>
            </w:pPr>
          </w:p>
        </w:tc>
        <w:tc>
          <w:tcPr>
            <w:tcW w:w="3220" w:type="dxa"/>
            <w:vAlign w:val="bottom"/>
            <w:gridSpan w:val="5"/>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28">
              <w:r>
                <w:rPr>
                  <w:rFonts w:ascii="Arial" w:cs="Arial" w:eastAsia="Arial" w:hAnsi="Arial"/>
                  <w:sz w:val="17"/>
                  <w:szCs w:val="17"/>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4.</w:t>
            </w:r>
          </w:p>
        </w:tc>
        <w:tc>
          <w:tcPr>
            <w:tcW w:w="1660" w:type="dxa"/>
            <w:vAlign w:val="bottom"/>
            <w:gridSpan w:val="5"/>
          </w:tcPr>
          <w:p>
            <w:pPr>
              <w:spacing w:after="0"/>
              <w:rPr>
                <w:rFonts w:ascii="Arial" w:cs="Arial" w:eastAsia="Arial" w:hAnsi="Arial"/>
                <w:sz w:val="17"/>
                <w:szCs w:val="17"/>
                <w:color w:val="0000FF"/>
                <w:w w:val="87"/>
              </w:rPr>
            </w:pPr>
            <w:hyperlink w:anchor="page28">
              <w:r>
                <w:rPr>
                  <w:rFonts w:ascii="Arial" w:cs="Arial" w:eastAsia="Arial" w:hAnsi="Arial"/>
                  <w:sz w:val="17"/>
                  <w:szCs w:val="17"/>
                  <w:color w:val="0000FF"/>
                  <w:w w:val="87"/>
                </w:rPr>
                <w:t>Controls and Procedures</w:t>
              </w:r>
            </w:hyperlink>
          </w:p>
        </w:tc>
        <w:tc>
          <w:tcPr>
            <w:tcW w:w="2420" w:type="dxa"/>
            <w:vAlign w:val="bottom"/>
            <w:gridSpan w:val="6"/>
          </w:tcPr>
          <w:p>
            <w:pPr>
              <w:spacing w:after="0"/>
              <w:rPr>
                <w:sz w:val="24"/>
                <w:szCs w:val="24"/>
                <w:color w:val="auto"/>
              </w:rPr>
            </w:pPr>
          </w:p>
        </w:tc>
        <w:tc>
          <w:tcPr>
            <w:tcW w:w="5180" w:type="dxa"/>
            <w:vAlign w:val="bottom"/>
            <w:gridSpan w:val="7"/>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28">
              <w:r>
                <w:rPr>
                  <w:rFonts w:ascii="Arial" w:cs="Arial" w:eastAsia="Arial" w:hAnsi="Arial"/>
                  <w:sz w:val="17"/>
                  <w:szCs w:val="17"/>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7"/>
                <w:szCs w:val="17"/>
                <w:b w:val="1"/>
                <w:bCs w:val="1"/>
                <w:color w:val="auto"/>
              </w:rPr>
              <w:t>PART II — 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40" w:type="dxa"/>
            <w:vAlign w:val="bottom"/>
            <w:gridSpan w:val="3"/>
          </w:tcPr>
          <w:p>
            <w:pPr>
              <w:spacing w:after="0" w:line="177" w:lineRule="exact"/>
              <w:rPr>
                <w:sz w:val="20"/>
                <w:szCs w:val="20"/>
                <w:color w:val="auto"/>
              </w:rPr>
            </w:pPr>
            <w:r>
              <w:rPr>
                <w:rFonts w:ascii="Arial" w:cs="Arial" w:eastAsia="Arial" w:hAnsi="Arial"/>
                <w:sz w:val="17"/>
                <w:szCs w:val="17"/>
                <w:color w:val="auto"/>
              </w:rPr>
              <w:t>Item 1.</w:t>
            </w:r>
          </w:p>
        </w:tc>
        <w:tc>
          <w:tcPr>
            <w:tcW w:w="1240" w:type="dxa"/>
            <w:vAlign w:val="bottom"/>
            <w:gridSpan w:val="4"/>
          </w:tcPr>
          <w:p>
            <w:pPr>
              <w:spacing w:after="0" w:line="177" w:lineRule="exact"/>
              <w:rPr>
                <w:rFonts w:ascii="Arial" w:cs="Arial" w:eastAsia="Arial" w:hAnsi="Arial"/>
                <w:sz w:val="17"/>
                <w:szCs w:val="17"/>
                <w:color w:val="0000FF"/>
                <w:w w:val="85"/>
              </w:rPr>
            </w:pPr>
            <w:hyperlink w:anchor="page29">
              <w:r>
                <w:rPr>
                  <w:rFonts w:ascii="Arial" w:cs="Arial" w:eastAsia="Arial" w:hAnsi="Arial"/>
                  <w:sz w:val="17"/>
                  <w:szCs w:val="17"/>
                  <w:color w:val="0000FF"/>
                  <w:w w:val="85"/>
                </w:rPr>
                <w:t>Legal Proceedings</w:t>
              </w:r>
            </w:hyperlink>
          </w:p>
        </w:tc>
        <w:tc>
          <w:tcPr>
            <w:tcW w:w="8020" w:type="dxa"/>
            <w:vAlign w:val="bottom"/>
            <w:gridSpan w:val="14"/>
          </w:tcPr>
          <w:p>
            <w:pPr>
              <w:spacing w:after="0"/>
              <w:rPr>
                <w:sz w:val="15"/>
                <w:szCs w:val="15"/>
                <w:color w:val="auto"/>
              </w:rPr>
            </w:pPr>
          </w:p>
        </w:tc>
        <w:tc>
          <w:tcPr>
            <w:tcW w:w="700" w:type="dxa"/>
            <w:vAlign w:val="bottom"/>
            <w:gridSpan w:val="4"/>
          </w:tcPr>
          <w:p>
            <w:pPr>
              <w:jc w:val="right"/>
              <w:ind w:right="20"/>
              <w:spacing w:after="0" w:line="177" w:lineRule="exact"/>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2"/>
          </w:tcPr>
          <w:p>
            <w:pPr>
              <w:spacing w:after="0"/>
              <w:rPr>
                <w:rFonts w:ascii="Arial" w:cs="Arial" w:eastAsia="Arial" w:hAnsi="Arial"/>
                <w:sz w:val="17"/>
                <w:szCs w:val="17"/>
                <w:color w:val="0000FF"/>
                <w:w w:val="88"/>
              </w:rPr>
            </w:pPr>
            <w:hyperlink w:anchor="page29">
              <w:r>
                <w:rPr>
                  <w:rFonts w:ascii="Arial" w:cs="Arial" w:eastAsia="Arial" w:hAnsi="Arial"/>
                  <w:sz w:val="17"/>
                  <w:szCs w:val="17"/>
                  <w:color w:val="0000FF"/>
                  <w:w w:val="88"/>
                </w:rPr>
                <w:t>Risk Factors</w:t>
              </w:r>
            </w:hyperlink>
          </w:p>
        </w:tc>
        <w:tc>
          <w:tcPr>
            <w:tcW w:w="380" w:type="dxa"/>
            <w:vAlign w:val="bottom"/>
            <w:gridSpan w:val="2"/>
          </w:tcPr>
          <w:p>
            <w:pPr>
              <w:spacing w:after="0"/>
              <w:rPr>
                <w:sz w:val="24"/>
                <w:szCs w:val="24"/>
                <w:color w:val="auto"/>
              </w:rPr>
            </w:pPr>
          </w:p>
        </w:tc>
        <w:tc>
          <w:tcPr>
            <w:tcW w:w="8020" w:type="dxa"/>
            <w:vAlign w:val="bottom"/>
            <w:gridSpan w:val="14"/>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1B.</w:t>
            </w:r>
          </w:p>
        </w:tc>
        <w:tc>
          <w:tcPr>
            <w:tcW w:w="1920" w:type="dxa"/>
            <w:vAlign w:val="bottom"/>
            <w:gridSpan w:val="6"/>
          </w:tcPr>
          <w:p>
            <w:pPr>
              <w:spacing w:after="0"/>
              <w:rPr>
                <w:rFonts w:ascii="Arial" w:cs="Arial" w:eastAsia="Arial" w:hAnsi="Arial"/>
                <w:sz w:val="17"/>
                <w:szCs w:val="17"/>
                <w:color w:val="0000FF"/>
                <w:w w:val="89"/>
              </w:rPr>
            </w:pPr>
            <w:hyperlink w:anchor="page33">
              <w:r>
                <w:rPr>
                  <w:rFonts w:ascii="Arial" w:cs="Arial" w:eastAsia="Arial" w:hAnsi="Arial"/>
                  <w:sz w:val="17"/>
                  <w:szCs w:val="17"/>
                  <w:color w:val="0000FF"/>
                  <w:w w:val="89"/>
                </w:rPr>
                <w:t>Unresolved Staff Comments</w:t>
              </w:r>
            </w:hyperlink>
          </w:p>
        </w:tc>
        <w:tc>
          <w:tcPr>
            <w:tcW w:w="7340" w:type="dxa"/>
            <w:vAlign w:val="bottom"/>
            <w:gridSpan w:val="12"/>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2.</w:t>
            </w:r>
          </w:p>
        </w:tc>
        <w:tc>
          <w:tcPr>
            <w:tcW w:w="9260" w:type="dxa"/>
            <w:vAlign w:val="bottom"/>
            <w:gridSpan w:val="18"/>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Unregistered Sales of Equity Securities and Use of Proceeds</w:t>
              </w:r>
            </w:hyperlink>
          </w:p>
        </w:tc>
        <w:tc>
          <w:tcPr>
            <w:tcW w:w="700" w:type="dxa"/>
            <w:vAlign w:val="bottom"/>
            <w:gridSpan w:val="4"/>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tcBorders>
              <w:left w:val="single" w:sz="8" w:color="0000FF"/>
            </w:tcBorders>
            <w:gridSpan w:val="3"/>
            <w:shd w:val="clear" w:color="auto" w:fill="0000FF"/>
          </w:tcPr>
          <w:p>
            <w:pPr>
              <w:spacing w:after="0" w:line="20" w:lineRule="exact"/>
              <w:rPr>
                <w:sz w:val="1"/>
                <w:szCs w:val="1"/>
                <w:color w:val="auto"/>
              </w:rPr>
            </w:pPr>
          </w:p>
        </w:tc>
        <w:tc>
          <w:tcPr>
            <w:tcW w:w="7080" w:type="dxa"/>
            <w:vAlign w:val="bottom"/>
            <w:gridSpan w:val="11"/>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3.</w:t>
            </w:r>
          </w:p>
        </w:tc>
        <w:tc>
          <w:tcPr>
            <w:tcW w:w="2180" w:type="dxa"/>
            <w:vAlign w:val="bottom"/>
            <w:gridSpan w:val="7"/>
          </w:tcPr>
          <w:p>
            <w:pPr>
              <w:spacing w:after="0"/>
              <w:rPr>
                <w:rFonts w:ascii="Arial" w:cs="Arial" w:eastAsia="Arial" w:hAnsi="Arial"/>
                <w:sz w:val="17"/>
                <w:szCs w:val="17"/>
                <w:color w:val="0000FF"/>
                <w:w w:val="89"/>
              </w:rPr>
            </w:pPr>
            <w:hyperlink w:anchor="page33">
              <w:r>
                <w:rPr>
                  <w:rFonts w:ascii="Arial" w:cs="Arial" w:eastAsia="Arial" w:hAnsi="Arial"/>
                  <w:sz w:val="17"/>
                  <w:szCs w:val="17"/>
                  <w:color w:val="0000FF"/>
                  <w:w w:val="89"/>
                </w:rPr>
                <w:t>Defaults Upon Senior Securities</w:t>
              </w:r>
            </w:hyperlink>
          </w:p>
        </w:tc>
        <w:tc>
          <w:tcPr>
            <w:tcW w:w="7080" w:type="dxa"/>
            <w:vAlign w:val="bottom"/>
            <w:gridSpan w:val="11"/>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tcBorders>
              <w:left w:val="single" w:sz="8" w:color="0000FF"/>
            </w:tcBorders>
            <w:gridSpan w:val="3"/>
            <w:shd w:val="clear" w:color="auto" w:fill="0000FF"/>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4.</w:t>
            </w:r>
          </w:p>
        </w:tc>
        <w:tc>
          <w:tcPr>
            <w:tcW w:w="2180" w:type="dxa"/>
            <w:vAlign w:val="bottom"/>
            <w:gridSpan w:val="7"/>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Mine Safety Disclosures</w:t>
              </w:r>
            </w:hyperlink>
          </w:p>
        </w:tc>
        <w:tc>
          <w:tcPr>
            <w:tcW w:w="7080" w:type="dxa"/>
            <w:vAlign w:val="bottom"/>
            <w:gridSpan w:val="11"/>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20" w:type="dxa"/>
            <w:vAlign w:val="bottom"/>
            <w:tcBorders>
              <w:left w:val="single" w:sz="8" w:color="0000FF"/>
            </w:tcBorders>
            <w:gridSpan w:val="1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5.</w:t>
            </w:r>
          </w:p>
        </w:tc>
        <w:tc>
          <w:tcPr>
            <w:tcW w:w="1240" w:type="dxa"/>
            <w:vAlign w:val="bottom"/>
            <w:gridSpan w:val="4"/>
          </w:tcPr>
          <w:p>
            <w:pPr>
              <w:spacing w:after="0"/>
              <w:rPr>
                <w:rFonts w:ascii="Arial" w:cs="Arial" w:eastAsia="Arial" w:hAnsi="Arial"/>
                <w:sz w:val="17"/>
                <w:szCs w:val="17"/>
                <w:color w:val="0000FF"/>
                <w:w w:val="90"/>
              </w:rPr>
            </w:pPr>
            <w:hyperlink w:anchor="page33">
              <w:r>
                <w:rPr>
                  <w:rFonts w:ascii="Arial" w:cs="Arial" w:eastAsia="Arial" w:hAnsi="Arial"/>
                  <w:sz w:val="17"/>
                  <w:szCs w:val="17"/>
                  <w:color w:val="0000FF"/>
                  <w:w w:val="90"/>
                </w:rPr>
                <w:t>Other Information</w:t>
              </w:r>
            </w:hyperlink>
          </w:p>
        </w:tc>
        <w:tc>
          <w:tcPr>
            <w:tcW w:w="8020" w:type="dxa"/>
            <w:vAlign w:val="bottom"/>
            <w:gridSpan w:val="14"/>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6.</w:t>
            </w:r>
          </w:p>
        </w:tc>
        <w:tc>
          <w:tcPr>
            <w:tcW w:w="1240" w:type="dxa"/>
            <w:vAlign w:val="bottom"/>
            <w:gridSpan w:val="4"/>
          </w:tcPr>
          <w:p>
            <w:pPr>
              <w:spacing w:after="0"/>
              <w:rPr>
                <w:sz w:val="20"/>
                <w:szCs w:val="20"/>
                <w:color w:val="auto"/>
              </w:rPr>
            </w:pPr>
            <w:r>
              <w:rPr>
                <w:rFonts w:ascii="Arial" w:cs="Arial" w:eastAsia="Arial" w:hAnsi="Arial"/>
                <w:sz w:val="17"/>
                <w:szCs w:val="17"/>
                <w:color w:val="0000FF"/>
              </w:rPr>
              <w:t>Exhibits</w:t>
            </w:r>
          </w:p>
        </w:tc>
        <w:tc>
          <w:tcPr>
            <w:tcW w:w="8020" w:type="dxa"/>
            <w:vAlign w:val="bottom"/>
            <w:gridSpan w:val="14"/>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0000FF"/>
                <w:w w:val="92"/>
              </w:rPr>
              <w:t>Exhibit Index</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Signatures</w:t>
              </w:r>
            </w:hyperlink>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4">
              <w:r>
                <w:rPr>
                  <w:rFonts w:ascii="Arial" w:cs="Arial" w:eastAsia="Arial" w:hAnsi="Arial"/>
                  <w:sz w:val="17"/>
                  <w:szCs w:val="17"/>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2"/>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12"/>
          </w:tcPr>
          <w:p>
            <w:pPr>
              <w:ind w:left="4320"/>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PART I - 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5"/>
                <w:szCs w:val="15"/>
                <w:color w:val="auto"/>
              </w:rPr>
            </w:pPr>
          </w:p>
        </w:tc>
        <w:tc>
          <w:tcPr>
            <w:tcW w:w="1200" w:type="dxa"/>
            <w:vAlign w:val="bottom"/>
          </w:tcPr>
          <w:p>
            <w:pPr>
              <w:jc w:val="right"/>
              <w:ind w:right="23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2"/>
        </w:trPr>
        <w:tc>
          <w:tcPr>
            <w:tcW w:w="8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0"/>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33,620</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42,187</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$3 and $143, respectively)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34,504</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9,356</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w:t>
            </w:r>
          </w:p>
        </w:tc>
        <w:tc>
          <w:tcPr>
            <w:tcW w:w="0" w:type="dxa"/>
            <w:vAlign w:val="bottom"/>
          </w:tcPr>
          <w:p>
            <w:pPr>
              <w:spacing w:after="0"/>
              <w:rPr>
                <w:sz w:val="1"/>
                <w:szCs w:val="1"/>
                <w:color w:val="auto"/>
              </w:rPr>
            </w:pPr>
          </w:p>
        </w:tc>
      </w:tr>
      <w:tr>
        <w:trPr>
          <w:trHeight w:val="207"/>
        </w:trPr>
        <w:tc>
          <w:tcPr>
            <w:tcW w:w="830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138,520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123,560</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Right-of-use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50,105</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Long-term investments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24,099</w:t>
            </w:r>
          </w:p>
        </w:tc>
        <w:tc>
          <w:tcPr>
            <w:tcW w:w="0" w:type="dxa"/>
            <w:vAlign w:val="bottom"/>
          </w:tcPr>
          <w:p>
            <w:pPr>
              <w:spacing w:after="0"/>
              <w:rPr>
                <w:sz w:val="1"/>
                <w:szCs w:val="1"/>
                <w:color w:val="auto"/>
              </w:rPr>
            </w:pPr>
          </w:p>
        </w:tc>
      </w:tr>
      <w:tr>
        <w:trPr>
          <w:trHeight w:val="232"/>
        </w:trPr>
        <w:tc>
          <w:tcPr>
            <w:tcW w:w="8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205,608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8,134</w:t>
            </w:r>
          </w:p>
        </w:tc>
        <w:tc>
          <w:tcPr>
            <w:tcW w:w="1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6,755</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11,293</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Current portion of operating lease liabilities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7"/>
        </w:trPr>
        <w:tc>
          <w:tcPr>
            <w:tcW w:w="830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23,863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22,483</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48,789</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71,348</w:t>
            </w: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00" w:type="dxa"/>
            <w:vAlign w:val="bottom"/>
          </w:tcPr>
          <w:p>
            <w:pPr>
              <w:ind w:left="140"/>
              <w:spacing w:after="0" w:line="164" w:lineRule="exact"/>
              <w:rPr>
                <w:sz w:val="20"/>
                <w:szCs w:val="20"/>
                <w:color w:val="auto"/>
              </w:rPr>
            </w:pPr>
            <w:r>
              <w:rPr>
                <w:rFonts w:ascii="Arial" w:cs="Arial" w:eastAsia="Arial" w:hAnsi="Arial"/>
                <w:sz w:val="17"/>
                <w:szCs w:val="17"/>
                <w:color w:val="auto"/>
                <w:w w:val="97"/>
              </w:rPr>
              <w:t>Common stock, no par value; shares authorized — 75,000; shares issued and outstanding 46,579 and 45,804,</w:t>
            </w: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534,005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510,061</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(382,890)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(375,815)</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151,092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134,260</w:t>
            </w:r>
          </w:p>
        </w:tc>
        <w:tc>
          <w:tcPr>
            <w:tcW w:w="0" w:type="dxa"/>
            <w:vAlign w:val="bottom"/>
          </w:tcPr>
          <w:p>
            <w:pPr>
              <w:spacing w:after="0"/>
              <w:rPr>
                <w:sz w:val="1"/>
                <w:szCs w:val="1"/>
                <w:color w:val="auto"/>
              </w:rPr>
            </w:pPr>
          </w:p>
        </w:tc>
      </w:tr>
      <w:tr>
        <w:trPr>
          <w:trHeight w:val="207"/>
        </w:trPr>
        <w:tc>
          <w:tcPr>
            <w:tcW w:w="8300" w:type="dxa"/>
            <w:vAlign w:val="bottom"/>
          </w:tcPr>
          <w:p>
            <w:pPr>
              <w:ind w:left="1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221,945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205,608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amounts in thousands, except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80" w:type="dxa"/>
            <w:vAlign w:val="bottom"/>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Product sales, net</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38,680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20,014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46,692</w:t>
            </w:r>
          </w:p>
        </w:tc>
        <w:tc>
          <w:tcPr>
            <w:tcW w:w="0" w:type="dxa"/>
            <w:vAlign w:val="bottom"/>
          </w:tcPr>
          <w:p>
            <w:pPr>
              <w:spacing w:after="0"/>
              <w:rPr>
                <w:sz w:val="1"/>
                <w:szCs w:val="1"/>
                <w:color w:val="auto"/>
              </w:rPr>
            </w:pPr>
          </w:p>
        </w:tc>
      </w:tr>
      <w:tr>
        <w:trPr>
          <w:trHeight w:val="214"/>
        </w:trPr>
        <w:tc>
          <w:tcPr>
            <w:tcW w:w="528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839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39,519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20,014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74,087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46,692</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Cost of product sales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12,609</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24,192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18,582</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26,910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11,354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49,895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28,110</w:t>
            </w:r>
          </w:p>
        </w:tc>
        <w:tc>
          <w:tcPr>
            <w:tcW w:w="0" w:type="dxa"/>
            <w:vAlign w:val="bottom"/>
          </w:tcPr>
          <w:p>
            <w:pPr>
              <w:spacing w:after="0"/>
              <w:rPr>
                <w:sz w:val="1"/>
                <w:szCs w:val="1"/>
                <w:color w:val="auto"/>
              </w:rPr>
            </w:pPr>
          </w:p>
        </w:tc>
      </w:tr>
      <w:tr>
        <w:trPr>
          <w:trHeight w:val="207"/>
        </w:trPr>
        <w:tc>
          <w:tcPr>
            <w:tcW w:w="528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4,449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6,989</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26,190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16,486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48,850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34,555</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operating expenses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30,639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19,712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56,929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41,544</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(3,729)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(8,358)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(13,434)</w:t>
            </w:r>
          </w:p>
        </w:tc>
        <w:tc>
          <w:tcPr>
            <w:tcW w:w="0" w:type="dxa"/>
            <w:vAlign w:val="bottom"/>
          </w:tcPr>
          <w:p>
            <w:pPr>
              <w:spacing w:after="0"/>
              <w:rPr>
                <w:sz w:val="1"/>
                <w:szCs w:val="1"/>
                <w:color w:val="auto"/>
              </w:rPr>
            </w:pPr>
          </w:p>
        </w:tc>
      </w:tr>
      <w:tr>
        <w:trPr>
          <w:trHeight w:val="194"/>
        </w:trPr>
        <w:tc>
          <w:tcPr>
            <w:tcW w:w="5280" w:type="dxa"/>
            <w:vAlign w:val="bottom"/>
          </w:tcPr>
          <w:p>
            <w:pPr>
              <w:ind w:left="20"/>
              <w:spacing w:after="0" w:line="194" w:lineRule="exact"/>
              <w:rPr>
                <w:sz w:val="20"/>
                <w:szCs w:val="20"/>
                <w:color w:val="auto"/>
              </w:rPr>
            </w:pPr>
            <w:r>
              <w:rPr>
                <w:rFonts w:ascii="Arial" w:cs="Arial" w:eastAsia="Arial" w:hAnsi="Arial"/>
                <w:sz w:val="17"/>
                <w:szCs w:val="17"/>
                <w:color w:val="auto"/>
              </w:rPr>
              <w:t>Other income (expense):</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14"/>
        </w:trPr>
        <w:tc>
          <w:tcPr>
            <w:tcW w:w="528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other income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before tax provision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(3,714)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(8,269)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(12,974)</w:t>
            </w:r>
          </w:p>
        </w:tc>
        <w:tc>
          <w:tcPr>
            <w:tcW w:w="0" w:type="dxa"/>
            <w:vAlign w:val="bottom"/>
          </w:tcPr>
          <w:p>
            <w:pPr>
              <w:spacing w:after="0"/>
              <w:rPr>
                <w:sz w:val="1"/>
                <w:szCs w:val="1"/>
                <w:color w:val="auto"/>
              </w:rPr>
            </w:pPr>
          </w:p>
        </w:tc>
      </w:tr>
      <w:tr>
        <w:trPr>
          <w:trHeight w:val="214"/>
        </w:trPr>
        <w:tc>
          <w:tcPr>
            <w:tcW w:w="5280" w:type="dxa"/>
            <w:vAlign w:val="bottom"/>
          </w:tcPr>
          <w:p>
            <w:pPr>
              <w:ind w:left="120"/>
              <w:spacing w:after="0"/>
              <w:rPr>
                <w:sz w:val="20"/>
                <w:szCs w:val="20"/>
                <w:color w:val="auto"/>
              </w:rPr>
            </w:pPr>
            <w:r>
              <w:rPr>
                <w:rFonts w:ascii="Arial" w:cs="Arial" w:eastAsia="Arial" w:hAnsi="Arial"/>
                <w:sz w:val="17"/>
                <w:szCs w:val="17"/>
                <w:color w:val="auto"/>
              </w:rPr>
              <w:t>Tax provision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(3,786)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(8,269)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80" w:type="dxa"/>
            <w:vAlign w:val="bottom"/>
          </w:tcPr>
          <w:p>
            <w:pPr>
              <w:ind w:left="20"/>
              <w:spacing w:after="0" w:line="185" w:lineRule="exact"/>
              <w:rPr>
                <w:sz w:val="20"/>
                <w:szCs w:val="20"/>
                <w:color w:val="auto"/>
              </w:rPr>
            </w:pPr>
            <w:r>
              <w:rPr>
                <w:rFonts w:ascii="Arial" w:cs="Arial" w:eastAsia="Arial" w:hAnsi="Arial"/>
                <w:sz w:val="17"/>
                <w:szCs w:val="17"/>
                <w:color w:val="auto"/>
                <w:w w:val="92"/>
              </w:rPr>
              <w:t>Net loss per share attributable to common shareholders (Basic and diluted)</w:t>
            </w:r>
          </w:p>
        </w:tc>
        <w:tc>
          <w:tcPr>
            <w:tcW w:w="880" w:type="dxa"/>
            <w:vAlign w:val="bottom"/>
            <w:tcBorders>
              <w:bottom w:val="single" w:sz="8" w:color="auto"/>
            </w:tcBorders>
          </w:tcPr>
          <w:p>
            <w:pPr>
              <w:jc w:val="right"/>
              <w:ind w:right="703"/>
              <w:spacing w:after="0" w:line="185" w:lineRule="exact"/>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(0.08)</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680"/>
              <w:spacing w:after="0" w:line="185"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(0.18)</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line="185"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(0.15)</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line="185"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 average number of common shares outstanding (Basic and</w:t>
            </w:r>
          </w:p>
        </w:tc>
        <w:tc>
          <w:tcPr>
            <w:tcW w:w="8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46,403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45,137</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46,195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45,031</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diluted)</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amounts in thousands</w:t>
      </w:r>
      <w:r>
        <w:rPr>
          <w:rFonts w:ascii="Arial" w:cs="Arial" w:eastAsia="Arial" w:hAnsi="Arial"/>
          <w:sz w:val="17"/>
          <w:szCs w:val="17"/>
          <w:color w:val="auto"/>
        </w:rPr>
        <w: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2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4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208"/>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(12,974)</w:t>
            </w:r>
          </w:p>
        </w:tc>
      </w:tr>
      <w:tr>
        <w:trPr>
          <w:trHeight w:val="214"/>
        </w:trPr>
        <w:tc>
          <w:tcPr>
            <w:tcW w:w="4720" w:type="dxa"/>
            <w:vAlign w:val="bottom"/>
          </w:tcPr>
          <w:p>
            <w:pPr>
              <w:ind w:left="140"/>
              <w:spacing w:after="0"/>
              <w:rPr>
                <w:sz w:val="20"/>
                <w:szCs w:val="20"/>
                <w:color w:val="auto"/>
              </w:rPr>
            </w:pPr>
            <w:r>
              <w:rPr>
                <w:rFonts w:ascii="Arial" w:cs="Arial" w:eastAsia="Arial" w:hAnsi="Arial"/>
                <w:sz w:val="17"/>
                <w:szCs w:val="17"/>
                <w:color w:val="auto"/>
              </w:rPr>
              <w:t>Other comprehensive income (loss):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 (loss) on investments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7"/>
        </w:trPr>
        <w:tc>
          <w:tcPr>
            <w:tcW w:w="4720" w:type="dxa"/>
            <w:vAlign w:val="bottom"/>
          </w:tcPr>
          <w:p>
            <w:pPr>
              <w:ind w:left="20"/>
              <w:spacing w:after="0" w:line="194" w:lineRule="exact"/>
              <w:rPr>
                <w:sz w:val="20"/>
                <w:szCs w:val="20"/>
                <w:color w:val="auto"/>
              </w:rPr>
            </w:pPr>
            <w:r>
              <w:rPr>
                <w:rFonts w:ascii="Arial" w:cs="Arial" w:eastAsia="Arial" w:hAnsi="Arial"/>
                <w:sz w:val="17"/>
                <w:szCs w:val="17"/>
                <w:color w:val="auto"/>
              </w:rPr>
              <w:t>Comprehensive loss</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(12,849)</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Accumulated Other</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3"/>
          </w:tcPr>
          <w:p>
            <w:pPr>
              <w:ind w:left="80"/>
              <w:spacing w:after="0" w:line="106" w:lineRule="exact"/>
              <w:rPr>
                <w:sz w:val="20"/>
                <w:szCs w:val="20"/>
                <w:color w:val="auto"/>
              </w:rPr>
            </w:pPr>
            <w:r>
              <w:rPr>
                <w:rFonts w:ascii="Arial" w:cs="Arial" w:eastAsia="Arial" w:hAnsi="Arial"/>
                <w:sz w:val="12"/>
                <w:szCs w:val="12"/>
                <w:b w:val="1"/>
                <w:bCs w:val="1"/>
                <w:color w:val="auto"/>
              </w:rPr>
              <w:t>Accumulated</w:t>
            </w:r>
          </w:p>
        </w:tc>
        <w:tc>
          <w:tcPr>
            <w:tcW w:w="120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rPr>
              <w:t>Total 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45,804</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510,061</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center"/>
              <w:ind w:left="906"/>
              <w:spacing w:after="0"/>
              <w:rPr>
                <w:sz w:val="20"/>
                <w:szCs w:val="20"/>
                <w:color w:val="auto"/>
              </w:rPr>
            </w:pPr>
            <w:r>
              <w:rPr>
                <w:rFonts w:ascii="Arial" w:cs="Arial" w:eastAsia="Arial" w:hAnsi="Arial"/>
                <w:sz w:val="15"/>
                <w:szCs w:val="15"/>
                <w:color w:val="auto"/>
                <w:w w:val="83"/>
              </w:rPr>
              <w:t>14</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(375,815)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134,260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color w:val="auto"/>
              </w:rPr>
              <w:t>Net loss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1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left="866"/>
              <w:spacing w:after="0" w:line="169" w:lineRule="exact"/>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(3,289)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(3,289)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7,019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7,019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5"/>
                <w:szCs w:val="15"/>
                <w:color w:val="auto"/>
              </w:rPr>
              <w:t>Stock option exercises</w:t>
            </w:r>
          </w:p>
        </w:tc>
        <w:tc>
          <w:tcPr>
            <w:tcW w:w="1100" w:type="dxa"/>
            <w:vAlign w:val="bottom"/>
          </w:tcPr>
          <w:p>
            <w:pPr>
              <w:jc w:val="right"/>
              <w:spacing w:after="0"/>
              <w:rPr>
                <w:sz w:val="20"/>
                <w:szCs w:val="20"/>
                <w:color w:val="auto"/>
              </w:rPr>
            </w:pPr>
            <w:r>
              <w:rPr>
                <w:rFonts w:ascii="Arial" w:cs="Arial" w:eastAsia="Arial" w:hAnsi="Arial"/>
                <w:sz w:val="15"/>
                <w:szCs w:val="15"/>
                <w:color w:val="auto"/>
              </w:rPr>
              <w:t>359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3,532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3,532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00" w:type="dxa"/>
            <w:vAlign w:val="bottom"/>
          </w:tcPr>
          <w:p>
            <w:pPr>
              <w:jc w:val="right"/>
              <w:spacing w:after="0"/>
              <w:rPr>
                <w:sz w:val="20"/>
                <w:szCs w:val="20"/>
                <w:color w:val="auto"/>
              </w:rPr>
            </w:pPr>
            <w:r>
              <w:rPr>
                <w:rFonts w:ascii="Arial" w:cs="Arial" w:eastAsia="Arial" w:hAnsi="Arial"/>
                <w:sz w:val="15"/>
                <w:szCs w:val="15"/>
                <w:color w:val="auto"/>
              </w:rPr>
              <w:t>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(1,501)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Unrealized loss on investments</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left="846"/>
              <w:spacing w:after="0"/>
              <w:rPr>
                <w:sz w:val="20"/>
                <w:szCs w:val="20"/>
                <w:color w:val="auto"/>
              </w:rPr>
            </w:pPr>
            <w:r>
              <w:rPr>
                <w:rFonts w:ascii="Arial" w:cs="Arial" w:eastAsia="Arial" w:hAnsi="Arial"/>
                <w:sz w:val="15"/>
                <w:szCs w:val="15"/>
                <w:color w:val="auto"/>
                <w:w w:val="89"/>
              </w:rPr>
              <w:t>(61)</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MARCH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46,225</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519,360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center"/>
              <w:ind w:left="846"/>
              <w:spacing w:after="0"/>
              <w:rPr>
                <w:sz w:val="20"/>
                <w:szCs w:val="20"/>
                <w:color w:val="auto"/>
              </w:rPr>
            </w:pPr>
            <w:r>
              <w:rPr>
                <w:rFonts w:ascii="Arial" w:cs="Arial" w:eastAsia="Arial" w:hAnsi="Arial"/>
                <w:sz w:val="15"/>
                <w:szCs w:val="15"/>
                <w:color w:val="auto"/>
                <w:w w:val="89"/>
              </w:rPr>
              <w:t>(47)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(379,104)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140,209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color w:val="auto"/>
              </w:rPr>
              <w:t>Net loss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1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left="866"/>
              <w:spacing w:after="0" w:line="169" w:lineRule="exact"/>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(3,786)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10,866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10,866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5"/>
                <w:szCs w:val="15"/>
                <w:color w:val="auto"/>
              </w:rPr>
              <w:t>Stock option exercises</w:t>
            </w:r>
          </w:p>
        </w:tc>
        <w:tc>
          <w:tcPr>
            <w:tcW w:w="1100" w:type="dxa"/>
            <w:vAlign w:val="bottom"/>
          </w:tcPr>
          <w:p>
            <w:pPr>
              <w:jc w:val="right"/>
              <w:spacing w:after="0"/>
              <w:rPr>
                <w:sz w:val="20"/>
                <w:szCs w:val="20"/>
                <w:color w:val="auto"/>
              </w:rPr>
            </w:pPr>
            <w:r>
              <w:rPr>
                <w:rFonts w:ascii="Arial" w:cs="Arial" w:eastAsia="Arial" w:hAnsi="Arial"/>
                <w:sz w:val="15"/>
                <w:szCs w:val="15"/>
                <w:color w:val="auto"/>
              </w:rPr>
              <w:t>330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3,531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00" w:type="dxa"/>
            <w:vAlign w:val="bottom"/>
          </w:tcPr>
          <w:p>
            <w:pPr>
              <w:jc w:val="right"/>
              <w:spacing w:after="0"/>
              <w:rPr>
                <w:sz w:val="20"/>
                <w:szCs w:val="20"/>
                <w:color w:val="auto"/>
              </w:rPr>
            </w:pPr>
            <w:r>
              <w:rPr>
                <w:rFonts w:ascii="Arial" w:cs="Arial" w:eastAsia="Arial" w:hAnsi="Arial"/>
                <w:sz w:val="15"/>
                <w:szCs w:val="15"/>
                <w:color w:val="auto"/>
              </w:rPr>
              <w:t>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866"/>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Unrealized gain on investments</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906"/>
              <w:spacing w:after="0"/>
              <w:rPr>
                <w:sz w:val="20"/>
                <w:szCs w:val="20"/>
                <w:color w:val="auto"/>
              </w:rPr>
            </w:pPr>
            <w:r>
              <w:rPr>
                <w:rFonts w:ascii="Arial" w:cs="Arial" w:eastAsia="Arial" w:hAnsi="Arial"/>
                <w:sz w:val="15"/>
                <w:szCs w:val="15"/>
                <w:color w:val="auto"/>
                <w:w w:val="83"/>
              </w:rPr>
              <w:t>24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46,579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534,005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shd w:val="clear" w:color="auto" w:fill="CCEEFF"/>
          </w:tcPr>
          <w:p>
            <w:pPr>
              <w:jc w:val="center"/>
              <w:ind w:left="846"/>
              <w:spacing w:after="0"/>
              <w:rPr>
                <w:sz w:val="20"/>
                <w:szCs w:val="20"/>
                <w:color w:val="auto"/>
              </w:rPr>
            </w:pPr>
            <w:r>
              <w:rPr>
                <w:rFonts w:ascii="Arial" w:cs="Arial" w:eastAsia="Arial" w:hAnsi="Arial"/>
                <w:sz w:val="15"/>
                <w:szCs w:val="15"/>
                <w:color w:val="auto"/>
                <w:w w:val="89"/>
              </w:rPr>
              <w:t>(23)</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(382,890)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7"/>
          </w:tcPr>
          <w:p>
            <w:pPr>
              <w:jc w:val="right"/>
              <w:ind w:right="8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Accumulated 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6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Total Shareholders'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restart"/>
          </w:tcPr>
          <w:p>
            <w:pPr>
              <w:jc w:val="right"/>
              <w:ind w:right="305"/>
              <w:spacing w:after="0"/>
              <w:rPr>
                <w:sz w:val="20"/>
                <w:szCs w:val="20"/>
                <w:color w:val="auto"/>
              </w:rPr>
            </w:pPr>
            <w:r>
              <w:rPr>
                <w:rFonts w:ascii="Arial" w:cs="Arial" w:eastAsia="Arial" w:hAnsi="Arial"/>
                <w:sz w:val="13"/>
                <w:szCs w:val="13"/>
                <w:b w:val="1"/>
                <w:bCs w:val="1"/>
                <w:color w:val="auto"/>
              </w:rPr>
              <w:t>Shares</w:t>
            </w:r>
          </w:p>
        </w:tc>
        <w:tc>
          <w:tcPr>
            <w:tcW w:w="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ind w:right="265"/>
              <w:spacing w:after="0"/>
              <w:rPr>
                <w:sz w:val="20"/>
                <w:szCs w:val="20"/>
                <w:color w:val="auto"/>
              </w:rPr>
            </w:pPr>
            <w:r>
              <w:rPr>
                <w:rFonts w:ascii="Arial" w:cs="Arial" w:eastAsia="Arial" w:hAnsi="Arial"/>
                <w:sz w:val="13"/>
                <w:szCs w:val="13"/>
                <w:b w:val="1"/>
                <w:bCs w:val="1"/>
                <w:color w:val="auto"/>
              </w:rPr>
              <w:t>Amount</w:t>
            </w:r>
          </w:p>
        </w:tc>
        <w:tc>
          <w:tcPr>
            <w:tcW w:w="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2"/>
              </w:rPr>
              <w:t>Income</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CEEFF"/>
            </w:tcBorders>
            <w:gridSpan w:val="2"/>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DECEMBER 31, 2019</w:t>
            </w:r>
          </w:p>
        </w:tc>
        <w:tc>
          <w:tcPr>
            <w:tcW w:w="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44,864</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489,749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(378,679)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111,091</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Net loss</w:t>
            </w: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(4,705)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(4,705)</w:t>
            </w:r>
          </w:p>
        </w:tc>
        <w:tc>
          <w:tcPr>
            <w:tcW w:w="0" w:type="dxa"/>
            <w:vAlign w:val="bottom"/>
          </w:tcPr>
          <w:p>
            <w:pPr>
              <w:spacing w:after="0"/>
              <w:rPr>
                <w:sz w:val="1"/>
                <w:szCs w:val="1"/>
                <w:color w:val="auto"/>
              </w:rPr>
            </w:pPr>
          </w:p>
        </w:tc>
      </w:tr>
      <w:tr>
        <w:trPr>
          <w:trHeight w:val="159"/>
        </w:trPr>
        <w:tc>
          <w:tcPr>
            <w:tcW w:w="468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3,768</w:t>
            </w:r>
          </w:p>
        </w:tc>
        <w:tc>
          <w:tcPr>
            <w:tcW w:w="0" w:type="dxa"/>
            <w:vAlign w:val="bottom"/>
          </w:tcPr>
          <w:p>
            <w:pPr>
              <w:spacing w:after="0"/>
              <w:rPr>
                <w:sz w:val="1"/>
                <w:szCs w:val="1"/>
                <w:color w:val="auto"/>
              </w:rPr>
            </w:pPr>
          </w:p>
        </w:tc>
      </w:tr>
      <w:tr>
        <w:trPr>
          <w:trHeight w:val="197"/>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gridSpan w:val="3"/>
          </w:tcPr>
          <w:p>
            <w:pPr>
              <w:ind w:left="20"/>
              <w:spacing w:after="0"/>
              <w:rPr>
                <w:sz w:val="20"/>
                <w:szCs w:val="20"/>
                <w:color w:val="auto"/>
              </w:rPr>
            </w:pPr>
            <w:r>
              <w:rPr>
                <w:rFonts w:ascii="Arial" w:cs="Arial" w:eastAsia="Arial" w:hAnsi="Arial"/>
                <w:sz w:val="15"/>
                <w:szCs w:val="15"/>
                <w:color w:val="auto"/>
              </w:rPr>
              <w:t>Stock option exercises</w:t>
            </w:r>
          </w:p>
        </w:tc>
        <w:tc>
          <w:tcPr>
            <w:tcW w:w="1100" w:type="dxa"/>
            <w:vAlign w:val="bottom"/>
          </w:tcPr>
          <w:p>
            <w:pPr>
              <w:jc w:val="right"/>
              <w:spacing w:after="0"/>
              <w:rPr>
                <w:sz w:val="20"/>
                <w:szCs w:val="20"/>
                <w:color w:val="auto"/>
              </w:rPr>
            </w:pPr>
            <w:r>
              <w:rPr>
                <w:rFonts w:ascii="Arial" w:cs="Arial" w:eastAsia="Arial" w:hAnsi="Arial"/>
                <w:sz w:val="15"/>
                <w:szCs w:val="15"/>
                <w:color w:val="auto"/>
              </w:rPr>
              <w:t>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7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05"/>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99"/>
        </w:trPr>
        <w:tc>
          <w:tcPr>
            <w:tcW w:w="4680" w:type="dxa"/>
            <w:vAlign w:val="bottom"/>
            <w:gridSpan w:val="3"/>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00" w:type="dxa"/>
            <w:vAlign w:val="bottom"/>
          </w:tcPr>
          <w:p>
            <w:pPr>
              <w:jc w:val="right"/>
              <w:spacing w:after="0"/>
              <w:rPr>
                <w:sz w:val="20"/>
                <w:szCs w:val="20"/>
                <w:color w:val="auto"/>
              </w:rPr>
            </w:pPr>
            <w:r>
              <w:rPr>
                <w:rFonts w:ascii="Arial" w:cs="Arial" w:eastAsia="Arial" w:hAnsi="Arial"/>
                <w:sz w:val="15"/>
                <w:szCs w:val="15"/>
                <w:color w:val="auto"/>
              </w:rPr>
              <w:t>36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7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99"/>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Unrealized gain on investments</w:t>
            </w: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MARCH 31, 2020</w:t>
            </w:r>
          </w:p>
        </w:tc>
        <w:tc>
          <w:tcPr>
            <w:tcW w:w="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44,963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493,774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(383,384)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110,452</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Net loss</w:t>
            </w: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(8,269)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(8,269)</w:t>
            </w:r>
          </w:p>
        </w:tc>
        <w:tc>
          <w:tcPr>
            <w:tcW w:w="0" w:type="dxa"/>
            <w:vAlign w:val="bottom"/>
          </w:tcPr>
          <w:p>
            <w:pPr>
              <w:spacing w:after="0"/>
              <w:rPr>
                <w:sz w:val="1"/>
                <w:szCs w:val="1"/>
                <w:color w:val="auto"/>
              </w:rPr>
            </w:pPr>
          </w:p>
        </w:tc>
      </w:tr>
      <w:tr>
        <w:trPr>
          <w:trHeight w:val="159"/>
        </w:trPr>
        <w:tc>
          <w:tcPr>
            <w:tcW w:w="468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4,376</w:t>
            </w:r>
          </w:p>
        </w:tc>
        <w:tc>
          <w:tcPr>
            <w:tcW w:w="0" w:type="dxa"/>
            <w:vAlign w:val="bottom"/>
          </w:tcPr>
          <w:p>
            <w:pPr>
              <w:spacing w:after="0"/>
              <w:rPr>
                <w:sz w:val="1"/>
                <w:szCs w:val="1"/>
                <w:color w:val="auto"/>
              </w:rPr>
            </w:pPr>
          </w:p>
        </w:tc>
      </w:tr>
      <w:tr>
        <w:trPr>
          <w:trHeight w:val="197"/>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gridSpan w:val="3"/>
          </w:tcPr>
          <w:p>
            <w:pPr>
              <w:ind w:left="20"/>
              <w:spacing w:after="0"/>
              <w:rPr>
                <w:sz w:val="20"/>
                <w:szCs w:val="20"/>
                <w:color w:val="auto"/>
              </w:rPr>
            </w:pPr>
            <w:r>
              <w:rPr>
                <w:rFonts w:ascii="Arial" w:cs="Arial" w:eastAsia="Arial" w:hAnsi="Arial"/>
                <w:sz w:val="15"/>
                <w:szCs w:val="15"/>
                <w:color w:val="auto"/>
              </w:rPr>
              <w:t>Stock option exercises</w:t>
            </w:r>
          </w:p>
        </w:tc>
        <w:tc>
          <w:tcPr>
            <w:tcW w:w="1100" w:type="dxa"/>
            <w:vAlign w:val="bottom"/>
          </w:tcPr>
          <w:p>
            <w:pPr>
              <w:jc w:val="right"/>
              <w:spacing w:after="0"/>
              <w:rPr>
                <w:sz w:val="20"/>
                <w:szCs w:val="20"/>
                <w:color w:val="auto"/>
              </w:rPr>
            </w:pPr>
            <w:r>
              <w:rPr>
                <w:rFonts w:ascii="Arial" w:cs="Arial" w:eastAsia="Arial" w:hAnsi="Arial"/>
                <w:sz w:val="15"/>
                <w:szCs w:val="15"/>
                <w:color w:val="auto"/>
              </w:rPr>
              <w:t>188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7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05"/>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99"/>
        </w:trPr>
        <w:tc>
          <w:tcPr>
            <w:tcW w:w="4680" w:type="dxa"/>
            <w:vAlign w:val="bottom"/>
            <w:gridSpan w:val="3"/>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0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7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Unrealized gain on investments</w:t>
            </w:r>
          </w:p>
        </w:tc>
        <w:tc>
          <w:tcPr>
            <w:tcW w:w="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8"/>
        </w:trPr>
        <w:tc>
          <w:tcPr>
            <w:tcW w:w="4680" w:type="dxa"/>
            <w:vAlign w:val="bottom"/>
            <w:gridSpan w:val="3"/>
          </w:tcPr>
          <w:p>
            <w:pPr>
              <w:ind w:left="20"/>
              <w:spacing w:after="0"/>
              <w:rPr>
                <w:sz w:val="20"/>
                <w:szCs w:val="20"/>
                <w:color w:val="auto"/>
              </w:rPr>
            </w:pPr>
            <w:r>
              <w:rPr>
                <w:rFonts w:ascii="Arial" w:cs="Arial" w:eastAsia="Arial" w:hAnsi="Arial"/>
                <w:sz w:val="15"/>
                <w:szCs w:val="15"/>
                <w:color w:val="auto"/>
              </w:rPr>
              <w:t>BALANCE, JUNE 30, 2020</w:t>
            </w:r>
          </w:p>
        </w:tc>
        <w:tc>
          <w:tcPr>
            <w:tcW w:w="1100" w:type="dxa"/>
            <w:vAlign w:val="bottom"/>
          </w:tcPr>
          <w:p>
            <w:pPr>
              <w:jc w:val="right"/>
              <w:spacing w:after="0"/>
              <w:rPr>
                <w:sz w:val="20"/>
                <w:szCs w:val="20"/>
                <w:color w:val="auto"/>
              </w:rPr>
            </w:pPr>
            <w:r>
              <w:rPr>
                <w:rFonts w:ascii="Arial" w:cs="Arial" w:eastAsia="Arial" w:hAnsi="Arial"/>
                <w:sz w:val="15"/>
                <w:szCs w:val="15"/>
                <w:color w:val="auto"/>
              </w:rPr>
              <w:t>45,194</w:t>
            </w:r>
          </w:p>
        </w:tc>
        <w:tc>
          <w:tcPr>
            <w:tcW w:w="40" w:type="dxa"/>
            <w:vAlign w:val="bottom"/>
          </w:tcPr>
          <w:p>
            <w:pPr>
              <w:spacing w:after="0"/>
              <w:rPr>
                <w:sz w:val="17"/>
                <w:szCs w:val="17"/>
                <w:color w:val="auto"/>
              </w:rPr>
            </w:pPr>
          </w:p>
        </w:tc>
        <w:tc>
          <w:tcPr>
            <w:tcW w:w="340" w:type="dxa"/>
            <w:vAlign w:val="bottom"/>
            <w:gridSpan w:val="3"/>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499,103</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146</w:t>
            </w:r>
          </w:p>
        </w:tc>
        <w:tc>
          <w:tcPr>
            <w:tcW w:w="40" w:type="dxa"/>
            <w:vAlign w:val="bottom"/>
          </w:tcPr>
          <w:p>
            <w:pPr>
              <w:spacing w:after="0"/>
              <w:rPr>
                <w:sz w:val="17"/>
                <w:szCs w:val="17"/>
                <w:color w:val="auto"/>
              </w:rPr>
            </w:pPr>
          </w:p>
        </w:tc>
        <w:tc>
          <w:tcPr>
            <w:tcW w:w="260" w:type="dxa"/>
            <w:vAlign w:val="bottom"/>
            <w:gridSpan w:val="3"/>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(391,653)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107,596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3"/>
                <w:szCs w:val="13"/>
                <w:b w:val="1"/>
                <w:bCs w:val="1"/>
                <w:color w:val="auto"/>
              </w:rPr>
              <w:t>Six Months Ended June 30,</w:t>
            </w:r>
          </w:p>
        </w:tc>
      </w:tr>
      <w:tr>
        <w:trPr>
          <w:trHeight w:val="173"/>
        </w:trPr>
        <w:tc>
          <w:tcPr>
            <w:tcW w:w="83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r>
      <w:tr>
        <w:trPr>
          <w:trHeight w:val="19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Net loss</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(7,075)</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(12,974)</w:t>
            </w: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8300" w:type="dxa"/>
            <w:vAlign w:val="bottom"/>
          </w:tcPr>
          <w:p>
            <w:pPr>
              <w:ind w:left="320"/>
              <w:spacing w:after="0"/>
              <w:rPr>
                <w:sz w:val="20"/>
                <w:szCs w:val="20"/>
                <w:color w:val="auto"/>
              </w:rPr>
            </w:pPr>
            <w:r>
              <w:rPr>
                <w:rFonts w:ascii="Arial" w:cs="Arial" w:eastAsia="Arial" w:hAnsi="Arial"/>
                <w:sz w:val="17"/>
                <w:szCs w:val="17"/>
                <w:color w:val="auto"/>
              </w:rPr>
              <w:t>Depreciation and amortization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1,079</w:t>
            </w:r>
          </w:p>
        </w:tc>
      </w:tr>
      <w:tr>
        <w:trPr>
          <w:trHeight w:val="215"/>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compensation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8,144</w:t>
            </w:r>
          </w:p>
        </w:tc>
      </w:tr>
      <w:tr>
        <w:trPr>
          <w:trHeight w:val="214"/>
        </w:trPr>
        <w:tc>
          <w:tcPr>
            <w:tcW w:w="8300" w:type="dxa"/>
            <w:vAlign w:val="bottom"/>
          </w:tcPr>
          <w:p>
            <w:pPr>
              <w:ind w:left="320"/>
              <w:spacing w:after="0"/>
              <w:rPr>
                <w:sz w:val="20"/>
                <w:szCs w:val="20"/>
                <w:color w:val="auto"/>
              </w:rPr>
            </w:pPr>
            <w:r>
              <w:rPr>
                <w:rFonts w:ascii="Arial" w:cs="Arial" w:eastAsia="Arial" w:hAnsi="Arial"/>
                <w:sz w:val="17"/>
                <w:szCs w:val="17"/>
                <w:color w:val="auto"/>
              </w:rPr>
              <w:t>Foreign currency translation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(gain) on sale of fixed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4"/>
        </w:trPr>
        <w:tc>
          <w:tcPr>
            <w:tcW w:w="8300" w:type="dxa"/>
            <w:vAlign w:val="bottom"/>
          </w:tcPr>
          <w:p>
            <w:pPr>
              <w:ind w:left="320"/>
              <w:spacing w:after="0"/>
              <w:rPr>
                <w:sz w:val="20"/>
                <w:szCs w:val="20"/>
                <w:color w:val="auto"/>
              </w:rPr>
            </w:pPr>
            <w:r>
              <w:rPr>
                <w:rFonts w:ascii="Arial" w:cs="Arial" w:eastAsia="Arial" w:hAnsi="Arial"/>
                <w:sz w:val="17"/>
                <w:szCs w:val="17"/>
                <w:color w:val="auto"/>
              </w:rPr>
              <w:t>Amortization of premiums and discounts on marketable securities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5"/>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lease cost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w:t>
            </w:r>
          </w:p>
        </w:tc>
      </w:tr>
      <w:tr>
        <w:trPr>
          <w:trHeight w:val="214"/>
        </w:trPr>
        <w:tc>
          <w:tcPr>
            <w:tcW w:w="830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Inventory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w:t>
            </w:r>
          </w:p>
        </w:tc>
      </w:tr>
      <w:tr>
        <w:trPr>
          <w:trHeight w:val="214"/>
        </w:trPr>
        <w:tc>
          <w:tcPr>
            <w:tcW w:w="830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8,513</w:t>
            </w:r>
          </w:p>
        </w:tc>
      </w:tr>
      <w:tr>
        <w:trPr>
          <w:trHeight w:val="215"/>
        </w:trPr>
        <w:tc>
          <w:tcPr>
            <w:tcW w:w="83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14"/>
        </w:trPr>
        <w:tc>
          <w:tcPr>
            <w:tcW w:w="830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(1,692)</w:t>
            </w:r>
          </w:p>
        </w:tc>
      </w:tr>
      <w:tr>
        <w:trPr>
          <w:trHeight w:val="215"/>
        </w:trPr>
        <w:tc>
          <w:tcPr>
            <w:tcW w:w="83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Accrued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4"/>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Operating lease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w:t>
            </w:r>
          </w:p>
        </w:tc>
      </w:tr>
      <w:tr>
        <w:trPr>
          <w:trHeight w:val="207"/>
        </w:trPr>
        <w:tc>
          <w:tcPr>
            <w:tcW w:w="83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r>
      <w:tr>
        <w:trPr>
          <w:trHeight w:val="214"/>
        </w:trPr>
        <w:tc>
          <w:tcPr>
            <w:tcW w:w="830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w:t>
            </w: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Sales and maturities of investments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32,655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32,797</w:t>
            </w: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Expenditures for property, plant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r>
      <w:tr>
        <w:trPr>
          <w:trHeight w:val="207"/>
        </w:trPr>
        <w:tc>
          <w:tcPr>
            <w:tcW w:w="8300" w:type="dxa"/>
            <w:vAlign w:val="bottom"/>
          </w:tcPr>
          <w:p>
            <w:pPr>
              <w:ind w:left="620"/>
              <w:spacing w:after="0"/>
              <w:rPr>
                <w:sz w:val="20"/>
                <w:szCs w:val="20"/>
                <w:color w:val="auto"/>
              </w:rPr>
            </w:pPr>
            <w:r>
              <w:rPr>
                <w:rFonts w:ascii="Arial" w:cs="Arial" w:eastAsia="Arial" w:hAnsi="Arial"/>
                <w:sz w:val="17"/>
                <w:szCs w:val="17"/>
                <w:color w:val="auto"/>
              </w:rPr>
              <w:t>Net cash provided by (used for) investing activities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25,954</w:t>
            </w:r>
          </w:p>
        </w:tc>
      </w:tr>
      <w:tr>
        <w:trPr>
          <w:trHeight w:val="215"/>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Net proceeds from common stock issuance due to stock option exercises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1,373</w:t>
            </w: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on employee's behalf for taxes related to vesting of restricted stock units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07"/>
        </w:trPr>
        <w:tc>
          <w:tcPr>
            <w:tcW w:w="83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r>
      <w:tr>
        <w:trPr>
          <w:trHeight w:val="214"/>
        </w:trPr>
        <w:tc>
          <w:tcPr>
            <w:tcW w:w="830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28,815</w:t>
            </w:r>
          </w:p>
        </w:tc>
      </w:tr>
      <w:tr>
        <w:trPr>
          <w:trHeight w:val="214"/>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26,978</w:t>
            </w:r>
          </w:p>
        </w:tc>
      </w:tr>
      <w:tr>
        <w:trPr>
          <w:trHeight w:val="207"/>
        </w:trPr>
        <w:tc>
          <w:tcPr>
            <w:tcW w:w="83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55,793</w:t>
            </w: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the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12" w:lineRule="exact"/>
        <w:rPr>
          <w:sz w:val="20"/>
          <w:szCs w:val="20"/>
          <w:color w:val="auto"/>
        </w:rPr>
      </w:pPr>
    </w:p>
    <w:p>
      <w:pPr>
        <w:jc w:val="both"/>
        <w:ind w:firstLine="227"/>
        <w:spacing w:after="0" w:line="262" w:lineRule="auto"/>
        <w:rPr>
          <w:sz w:val="20"/>
          <w:szCs w:val="20"/>
          <w:color w:val="auto"/>
        </w:rPr>
      </w:pPr>
      <w:r>
        <w:rPr>
          <w:rFonts w:ascii="Arial" w:cs="Arial" w:eastAsia="Arial" w:hAnsi="Arial"/>
          <w:sz w:val="16"/>
          <w:szCs w:val="16"/>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(autologous cultured chondrocytes on porcine collagen membrane)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(cultured epidermal autografts).</w:t>
      </w:r>
    </w:p>
    <w:p>
      <w:pPr>
        <w:spacing w:after="0" w:line="130"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6"/>
          <w:szCs w:val="16"/>
          <w:color w:val="auto"/>
        </w:rPr>
        <w:t>MACI is an autologous cellularized scaffold product indicated for the repair of symptomatic, single or multiple full-thickness cartilage defects of the knee with or without bone involvement in adults. Epicel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(concentrate of proteolytic enzymes enriched in bromelain), a registration-stage biological orphan product for the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COVID-19</w:t>
      </w:r>
    </w:p>
    <w:p>
      <w:pPr>
        <w:spacing w:after="0" w:line="233"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The pandemic caused by the spread of a novel strain of coronavirus (COVID-19) began directly affecting the United States in March of 2020 and has continued since that point. The pandemic has created significant disruptions to the U.S. and global economy and has contributed, at times, to significant volatility in financial</w:t>
      </w:r>
    </w:p>
    <w:p>
      <w:pPr>
        <w:jc w:val="both"/>
        <w:spacing w:after="0" w:line="269" w:lineRule="auto"/>
        <w:rPr>
          <w:sz w:val="20"/>
          <w:szCs w:val="20"/>
          <w:color w:val="auto"/>
        </w:rPr>
      </w:pPr>
      <w:r>
        <w:rPr>
          <w:rFonts w:ascii="Arial" w:cs="Arial" w:eastAsia="Arial" w:hAnsi="Arial"/>
          <w:sz w:val="16"/>
          <w:szCs w:val="16"/>
          <w:color w:val="auto"/>
        </w:rPr>
        <w:t>markets. 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196"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Notwithstanding being an essential business, the Company’s business and operations were, at times, adversely impacted by the effects of COVID-19 during 2020. As a result of periodic restrictions placed on the performance of elective surgical procedures, the Company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Although hospitals are now better prepared for a subsequent surge in COVID-19 patients and COVID-19 vaccines have been approved and are being widely distributed in the United States, the risk remains that regional or local restrictions could again be placed on the performance of elective surgical procedures if the number of COVID-19 infections in the United States were to rise again, or if new or existing COVID-19 variants render current vaccine treatments ineffective. Because Epicel is used almost exclusively in the emergent setting by burn centers and surgeons throughout the country, Epicel revenue and procedure volumes have been less affected by the pandemic.</w:t>
      </w:r>
    </w:p>
    <w:p>
      <w:pPr>
        <w:spacing w:after="0" w:line="182"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At the outset of the pandemic, the Company put in place a comprehensive workplace protection plan, which instituted protective measures in response to COVID-19. The Company’s workplace protection plan closely followed guidance issued by the Centers for Disease Control and Prevention (CDC) and complied with</w:t>
      </w:r>
    </w:p>
    <w:p>
      <w:pPr>
        <w:jc w:val="both"/>
        <w:spacing w:after="0" w:line="255" w:lineRule="auto"/>
        <w:rPr>
          <w:sz w:val="20"/>
          <w:szCs w:val="20"/>
          <w:color w:val="auto"/>
        </w:rPr>
      </w:pPr>
      <w:r>
        <w:rPr>
          <w:rFonts w:ascii="Arial" w:cs="Arial" w:eastAsia="Arial" w:hAnsi="Arial"/>
          <w:sz w:val="17"/>
          <w:szCs w:val="17"/>
          <w:color w:val="auto"/>
        </w:rPr>
        <w:t>applicable federal and state law. Because vaccines designed to protect against COVID-19 have become readily available and the rates of COVID-19 infections, hospitalizations and deaths in the majority of the U.S. have declined since the beginning of 2021, the CDC and the Occupational Safety and Health Administration (OSHA) have altered their guidance for Americans, and emergency orders and mandatory workplace protocols in Michigan and Massachusetts have either been rescinded or greatly reduced – to include the lifting of all capacity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limitations on businesses in both states. Accordingly, Vericel is planning for a return to more normal workplace operations, but will continue to modify its workplace protection plan, and will reinstitute protective measures for its workforce as necessary.</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is reviewing its policies and procedures regularly as the pandemic evolves and may take additional actions to the extent required.</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222222"/>
        </w:rPr>
        <w:t>Going Concern</w:t>
      </w:r>
    </w:p>
    <w:p>
      <w:pPr>
        <w:spacing w:after="0" w:line="208"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Arial" w:cs="Arial" w:eastAsia="Arial" w:hAnsi="Arial"/>
          <w:sz w:val="15"/>
          <w:szCs w:val="15"/>
          <w:color w:val="000000"/>
        </w:rPr>
        <w:t>June 30, 2021, the Company had</w:t>
      </w:r>
      <w:r>
        <w:rPr>
          <w:rFonts w:ascii="Arial" w:cs="Arial" w:eastAsia="Arial" w:hAnsi="Arial"/>
          <w:sz w:val="15"/>
          <w:szCs w:val="15"/>
          <w:color w:val="222222"/>
        </w:rPr>
        <w:t xml:space="preserve"> </w:t>
      </w:r>
      <w:r>
        <w:rPr>
          <w:rFonts w:ascii="Arial" w:cs="Arial" w:eastAsia="Arial" w:hAnsi="Arial"/>
          <w:sz w:val="15"/>
          <w:szCs w:val="15"/>
          <w:color w:val="000000"/>
        </w:rPr>
        <w:t xml:space="preserve">an accumulated deficit of </w:t>
      </w:r>
      <w:r>
        <w:rPr>
          <w:rFonts w:ascii="Arial" w:cs="Arial" w:eastAsia="Arial" w:hAnsi="Arial"/>
          <w:sz w:val="15"/>
          <w:szCs w:val="15"/>
          <w:color w:val="222222"/>
        </w:rPr>
        <w:t>$382.9 million,</w:t>
      </w:r>
      <w:r>
        <w:rPr>
          <w:rFonts w:ascii="Arial" w:cs="Arial" w:eastAsia="Arial" w:hAnsi="Arial"/>
          <w:sz w:val="15"/>
          <w:szCs w:val="15"/>
          <w:color w:val="000000"/>
        </w:rPr>
        <w:t xml:space="preserve"> and had a </w:t>
      </w:r>
      <w:r>
        <w:rPr>
          <w:rFonts w:ascii="Arial" w:cs="Arial" w:eastAsia="Arial" w:hAnsi="Arial"/>
          <w:sz w:val="15"/>
          <w:szCs w:val="15"/>
          <w:color w:val="222222"/>
        </w:rPr>
        <w:t>net loss of $3.8 million and $7.1 million, respectively, during the three and six months ended June 30, 2021. The</w:t>
      </w:r>
      <w:r>
        <w:rPr>
          <w:rFonts w:ascii="Arial" w:cs="Arial" w:eastAsia="Arial" w:hAnsi="Arial"/>
          <w:sz w:val="15"/>
          <w:szCs w:val="15"/>
          <w:color w:val="000000"/>
        </w:rPr>
        <w:t xml:space="preserve"> </w:t>
      </w:r>
      <w:r>
        <w:rPr>
          <w:rFonts w:ascii="Arial" w:cs="Arial" w:eastAsia="Arial" w:hAnsi="Arial"/>
          <w:sz w:val="15"/>
          <w:szCs w:val="15"/>
          <w:color w:val="222222"/>
        </w:rPr>
        <w:t>Company had cash and cash equivalents of $51.8 million and investments of $64.0 million as of June 30, 2021. The Company expects that cash from the sales of its products and existing cash, cash equivalents and investments will be sufficient to support the Company’s current operations through at least 12 months from the issuance of these Condensed Consolidated Financial Statements. To the extent the United States experiences a resurgence in COVID-19 infections and elective surgery restrictions are reinstated on a widespread basis and significantly impact the Company’s business, the Company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w:t>
      </w:r>
    </w:p>
    <w:p>
      <w:pPr>
        <w:spacing w:after="0" w:line="237" w:lineRule="exact"/>
        <w:rPr>
          <w:sz w:val="20"/>
          <w:szCs w:val="20"/>
          <w:color w:val="auto"/>
        </w:rPr>
      </w:pPr>
    </w:p>
    <w:p>
      <w:pPr>
        <w:jc w:val="both"/>
        <w:ind w:firstLine="227"/>
        <w:spacing w:after="0" w:line="285" w:lineRule="auto"/>
        <w:rPr>
          <w:sz w:val="20"/>
          <w:szCs w:val="20"/>
          <w:color w:val="auto"/>
        </w:rPr>
      </w:pPr>
      <w:r>
        <w:rPr>
          <w:rFonts w:ascii="Arial" w:cs="Arial" w:eastAsia="Arial" w:hAnsi="Arial"/>
          <w:sz w:val="15"/>
          <w:szCs w:val="15"/>
          <w:color w:val="auto"/>
        </w:rPr>
        <w:t xml:space="preserve">The accompanying </w:t>
      </w:r>
      <w:r>
        <w:rPr>
          <w:rFonts w:ascii="Arial" w:cs="Arial" w:eastAsia="Arial" w:hAnsi="Arial"/>
          <w:sz w:val="15"/>
          <w:szCs w:val="15"/>
          <w:color w:val="222222"/>
        </w:rPr>
        <w:t>Condensed Consolidated Financial Statements</w:t>
      </w:r>
      <w:r>
        <w:rPr>
          <w:rFonts w:ascii="Arial" w:cs="Arial" w:eastAsia="Arial" w:hAnsi="Arial"/>
          <w:sz w:val="15"/>
          <w:szCs w:val="15"/>
          <w:color w:val="auto"/>
        </w:rPr>
        <w:t xml:space="preserve"> as of June 30, 2021 and for the </w:t>
      </w:r>
      <w:r>
        <w:rPr>
          <w:rFonts w:ascii="Arial" w:cs="Arial" w:eastAsia="Arial" w:hAnsi="Arial"/>
          <w:sz w:val="15"/>
          <w:szCs w:val="15"/>
          <w:color w:val="222222"/>
        </w:rPr>
        <w:t>three and six months ended</w:t>
      </w:r>
      <w:r>
        <w:rPr>
          <w:rFonts w:ascii="Arial" w:cs="Arial" w:eastAsia="Arial" w:hAnsi="Arial"/>
          <w:sz w:val="15"/>
          <w:szCs w:val="15"/>
          <w:color w:val="auto"/>
        </w:rPr>
        <w:t xml:space="preserve"> June 30, 2021 are unaudited and have been prepared in accordance with the rules and regulations of the U.S. Securities and Exchange Commission (SEC). The preparation of </w:t>
      </w:r>
      <w:r>
        <w:rPr>
          <w:rFonts w:ascii="Arial" w:cs="Arial" w:eastAsia="Arial" w:hAnsi="Arial"/>
          <w:sz w:val="15"/>
          <w:szCs w:val="15"/>
          <w:color w:val="222222"/>
        </w:rPr>
        <w:t>Condensed Consolidated</w:t>
      </w:r>
      <w:r>
        <w:rPr>
          <w:rFonts w:ascii="Arial" w:cs="Arial" w:eastAsia="Arial" w:hAnsi="Arial"/>
          <w:sz w:val="15"/>
          <w:szCs w:val="15"/>
          <w:color w:val="auto"/>
        </w:rPr>
        <w:t xml:space="preserve"> </w:t>
      </w:r>
      <w:r>
        <w:rPr>
          <w:rFonts w:ascii="Arial" w:cs="Arial" w:eastAsia="Arial" w:hAnsi="Arial"/>
          <w:sz w:val="15"/>
          <w:szCs w:val="15"/>
          <w:color w:val="222222"/>
        </w:rPr>
        <w:t xml:space="preserve">Financial Statements </w:t>
      </w:r>
      <w:r>
        <w:rPr>
          <w:rFonts w:ascii="Arial" w:cs="Arial" w:eastAsia="Arial" w:hAnsi="Arial"/>
          <w:sz w:val="15"/>
          <w:szCs w:val="15"/>
          <w:color w:val="000000"/>
        </w:rPr>
        <w:t>in conformity with U.S. generally accepted accounting principles (GAAP) requires management to make estimates, judgments, and assumptions</w:t>
      </w:r>
      <w:r>
        <w:rPr>
          <w:rFonts w:ascii="Arial" w:cs="Arial" w:eastAsia="Arial" w:hAnsi="Arial"/>
          <w:sz w:val="15"/>
          <w:szCs w:val="15"/>
          <w:color w:val="222222"/>
        </w:rPr>
        <w:t xml:space="preserve"> </w:t>
      </w:r>
      <w:r>
        <w:rPr>
          <w:rFonts w:ascii="Arial" w:cs="Arial" w:eastAsia="Arial" w:hAnsi="Arial"/>
          <w:sz w:val="15"/>
          <w:szCs w:val="15"/>
          <w:color w:val="000000"/>
        </w:rPr>
        <w:t>that may affect the reported amounts of assets, liabilities, equity, revenue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 The full extent to which the COVID-19 pandemic will continue to directly or indirectly impact its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continue to contain or treat COVID-19, as well as the economic impact on its customers. The Company has made estimates of the impact of COVID-19 within these financial statements and there may be changes to those estimates in future periods. Actual results may differ from these estimates. As of June 30, 2021, the Company has not recorded impairments to investments, inventory, other current assets or long-lived assets as a result of the COVID-19 pandemic.</w:t>
      </w:r>
    </w:p>
    <w:p>
      <w:pPr>
        <w:spacing w:after="0" w:line="158"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 xml:space="preserve">These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should be read in conjunction with the audited consolidated financial statements and the notes thereto included in our Annual Report on Form 10-K for the year ended December 31, 2020, as filed with the SEC on February 24, 2021 (Annual Report).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Consolidated Statement of Cash Flows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certain supplementary cash flows information for the six months ended June 30, 2021 and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Supplementary Cash Flows information: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40" w:type="dxa"/>
            <w:vAlign w:val="bottom"/>
          </w:tcPr>
          <w:p>
            <w:pPr>
              <w:ind w:left="20"/>
              <w:spacing w:after="0"/>
              <w:rPr>
                <w:sz w:val="20"/>
                <w:szCs w:val="20"/>
                <w:color w:val="auto"/>
              </w:rPr>
            </w:pPr>
            <w:r>
              <w:rPr>
                <w:rFonts w:ascii="Arial" w:cs="Arial" w:eastAsia="Arial" w:hAnsi="Arial"/>
                <w:sz w:val="17"/>
                <w:szCs w:val="17"/>
                <w:color w:val="auto"/>
              </w:rPr>
              <w:t>Non-cash information:</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Right-of-use asset and lease liability recognized</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r>
      <w:tr>
        <w:trPr>
          <w:trHeight w:val="214"/>
        </w:trPr>
        <w:tc>
          <w:tcPr>
            <w:tcW w:w="8340" w:type="dxa"/>
            <w:vAlign w:val="bottom"/>
          </w:tcPr>
          <w:p>
            <w:pPr>
              <w:ind w:left="140"/>
              <w:spacing w:after="0"/>
              <w:rPr>
                <w:sz w:val="20"/>
                <w:szCs w:val="20"/>
                <w:color w:val="auto"/>
              </w:rPr>
            </w:pPr>
            <w:r>
              <w:rPr>
                <w:rFonts w:ascii="Arial" w:cs="Arial" w:eastAsia="Arial" w:hAnsi="Arial"/>
                <w:sz w:val="17"/>
                <w:szCs w:val="17"/>
                <w:color w:val="auto"/>
              </w:rPr>
              <w:t>Additions to property and equipment included in accounts payable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Restricted shares held for employee tax remittance included in accounts payable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4"/>
        </w:trPr>
        <w:tc>
          <w:tcPr>
            <w:tcW w:w="8340" w:type="dxa"/>
            <w:vAlign w:val="bottom"/>
          </w:tcPr>
          <w:p>
            <w:pPr>
              <w:ind w:left="20"/>
              <w:spacing w:after="0"/>
              <w:rPr>
                <w:sz w:val="20"/>
                <w:szCs w:val="20"/>
                <w:color w:val="auto"/>
              </w:rPr>
            </w:pPr>
            <w:r>
              <w:rPr>
                <w:rFonts w:ascii="Arial" w:cs="Arial" w:eastAsia="Arial" w:hAnsi="Arial"/>
                <w:sz w:val="17"/>
                <w:szCs w:val="17"/>
                <w:color w:val="auto"/>
              </w:rPr>
              <w:t>Cash information:</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paid</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497"/>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cash, cash equivalents, and restricted cash reported in the statement of financial position: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4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51,761</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55,704</w:t>
            </w:r>
          </w:p>
        </w:tc>
      </w:tr>
      <w:tr>
        <w:trPr>
          <w:trHeight w:val="214"/>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Restricted cash, included in other long-term assets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89</w:t>
            </w:r>
          </w:p>
        </w:tc>
      </w:tr>
      <w:tr>
        <w:trPr>
          <w:trHeight w:val="207"/>
        </w:trPr>
        <w:tc>
          <w:tcPr>
            <w:tcW w:w="8340" w:type="dxa"/>
            <w:vAlign w:val="bottom"/>
          </w:tcPr>
          <w:p>
            <w:pPr>
              <w:ind w:left="120"/>
              <w:spacing w:after="0"/>
              <w:rPr>
                <w:sz w:val="20"/>
                <w:szCs w:val="20"/>
                <w:color w:val="auto"/>
              </w:rPr>
            </w:pPr>
            <w:r>
              <w:rPr>
                <w:rFonts w:ascii="Arial" w:cs="Arial" w:eastAsia="Arial" w:hAnsi="Arial"/>
                <w:sz w:val="17"/>
                <w:szCs w:val="17"/>
                <w:color w:val="auto"/>
              </w:rPr>
              <w:t>Total cash, cash equivalents, and restricted cash shown in the statement of cash flows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55,793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60" w:right="7840" w:hanging="159"/>
        <w:spacing w:after="0" w:line="599" w:lineRule="auto"/>
        <w:tabs>
          <w:tab w:leader="none" w:pos="17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Simplifying the Accounting for Income Taxes</w:t>
      </w:r>
    </w:p>
    <w:p>
      <w:pPr>
        <w:jc w:val="both"/>
        <w:ind w:firstLine="303"/>
        <w:spacing w:after="0" w:line="25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 (ASC 740).</w:t>
      </w:r>
      <w:r>
        <w:rPr>
          <w:rFonts w:ascii="Arial" w:cs="Arial" w:eastAsia="Arial" w:hAnsi="Arial"/>
          <w:sz w:val="17"/>
          <w:szCs w:val="17"/>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became effective for the Company on January 1, 2021 and had no material impact on its </w:t>
      </w:r>
      <w:r>
        <w:rPr>
          <w:rFonts w:ascii="Arial" w:cs="Arial" w:eastAsia="Arial" w:hAnsi="Arial"/>
          <w:sz w:val="17"/>
          <w:szCs w:val="17"/>
          <w:color w:val="222222"/>
        </w:rPr>
        <w:t>Condensed Consolidated Financial Statements</w:t>
      </w:r>
      <w:r>
        <w:rPr>
          <w:rFonts w:ascii="Arial" w:cs="Arial" w:eastAsia="Arial" w:hAnsi="Arial"/>
          <w:sz w:val="17"/>
          <w:szCs w:val="17"/>
          <w:color w:val="000000"/>
        </w:rPr>
        <w: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Net Product Sales</w:t>
      </w:r>
    </w:p>
    <w:p>
      <w:pPr>
        <w:spacing w:after="0" w:line="15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 xml:space="preserve">The Company recognizes product revenue from sales of MACI biopsy kits, MACI implants, Epicel grafts and other sources following the five-step model in Accounting Standards Codification 606,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MACI Biopsy Kits</w:t>
      </w:r>
    </w:p>
    <w:p>
      <w:pPr>
        <w:spacing w:after="0" w:line="158"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The customer’s order of an implant is separate from the process of ordering the biopsy kit. Therefore, the sale of the biopsy kit and any subsequent sale of an implant are distinct contracts and are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0" w:name="page11"/>
    <w:bookmarkEnd w:id="10"/>
    <w:p>
      <w:pPr>
        <w:ind w:left="160"/>
        <w:spacing w:after="0"/>
        <w:rPr>
          <w:sz w:val="20"/>
          <w:szCs w:val="20"/>
          <w:color w:val="auto"/>
        </w:rPr>
      </w:pPr>
      <w:r>
        <w:rPr>
          <w:rFonts w:ascii="Arial" w:cs="Arial" w:eastAsia="Arial" w:hAnsi="Arial"/>
          <w:sz w:val="17"/>
          <w:szCs w:val="17"/>
          <w:i w:val="1"/>
          <w:iCs w:val="1"/>
          <w:color w:val="auto"/>
        </w:rPr>
        <w:t>MACI Implants</w:t>
      </w:r>
    </w:p>
    <w:p>
      <w:pPr>
        <w:spacing w:after="0" w:line="158" w:lineRule="exact"/>
        <w:rPr>
          <w:sz w:val="20"/>
          <w:szCs w:val="20"/>
          <w:color w:val="auto"/>
        </w:rPr>
      </w:pPr>
    </w:p>
    <w:p>
      <w:pPr>
        <w:jc w:val="both"/>
        <w:ind w:firstLine="189"/>
        <w:spacing w:after="0" w:line="252"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third-party to provide services in connection with a patient support program to manage patient cases and to ensure complete and correct billing information is provided to the insurers and hospitals. In addition, the Company also sells MACI directly to DMS Pharmaceutical (DMS) for patients treated at military treatment facilities. The sales directly to DMS are made at a contracted rate.</w:t>
      </w:r>
    </w:p>
    <w:p>
      <w:pPr>
        <w:spacing w:after="0" w:line="206"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188"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The total allowance for uncollectible consideration as of June 30, 2021 and December 31, 2020 was $7.1 million and $5.3 million, respectively. Changes to the estimate of the amount of consideration that will not be collected could have a material impact to the revenue recognized. A 0.5% change to the estimated uncollectible percentage could result in approximately a $0.3 million increase or decrease in the revenue recognized as of the six months ended June 30, 2021.</w:t>
      </w:r>
    </w:p>
    <w:p>
      <w:pPr>
        <w:spacing w:after="0" w:line="200"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Changes in estimates of the transaction price are recorded through revenue in the period in which such change occurs. Changes in estimates related to prior period sales for the three and six months ended June 30, 2021 resulted in a decrease to revenue of $0.4 million and $0.1 million, respectively, and a decrease to revenue of $0.2 million and an increase to revenue of $1.1 million, respectively, for the same periods in 2020. The changes in estimates recorded during the three and six months ended June 30, 2021 and June 30, 2020, were primarily due to completion of the billing claims process for implants that occurred in 2020 or prior. Upon completion of the billing claims process, the Company concluded that it was probable that a significant reversal in the amount of revenue recognized would not occur.</w:t>
      </w:r>
    </w:p>
    <w:p>
      <w:pPr>
        <w:spacing w:after="0" w:line="176"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 xml:space="preserve">Additionally, potential credit risk exposure has been evaluated for the Company’s accounts receivable in accordance with </w:t>
      </w:r>
      <w:r>
        <w:rPr>
          <w:rFonts w:ascii="Arial" w:cs="Arial" w:eastAsia="Arial" w:hAnsi="Arial"/>
          <w:sz w:val="15"/>
          <w:szCs w:val="15"/>
          <w:i w:val="1"/>
          <w:iCs w:val="1"/>
          <w:color w:val="auto"/>
        </w:rPr>
        <w:t>ASC 326, Financial Instruments - Credit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Losses. </w:t>
      </w:r>
      <w:r>
        <w:rPr>
          <w:rFonts w:ascii="Arial" w:cs="Arial" w:eastAsia="Arial" w:hAnsi="Arial"/>
          <w:sz w:val="15"/>
          <w:szCs w:val="15"/>
          <w:color w:val="auto"/>
        </w:rPr>
        <w:t>The loss percentage is calculated by pooling account receivables containing similar risk characteristics and applying collectability forecasts which are derived</w:t>
      </w:r>
      <w:r>
        <w:rPr>
          <w:rFonts w:ascii="Arial" w:cs="Arial" w:eastAsia="Arial" w:hAnsi="Arial"/>
          <w:sz w:val="15"/>
          <w:szCs w:val="15"/>
          <w:i w:val="1"/>
          <w:iCs w:val="1"/>
          <w:color w:val="auto"/>
        </w:rPr>
        <w:t xml:space="preserve"> </w:t>
      </w:r>
      <w:r>
        <w:rPr>
          <w:rFonts w:ascii="Arial" w:cs="Arial" w:eastAsia="Arial" w:hAnsi="Arial"/>
          <w:sz w:val="15"/>
          <w:szCs w:val="15"/>
          <w:color w:val="auto"/>
        </w:rPr>
        <w:t>from current and historical economic and financial information. The loss percentage calculated was applied to accounts receivables as of June 30, 2021 and December 31, 2020. The allowance related to the potential impacts of COVID-19 on accounts receivable from third-party insurers, government payers, hospitals and patients as of December 31, 2020 included approximately $0.1 million, and no additional allowance was recorded during the six months ended June 30, 2021.</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Epicel</w:t>
      </w:r>
    </w:p>
    <w:p>
      <w:pPr>
        <w:spacing w:after="0" w:line="15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NexoBrid</w:t>
      </w:r>
    </w:p>
    <w:p>
      <w:pPr>
        <w:spacing w:after="0" w:line="158"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The Company entered into exclusive license and supply agreements with MediWound, under which MediWound will manufacture and supply NexoBrid on a unit price basis, which may be increased pursuant to the terms of the agreement. The U.S. Biomedical Advanced Research and Development Authority (BARDA) committed to procure NexoBrid directly from MediWound, under an emergency use authorization. As a result, during 2020, BARDA accepted the first shipments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1" w:name="page12"/>
    <w:bookmarkEnd w:id="11"/>
    <w:p>
      <w:pPr>
        <w:jc w:val="both"/>
        <w:ind w:right="100"/>
        <w:spacing w:after="0" w:line="299" w:lineRule="auto"/>
        <w:rPr>
          <w:sz w:val="20"/>
          <w:szCs w:val="20"/>
          <w:color w:val="auto"/>
        </w:rPr>
      </w:pPr>
      <w:r>
        <w:rPr>
          <w:rFonts w:ascii="Arial" w:cs="Arial" w:eastAsia="Arial" w:hAnsi="Arial"/>
          <w:sz w:val="15"/>
          <w:szCs w:val="15"/>
          <w:color w:val="auto"/>
        </w:rPr>
        <w:t>NexoBrid, per the agreement between BARDA and MediWound. The Company recognizes revenue based on a percentage of gross profits for sales of NexoBrid to BARDA upon delivery, at which time BARDA is in control of the product. As of June 30, 2021, the Company did not take title to the product or hold a direct contract or distribution agreement with BARDA. During the three and six months ended June 30, 2021, the Company recognized $0.8 million and $1.8 million of revenue, respectively. No revenue related to the procurement by BARDA was recognized for the three and six months ended June 30, 2020. See note 11 for further information.</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Revenue by Product and Customer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and description below shows the products from which the Company generated its revenue:</w:t>
      </w:r>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177"/>
        </w:trPr>
        <w:tc>
          <w:tcPr>
            <w:tcW w:w="5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June 30,</w:t>
            </w:r>
          </w:p>
        </w:tc>
        <w:tc>
          <w:tcPr>
            <w:tcW w:w="480" w:type="dxa"/>
            <w:vAlign w:val="bottom"/>
          </w:tcPr>
          <w:p>
            <w:pPr>
              <w:spacing w:after="0"/>
              <w:rPr>
                <w:sz w:val="15"/>
                <w:szCs w:val="15"/>
                <w:color w:val="auto"/>
              </w:rPr>
            </w:pPr>
          </w:p>
        </w:tc>
        <w:tc>
          <w:tcPr>
            <w:tcW w:w="208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5"/>
        </w:trPr>
        <w:tc>
          <w:tcPr>
            <w:tcW w:w="56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Revenue by product (in thousands)</w:t>
            </w:r>
          </w:p>
        </w:tc>
        <w:tc>
          <w:tcPr>
            <w:tcW w:w="4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MACI implants and kits</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440"/>
              <w:spacing w:after="0"/>
              <w:rPr>
                <w:sz w:val="20"/>
                <w:szCs w:val="20"/>
                <w:color w:val="auto"/>
              </w:rPr>
            </w:pPr>
            <w:r>
              <w:rPr>
                <w:rFonts w:ascii="Arial" w:cs="Arial" w:eastAsia="Arial" w:hAnsi="Arial"/>
                <w:sz w:val="17"/>
                <w:szCs w:val="17"/>
                <w:color w:val="auto"/>
                <w:w w:val="93"/>
              </w:rPr>
              <w:t>Implants based on contracted rates sold through a specialty pharmacy (a)</w:t>
            </w:r>
          </w:p>
        </w:tc>
        <w:tc>
          <w:tcPr>
            <w:tcW w:w="4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17,972</w:t>
            </w:r>
          </w:p>
        </w:tc>
        <w:tc>
          <w:tcPr>
            <w:tcW w:w="100" w:type="dxa"/>
            <w:vAlign w:val="bottom"/>
          </w:tcPr>
          <w:p>
            <w:pPr>
              <w:spacing w:after="0"/>
              <w:rPr>
                <w:sz w:val="18"/>
                <w:szCs w:val="18"/>
                <w:color w:val="auto"/>
              </w:rPr>
            </w:pPr>
          </w:p>
        </w:tc>
        <w:tc>
          <w:tcPr>
            <w:tcW w:w="5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9,790</w:t>
            </w:r>
          </w:p>
        </w:tc>
        <w:tc>
          <w:tcPr>
            <w:tcW w:w="100" w:type="dxa"/>
            <w:vAlign w:val="bottom"/>
          </w:tcPr>
          <w:p>
            <w:pPr>
              <w:spacing w:after="0"/>
              <w:rPr>
                <w:sz w:val="18"/>
                <w:szCs w:val="18"/>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31,200</w:t>
            </w:r>
          </w:p>
        </w:tc>
        <w:tc>
          <w:tcPr>
            <w:tcW w:w="100" w:type="dxa"/>
            <w:vAlign w:val="bottom"/>
          </w:tcPr>
          <w:p>
            <w:pPr>
              <w:spacing w:after="0"/>
              <w:rPr>
                <w:sz w:val="18"/>
                <w:szCs w:val="18"/>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21,21</w:t>
            </w:r>
          </w:p>
        </w:tc>
        <w:tc>
          <w:tcPr>
            <w:tcW w:w="0" w:type="dxa"/>
            <w:vAlign w:val="bottom"/>
          </w:tcPr>
          <w:p>
            <w:pPr>
              <w:spacing w:after="0"/>
              <w:rPr>
                <w:sz w:val="1"/>
                <w:szCs w:val="1"/>
                <w:color w:val="auto"/>
              </w:rPr>
            </w:pPr>
          </w:p>
        </w:tc>
      </w:tr>
      <w:tr>
        <w:trPr>
          <w:trHeight w:val="164"/>
        </w:trPr>
        <w:tc>
          <w:tcPr>
            <w:tcW w:w="5660" w:type="dxa"/>
            <w:vAlign w:val="bottom"/>
            <w:shd w:val="clear" w:color="auto" w:fill="CCEEFF"/>
          </w:tcPr>
          <w:p>
            <w:pPr>
              <w:ind w:left="440"/>
              <w:spacing w:after="0" w:line="164" w:lineRule="exact"/>
              <w:rPr>
                <w:sz w:val="20"/>
                <w:szCs w:val="20"/>
                <w:color w:val="auto"/>
              </w:rPr>
            </w:pPr>
            <w:r>
              <w:rPr>
                <w:rFonts w:ascii="Arial" w:cs="Arial" w:eastAsia="Arial" w:hAnsi="Arial"/>
                <w:sz w:val="17"/>
                <w:szCs w:val="17"/>
                <w:color w:val="auto"/>
                <w:w w:val="99"/>
              </w:rPr>
              <w:t>Implants subject to third party reimbursement sold through a specialty</w:t>
            </w: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3,502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7,917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pharmacy (b)</w:t>
            </w: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440"/>
              <w:spacing w:after="0"/>
              <w:rPr>
                <w:sz w:val="20"/>
                <w:szCs w:val="20"/>
                <w:color w:val="auto"/>
              </w:rPr>
            </w:pPr>
            <w:r>
              <w:rPr>
                <w:rFonts w:ascii="Arial" w:cs="Arial" w:eastAsia="Arial" w:hAnsi="Arial"/>
                <w:sz w:val="17"/>
                <w:szCs w:val="17"/>
                <w:color w:val="auto"/>
              </w:rPr>
              <w:t>Implants sold direct based on contracted rates (c)</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Implants sold direct subject to third party reimbursement (d)</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4"/>
        </w:trPr>
        <w:tc>
          <w:tcPr>
            <w:tcW w:w="5660" w:type="dxa"/>
            <w:vAlign w:val="bottom"/>
          </w:tcPr>
          <w:p>
            <w:pPr>
              <w:ind w:left="440"/>
              <w:spacing w:after="0"/>
              <w:rPr>
                <w:sz w:val="20"/>
                <w:szCs w:val="20"/>
                <w:color w:val="auto"/>
              </w:rPr>
            </w:pPr>
            <w:r>
              <w:rPr>
                <w:rFonts w:ascii="Arial" w:cs="Arial" w:eastAsia="Arial" w:hAnsi="Arial"/>
                <w:sz w:val="17"/>
                <w:szCs w:val="17"/>
                <w:color w:val="auto"/>
              </w:rPr>
              <w:t>Biopsy kits - direct bill</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estimates related to prior periods (e)</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4"/>
        </w:trPr>
        <w:tc>
          <w:tcPr>
            <w:tcW w:w="5660" w:type="dxa"/>
            <w:vAlign w:val="bottom"/>
          </w:tcPr>
          <w:p>
            <w:pPr>
              <w:ind w:left="260"/>
              <w:spacing w:after="0"/>
              <w:rPr>
                <w:sz w:val="20"/>
                <w:szCs w:val="20"/>
                <w:color w:val="auto"/>
              </w:rPr>
            </w:pPr>
            <w:r>
              <w:rPr>
                <w:rFonts w:ascii="Arial" w:cs="Arial" w:eastAsia="Arial" w:hAnsi="Arial"/>
                <w:sz w:val="17"/>
                <w:szCs w:val="17"/>
                <w:color w:val="auto"/>
              </w:rPr>
              <w:t>Epicel</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Direct bill (hospital)</w:t>
            </w: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07"/>
        </w:trPr>
        <w:tc>
          <w:tcPr>
            <w:tcW w:w="5660" w:type="dxa"/>
            <w:vAlign w:val="bottom"/>
          </w:tcPr>
          <w:p>
            <w:pPr>
              <w:ind w:left="360"/>
              <w:spacing w:after="0"/>
              <w:rPr>
                <w:sz w:val="20"/>
                <w:szCs w:val="20"/>
                <w:color w:val="auto"/>
              </w:rPr>
            </w:pPr>
            <w:r>
              <w:rPr>
                <w:rFonts w:ascii="Arial" w:cs="Arial" w:eastAsia="Arial" w:hAnsi="Arial"/>
                <w:sz w:val="17"/>
                <w:szCs w:val="17"/>
                <w:color w:val="auto"/>
              </w:rPr>
              <w:t>Total product revenue</w:t>
            </w:r>
          </w:p>
        </w:tc>
        <w:tc>
          <w:tcPr>
            <w:tcW w:w="4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38,680</w:t>
            </w:r>
          </w:p>
        </w:tc>
        <w:tc>
          <w:tcPr>
            <w:tcW w:w="100" w:type="dxa"/>
            <w:vAlign w:val="bottom"/>
          </w:tcPr>
          <w:p>
            <w:pPr>
              <w:spacing w:after="0"/>
              <w:rPr>
                <w:sz w:val="17"/>
                <w:szCs w:val="17"/>
                <w:color w:val="auto"/>
              </w:rPr>
            </w:pPr>
          </w:p>
        </w:tc>
        <w:tc>
          <w:tcPr>
            <w:tcW w:w="5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20,014</w:t>
            </w:r>
          </w:p>
        </w:tc>
        <w:tc>
          <w:tcPr>
            <w:tcW w:w="10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72,307</w:t>
            </w:r>
          </w:p>
        </w:tc>
        <w:tc>
          <w:tcPr>
            <w:tcW w:w="10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46,69</w:t>
            </w: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NexoBrid revenue (f)</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660" w:type="dxa"/>
            <w:vAlign w:val="bottom"/>
          </w:tcPr>
          <w:p>
            <w:pPr>
              <w:ind w:left="360"/>
              <w:spacing w:after="0"/>
              <w:rPr>
                <w:sz w:val="20"/>
                <w:szCs w:val="20"/>
                <w:color w:val="auto"/>
              </w:rPr>
            </w:pPr>
            <w:r>
              <w:rPr>
                <w:rFonts w:ascii="Arial" w:cs="Arial" w:eastAsia="Arial" w:hAnsi="Arial"/>
                <w:sz w:val="17"/>
                <w:szCs w:val="17"/>
                <w:color w:val="auto"/>
              </w:rPr>
              <w:t>Total net revenue</w:t>
            </w:r>
          </w:p>
        </w:tc>
        <w:tc>
          <w:tcPr>
            <w:tcW w:w="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39,519</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20,014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74,087</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112395</wp:posOffset>
            </wp:positionV>
            <wp:extent cx="7056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169" w:lineRule="exact"/>
        <w:rPr>
          <w:sz w:val="20"/>
          <w:szCs w:val="20"/>
          <w:color w:val="auto"/>
        </w:rPr>
      </w:pPr>
    </w:p>
    <w:p>
      <w:pPr>
        <w:ind w:left="240" w:firstLine="231"/>
        <w:spacing w:after="0" w:line="231" w:lineRule="auto"/>
        <w:tabs>
          <w:tab w:leader="none" w:pos="709"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through Orsini and AllCare whereby such specialty pharmacies have a direct contract with the underlying insurance provider. Th amount of reimbursement is based on contracted rates at the time of sale supported by the pharmacy's direct contracts.</w:t>
      </w:r>
    </w:p>
    <w:p>
      <w:pPr>
        <w:spacing w:after="0" w:line="153" w:lineRule="exact"/>
        <w:rPr>
          <w:rFonts w:ascii="Arial" w:cs="Arial" w:eastAsia="Arial" w:hAnsi="Arial"/>
          <w:sz w:val="17"/>
          <w:szCs w:val="17"/>
          <w:color w:val="auto"/>
        </w:rPr>
      </w:pPr>
    </w:p>
    <w:p>
      <w:pPr>
        <w:ind w:left="240" w:right="20" w:firstLine="231"/>
        <w:spacing w:after="0" w:line="231" w:lineRule="auto"/>
        <w:tabs>
          <w:tab w:leader="none" w:pos="711"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through Orsini and AllCare whereby such specialty pharmacies do not have a direct contract with the underlying payer. The amou of reimbursement is established based on a payer or state fee schedule and/or payer history.</w:t>
      </w:r>
    </w:p>
    <w:p>
      <w:pPr>
        <w:spacing w:after="0" w:line="153" w:lineRule="exact"/>
        <w:rPr>
          <w:rFonts w:ascii="Arial" w:cs="Arial" w:eastAsia="Arial" w:hAnsi="Arial"/>
          <w:sz w:val="17"/>
          <w:szCs w:val="17"/>
          <w:color w:val="auto"/>
        </w:rPr>
      </w:pPr>
    </w:p>
    <w:p>
      <w:pPr>
        <w:ind w:left="240" w:firstLine="231"/>
        <w:spacing w:after="0" w:line="231"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 Also represen direct sales under a contract to the specialty distributor DMS.</w:t>
      </w:r>
    </w:p>
    <w:p>
      <w:pPr>
        <w:spacing w:after="0" w:line="153" w:lineRule="exact"/>
        <w:rPr>
          <w:rFonts w:ascii="Arial" w:cs="Arial" w:eastAsia="Arial" w:hAnsi="Arial"/>
          <w:sz w:val="17"/>
          <w:szCs w:val="17"/>
          <w:color w:val="auto"/>
        </w:rPr>
      </w:pPr>
    </w:p>
    <w:p>
      <w:pPr>
        <w:ind w:left="240" w:right="20" w:firstLine="231"/>
        <w:spacing w:after="0" w:line="231"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 The payme terms are subject to third-party reimbursement from an underlying insurance provider.</w:t>
      </w:r>
    </w:p>
    <w:p>
      <w:pPr>
        <w:spacing w:after="0" w:line="153" w:lineRule="exact"/>
        <w:rPr>
          <w:rFonts w:ascii="Arial" w:cs="Arial" w:eastAsia="Arial" w:hAnsi="Arial"/>
          <w:sz w:val="17"/>
          <w:szCs w:val="17"/>
          <w:color w:val="auto"/>
        </w:rPr>
      </w:pPr>
    </w:p>
    <w:p>
      <w:pPr>
        <w:jc w:val="both"/>
        <w:ind w:left="240" w:firstLine="231"/>
        <w:spacing w:after="0" w:line="221" w:lineRule="auto"/>
        <w:tabs>
          <w:tab w:leader="none" w:pos="702"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Primarily represents changes in estimates related to implants sold through Orsini or AllCare in which such specialty pharmacy does not have a direct contra with the underlying payer. The initial estimate of the amount of reimbursement is established based on a payer or state fee schedule and/or payer history. The chang in estimates is a result of additional information or actual cash collections received in the current period.</w:t>
      </w:r>
    </w:p>
    <w:p>
      <w:pPr>
        <w:spacing w:after="0" w:line="140" w:lineRule="exact"/>
        <w:rPr>
          <w:rFonts w:ascii="Arial" w:cs="Arial" w:eastAsia="Arial" w:hAnsi="Arial"/>
          <w:sz w:val="17"/>
          <w:szCs w:val="17"/>
          <w:color w:val="auto"/>
        </w:rPr>
      </w:pPr>
    </w:p>
    <w:p>
      <w:pPr>
        <w:ind w:left="240" w:firstLine="231"/>
        <w:spacing w:after="0" w:line="231" w:lineRule="auto"/>
        <w:tabs>
          <w:tab w:leader="none" w:pos="69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revenue based on a percentage of gross profits for sales of NexoBrid to BARDA, pursuant to the license agreement between the Company an MediWound.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21" w:lineRule="exact"/>
        <w:rPr>
          <w:sz w:val="20"/>
          <w:szCs w:val="20"/>
          <w:color w:val="auto"/>
        </w:rPr>
      </w:pPr>
    </w:p>
    <w:p>
      <w:pPr>
        <w:jc w:val="both"/>
        <w:ind w:right="100" w:firstLine="227"/>
        <w:spacing w:after="0" w:line="249" w:lineRule="auto"/>
        <w:rPr>
          <w:sz w:val="20"/>
          <w:szCs w:val="20"/>
          <w:color w:val="auto"/>
        </w:rPr>
      </w:pPr>
      <w:r>
        <w:rPr>
          <w:rFonts w:ascii="Arial" w:cs="Arial" w:eastAsia="Arial" w:hAnsi="Arial"/>
          <w:sz w:val="16"/>
          <w:szCs w:val="16"/>
          <w:color w:val="auto"/>
        </w:rPr>
        <w:t>The Company's total Epicel revenue concentration from a customer for the three and six months ended June 30, 2021 was 11% and 12%, respectively, and 6% and 10% for the same periods in 2020. For the Company's total MACI revenue, and MACI and Epicel accounts receivable balances, there were no customers for the three and six months ended June 30, 2021 or the comparable periods in 2020, with a concentration greater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99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5. Selected Balance Sheet Components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Inventory</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Inventory as of June 30, 2021 and December 31, 2020: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June 30, 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8,775</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Work-in-process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7"/>
        </w:trPr>
        <w:tc>
          <w:tcPr>
            <w:tcW w:w="78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Inventory</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20"/>
              <w:spacing w:after="0"/>
              <w:rPr>
                <w:sz w:val="20"/>
                <w:szCs w:val="20"/>
                <w:color w:val="auto"/>
              </w:rPr>
            </w:pPr>
            <w:r>
              <w:rPr>
                <w:rFonts w:ascii="Arial" w:cs="Arial" w:eastAsia="Arial" w:hAnsi="Arial"/>
                <w:sz w:val="17"/>
                <w:szCs w:val="17"/>
                <w:i w:val="1"/>
                <w:iCs w:val="1"/>
                <w:color w:val="auto"/>
              </w:rPr>
              <w:t>Property and Equipment</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8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Property and Equipment, net as of June 30, 2021 and December 31, 2020:</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June 30, 2021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3,672</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Furniture, fixtures and office equipment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6,846</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5,560</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Financing right-of-use lease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property and equipment, gross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19,019</w:t>
            </w: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(11,386)</w:t>
            </w:r>
          </w:p>
        </w:tc>
        <w:tc>
          <w:tcPr>
            <w:tcW w:w="0" w:type="dxa"/>
            <w:vAlign w:val="bottom"/>
          </w:tcPr>
          <w:p>
            <w:pPr>
              <w:spacing w:after="0"/>
              <w:rPr>
                <w:sz w:val="1"/>
                <w:szCs w:val="1"/>
                <w:color w:val="auto"/>
              </w:rPr>
            </w:pPr>
          </w:p>
        </w:tc>
      </w:tr>
      <w:tr>
        <w:trPr>
          <w:trHeight w:val="232"/>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Depreciation expense for the three and six months ended June 30, 2021 was $0.7 million and $1.5 million, respectively, and $0.5 million and $1.1 million, respectively, for the same periods in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Expenses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Accrued Expenses as of June 30, 2021 and December 31, 2020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June 30, 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97"/>
              </w:rPr>
              <w:t>December 31, 2020</w:t>
            </w:r>
          </w:p>
        </w:tc>
      </w:tr>
      <w:tr>
        <w:trPr>
          <w:trHeight w:val="21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Bonus related compensation</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w:t>
            </w:r>
          </w:p>
        </w:tc>
      </w:tr>
      <w:tr>
        <w:trPr>
          <w:trHeight w:val="214"/>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Employee related accruals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3,482</w:t>
            </w:r>
          </w:p>
        </w:tc>
      </w:tr>
      <w:tr>
        <w:trPr>
          <w:trHeight w:val="214"/>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2,090</w:t>
            </w:r>
          </w:p>
        </w:tc>
      </w:tr>
      <w:tr>
        <w:trPr>
          <w:trHeight w:val="207"/>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Accrued expenses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11,293</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6. Leases</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present value of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right-of-use assets and liabilities, on a discounted basis on the balance sheet. Effective October 21, 2020 the Company entered into an agreement with one of its Cambridge, Massachusetts facility leases. The agreement extended the terms of the lease to expire on February 29, 2032, with monthly contractual lease payments ranging from $0.4 million to $0.6 million. The agreement also provides a tenant improvement allowance of approximately $4.3 million, available through December 31, 2023.</w:t>
      </w:r>
    </w:p>
    <w:p>
      <w:pPr>
        <w:spacing w:after="0" w:line="200"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 xml:space="preserve">Leases with an initial term of 12 months or less are not recorded on the balance sheet. For both the three and six months ended June 30, 2021 and 2020, lease expense of less than $0.1 million was recorded for each of short-term leases and financing leases. During the six months ended June 30, 2021, the Company recorded </w:t>
      </w:r>
      <w:r>
        <w:rPr>
          <w:rFonts w:ascii="Arial" w:cs="Arial" w:eastAsia="Arial" w:hAnsi="Arial"/>
          <w:sz w:val="16"/>
          <w:szCs w:val="16"/>
          <w:color w:val="222222"/>
        </w:rPr>
        <w:t xml:space="preserve">$0.2 million </w:t>
      </w:r>
      <w:r>
        <w:rPr>
          <w:rFonts w:ascii="Arial" w:cs="Arial" w:eastAsia="Arial" w:hAnsi="Arial"/>
          <w:sz w:val="16"/>
          <w:szCs w:val="16"/>
          <w:color w:val="000000"/>
        </w:rPr>
        <w:t>of leasehold improvements funded by tenant improvement allowances available under the lease agreements. The</w:t>
      </w:r>
      <w:r>
        <w:rPr>
          <w:rFonts w:ascii="Arial" w:cs="Arial" w:eastAsia="Arial" w:hAnsi="Arial"/>
          <w:sz w:val="16"/>
          <w:szCs w:val="16"/>
          <w:color w:val="222222"/>
        </w:rPr>
        <w:t xml:space="preserve"> contribution toward the cost of tenant improvements is recorded as a reduction of the operating lease assets. For the three and six months ended </w:t>
      </w:r>
      <w:r>
        <w:rPr>
          <w:rFonts w:ascii="Arial" w:cs="Arial" w:eastAsia="Arial" w:hAnsi="Arial"/>
          <w:sz w:val="16"/>
          <w:szCs w:val="16"/>
          <w:color w:val="000000"/>
        </w:rPr>
        <w:t>June 30, 2021</w:t>
      </w:r>
      <w:r>
        <w:rPr>
          <w:rFonts w:ascii="Arial" w:cs="Arial" w:eastAsia="Arial" w:hAnsi="Arial"/>
          <w:sz w:val="16"/>
          <w:szCs w:val="16"/>
          <w:color w:val="222222"/>
        </w:rPr>
        <w:t xml:space="preserve">, the Company recognized $1.8 million and $3.7 million, respectively, of operating lease expense and $1.4 million and $2.9 million, respectively for the same periods in 2020. The </w:t>
      </w:r>
      <w:r>
        <w:rPr>
          <w:rFonts w:ascii="Arial" w:cs="Arial" w:eastAsia="Arial" w:hAnsi="Arial"/>
          <w:sz w:val="16"/>
          <w:szCs w:val="16"/>
          <w:color w:val="000000"/>
        </w:rPr>
        <w:t>Company’s leases contain non-lease components and activities that do not transfer a good or service to the Company. The Company elected not to combine lease and non-lease components and therefore non-lease costs were not included in the net lease assets or lease liabilities.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leased assets and liabilities classified on the balance sheet, as of June 30, 2021 and December 31, 2020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Classification</w:t>
            </w:r>
          </w:p>
        </w:tc>
        <w:tc>
          <w:tcPr>
            <w:tcW w:w="26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2021</w:t>
            </w:r>
          </w:p>
        </w:tc>
        <w:tc>
          <w:tcPr>
            <w:tcW w:w="180" w:type="dxa"/>
            <w:vAlign w:val="bottom"/>
          </w:tcPr>
          <w:p>
            <w:pPr>
              <w:spacing w:after="0"/>
              <w:rPr>
                <w:sz w:val="15"/>
                <w:szCs w:val="15"/>
                <w:color w:val="auto"/>
              </w:rPr>
            </w:pPr>
          </w:p>
        </w:tc>
        <w:tc>
          <w:tcPr>
            <w:tcW w:w="1440" w:type="dxa"/>
            <w:vAlign w:val="bottom"/>
          </w:tcPr>
          <w:p>
            <w:pPr>
              <w:jc w:val="right"/>
              <w:ind w:right="178"/>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212"/>
        </w:trPr>
        <w:tc>
          <w:tcPr>
            <w:tcW w:w="15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w:t>
            </w: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50,105</w:t>
            </w:r>
          </w:p>
        </w:tc>
        <w:tc>
          <w:tcPr>
            <w:tcW w:w="0" w:type="dxa"/>
            <w:vAlign w:val="bottom"/>
          </w:tcPr>
          <w:p>
            <w:pPr>
              <w:spacing w:after="0"/>
              <w:rPr>
                <w:sz w:val="1"/>
                <w:szCs w:val="1"/>
                <w:color w:val="auto"/>
              </w:rPr>
            </w:pPr>
          </w:p>
        </w:tc>
      </w:tr>
      <w:tr>
        <w:trPr>
          <w:trHeight w:val="214"/>
        </w:trPr>
        <w:tc>
          <w:tcPr>
            <w:tcW w:w="1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Finance</w:t>
            </w:r>
          </w:p>
        </w:tc>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32"/>
        </w:trPr>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50,216</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00" w:type="dxa"/>
            <w:vAlign w:val="bottom"/>
            <w:gridSpan w:val="2"/>
            <w:vMerge w:val="continue"/>
          </w:tcPr>
          <w:p>
            <w:pPr>
              <w:spacing w:after="0"/>
              <w:rPr>
                <w:sz w:val="13"/>
                <w:szCs w:val="13"/>
                <w:color w:val="auto"/>
              </w:rPr>
            </w:pPr>
          </w:p>
        </w:tc>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7"/>
                <w:szCs w:val="17"/>
                <w:i w:val="1"/>
                <w:iCs w:val="1"/>
                <w:color w:val="auto"/>
              </w:rPr>
              <w:t>Current</w:t>
            </w:r>
          </w:p>
        </w:tc>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0" w:type="dxa"/>
            <w:vAlign w:val="bottom"/>
            <w:gridSpan w:val="2"/>
          </w:tcPr>
          <w:p>
            <w:pPr>
              <w:ind w:left="140"/>
              <w:spacing w:after="0"/>
              <w:rPr>
                <w:sz w:val="20"/>
                <w:szCs w:val="20"/>
                <w:color w:val="auto"/>
              </w:rPr>
            </w:pPr>
            <w:r>
              <w:rPr>
                <w:rFonts w:ascii="Arial" w:cs="Arial" w:eastAsia="Arial" w:hAnsi="Arial"/>
                <w:sz w:val="17"/>
                <w:szCs w:val="17"/>
                <w:color w:val="auto"/>
              </w:rPr>
              <w:t>Operating</w:t>
            </w:r>
          </w:p>
        </w:tc>
        <w:tc>
          <w:tcPr>
            <w:tcW w:w="6260" w:type="dxa"/>
            <w:vAlign w:val="bottom"/>
            <w:gridSpan w:val="2"/>
          </w:tcPr>
          <w:p>
            <w:pPr>
              <w:ind w:left="20"/>
              <w:spacing w:after="0"/>
              <w:rPr>
                <w:sz w:val="20"/>
                <w:szCs w:val="20"/>
                <w:color w:val="auto"/>
              </w:rPr>
            </w:pPr>
            <w:r>
              <w:rPr>
                <w:rFonts w:ascii="Arial" w:cs="Arial" w:eastAsia="Arial" w:hAnsi="Arial"/>
                <w:sz w:val="17"/>
                <w:szCs w:val="17"/>
                <w:color w:val="auto"/>
              </w:rPr>
              <w:t>Current portion of operating lease liabilities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4,611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4"/>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w:t>
            </w: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7"/>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4,435</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7"/>
                <w:szCs w:val="17"/>
                <w:i w:val="1"/>
                <w:iCs w:val="1"/>
                <w:color w:val="auto"/>
              </w:rPr>
              <w:t>Non-current</w:t>
            </w:r>
          </w:p>
        </w:tc>
        <w:tc>
          <w:tcPr>
            <w:tcW w:w="6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600" w:type="dxa"/>
            <w:vAlign w:val="bottom"/>
            <w:gridSpan w:val="2"/>
          </w:tcPr>
          <w:p>
            <w:pPr>
              <w:ind w:left="140"/>
              <w:spacing w:after="0"/>
              <w:rPr>
                <w:sz w:val="20"/>
                <w:szCs w:val="20"/>
                <w:color w:val="auto"/>
              </w:rPr>
            </w:pPr>
            <w:r>
              <w:rPr>
                <w:rFonts w:ascii="Arial" w:cs="Arial" w:eastAsia="Arial" w:hAnsi="Arial"/>
                <w:sz w:val="17"/>
                <w:szCs w:val="17"/>
                <w:color w:val="auto"/>
              </w:rPr>
              <w:t>Operating</w:t>
            </w:r>
          </w:p>
        </w:tc>
        <w:tc>
          <w:tcPr>
            <w:tcW w:w="626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46,928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48,789</w:t>
            </w:r>
          </w:p>
        </w:tc>
        <w:tc>
          <w:tcPr>
            <w:tcW w:w="0" w:type="dxa"/>
            <w:vAlign w:val="bottom"/>
          </w:tcPr>
          <w:p>
            <w:pPr>
              <w:spacing w:after="0"/>
              <w:rPr>
                <w:sz w:val="1"/>
                <w:szCs w:val="1"/>
                <w:color w:val="auto"/>
              </w:rPr>
            </w:pPr>
          </w:p>
        </w:tc>
      </w:tr>
      <w:tr>
        <w:trPr>
          <w:trHeight w:val="214"/>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w:t>
            </w: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7"/>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48,865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 Option, Restricted Stock Units and Equity Incentive Plans</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2"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Options granted to employees and non-employees under these plans expire no later than ten years from the date of grant. Options and restricted stock units generally become exercisable or vest over a four-year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4" w:name="page15"/>
    <w:bookmarkEnd w:id="14"/>
    <w:p>
      <w:pPr>
        <w:jc w:val="both"/>
        <w:ind w:firstLine="227"/>
        <w:spacing w:after="0" w:line="270" w:lineRule="auto"/>
        <w:rPr>
          <w:sz w:val="20"/>
          <w:szCs w:val="20"/>
          <w:color w:val="auto"/>
        </w:rPr>
      </w:pPr>
      <w:r>
        <w:rPr>
          <w:rFonts w:ascii="Arial" w:cs="Arial" w:eastAsia="Arial" w:hAnsi="Arial"/>
          <w:sz w:val="16"/>
          <w:szCs w:val="16"/>
          <w:color w:val="auto"/>
        </w:rPr>
        <w:t>The Company's Amended and Restated 2019 Omnibus Incentive Plan (2019 Plan) was approved on April 29, 2020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of the 2019 Plan. However, the expiration or forfeiture of options previously granted under the Prior Plans will increase the number of shares available for issuance under the 2019 Plan.</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June 30, 2021, there were 2,804,486 shares available for future grant under the 2019 Plan.</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33"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The ESPP allows for the issuance of an aggregate of 1,000,000 shares of common stock of which 729,273 shares have been issued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options at the grant date, which corresponds to the first day of each purchase period and is amortized over the purchase period. In July 2021, employees purchased 9,045 shares resulting in proceeds from the sale of common stock of $0.4 million under the ESPP for the second quarter of 2021.</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Service-Based Stock Options</w:t>
      </w:r>
    </w:p>
    <w:p>
      <w:pPr>
        <w:spacing w:after="0" w:line="208"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During the three and six months ended June 30, 2021, the Company granted service-based options to purchase common stock of 136,117 and 1,474,072, respectively, and 110,750 and 1,296,890, respectively, for the same periods in 2020. The exercise price of the options is the fair market value per share of common stock on the grant date, and the options generally vest over four years (other than non-employee director options which may vest over one to three years from the grant date pursuant to the provisions of the Company's Amended and Restated Non-Employee Director Compensation Guidelines) and have a term of ten years. The Company issues new shares upon the exercise of stock options. The weighted average grant-date fair value of service-based options granted during the three and six months ended June 30, 2021 was $39.31 and $32.69, respectively, and $8.82 and $8.66, respectively, for the same periods in 2020.</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33"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During the three and six months ended June 30, 2021, the Company granted 26,941 and 241,054 service-based restricted stock units, respectively, and 10,700 and 196,836, respectively, for the same periods in 2020. The restricted stock units vest annually over four years in equal installments commencing on the first anniversary of the grant date (other than non-employee director awards which may vest over one to three years from the grant date pursuant to the provisions of the Company's Amended and Restated Non-Employee Director Compensation Guidelines). The Company issues new shares upon the vesting of restricted stock units. Restricted stock units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granted during the three and six months ended June 30, 2021 was $61.37 and $51.99, respectively, and $14.49 and $11.41, respectively, for the same periods in 2020. The aggregate fair value of restricted stock units granted in the three and six months ended June 30, 2021 was $1.7 million and $12.5 million, respectively, and $0.2 million and $2.2 million, respectively, for the same periods in 2020.</w:t>
      </w:r>
    </w:p>
    <w:p>
      <w:pPr>
        <w:spacing w:after="0" w:line="186"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During the three and six months ended June 30, 2021, 11,576 and 59,433 shares, respectively, of common stock were issued upon the vesting of restricted stock units. These amounts are net of 1,174 and 29,414 shares, respectively, that were withheld for payment of taxes on the behalf of employees. During the three and six months ended June 30, 2020, 10,500 and 32,840 shares, respectively, of common stock were issued upon the vesting of restricted stock units. These amounts are net of 0 and 13,872 shares, respectively, withheld for payment of taxes, as no shares are withheld at vesting for shares awarded to the members of the Company's Board of Directors.</w:t>
      </w:r>
    </w:p>
    <w:p>
      <w:pPr>
        <w:spacing w:after="0" w:line="205"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For the three and six months ended June 30, 2021, the total fair value of restricted stock awards vested was $0.9 million and $5.0 million, respectively, and $0.2 million and $0.5 million, respectively, for the same periods in 2020. The total fair value of restricted stock units withheld for payment of taxes during the three and six months ended June 30, 2021, was $0.1 million and $1.6 million, respectively. During the six months ended June 30, 2020, the total fair value of restricted stock units withheld for payment of taxes was $0.2 million. There were no restricted stock units withheld during the three months ended June 30, 2020.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ind w:left="40"/>
        <w:spacing w:after="0"/>
        <w:rPr>
          <w:sz w:val="20"/>
          <w:szCs w:val="20"/>
          <w:color w:val="auto"/>
        </w:rPr>
      </w:pPr>
      <w:r>
        <w:rPr>
          <w:rFonts w:ascii="Arial" w:cs="Arial" w:eastAsia="Arial" w:hAnsi="Arial"/>
          <w:sz w:val="17"/>
          <w:szCs w:val="17"/>
          <w:b w:val="1"/>
          <w:bCs w:val="1"/>
          <w:i w:val="1"/>
          <w:iCs w:val="1"/>
          <w:color w:val="auto"/>
        </w:rPr>
        <w:t>Stock Compensation Expense</w:t>
      </w:r>
    </w:p>
    <w:p>
      <w:pPr>
        <w:spacing w:after="0" w:line="208" w:lineRule="exact"/>
        <w:rPr>
          <w:sz w:val="20"/>
          <w:szCs w:val="20"/>
          <w:color w:val="auto"/>
        </w:rPr>
      </w:pPr>
    </w:p>
    <w:p>
      <w:pPr>
        <w:jc w:val="both"/>
        <w:ind w:right="100" w:firstLine="227"/>
        <w:spacing w:after="0" w:line="270"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product sales, research and development expenses and selling, general and administrative expenses is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product sales</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r>
      <w:tr>
        <w:trPr>
          <w:trHeight w:val="214"/>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1,060</w:t>
            </w:r>
          </w:p>
        </w:tc>
      </w:tr>
      <w:tr>
        <w:trPr>
          <w:trHeight w:val="215"/>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6,087</w:t>
            </w:r>
          </w:p>
        </w:tc>
      </w:tr>
      <w:tr>
        <w:trPr>
          <w:trHeight w:val="207"/>
        </w:trPr>
        <w:tc>
          <w:tcPr>
            <w:tcW w:w="526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Total non-cash stock-based compensation expense</w:t>
            </w: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10,866</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4,377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8,144</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Cash Equivalents and Investments</w:t>
      </w:r>
    </w:p>
    <w:p>
      <w:pPr>
        <w:spacing w:after="0" w:line="225" w:lineRule="exact"/>
        <w:rPr>
          <w:sz w:val="20"/>
          <w:szCs w:val="20"/>
          <w:color w:val="auto"/>
        </w:rPr>
      </w:pPr>
    </w:p>
    <w:p>
      <w:pPr>
        <w:jc w:val="both"/>
        <w:ind w:right="100" w:firstLine="227"/>
        <w:spacing w:after="0" w:line="231" w:lineRule="auto"/>
        <w:rPr>
          <w:sz w:val="20"/>
          <w:szCs w:val="20"/>
          <w:color w:val="auto"/>
        </w:rPr>
      </w:pPr>
      <w:r>
        <w:rPr>
          <w:rFonts w:ascii="Arial" w:cs="Arial" w:eastAsia="Arial" w:hAnsi="Arial"/>
          <w:sz w:val="17"/>
          <w:szCs w:val="17"/>
          <w:color w:val="auto"/>
        </w:rPr>
        <w:t xml:space="preserve">Marketable debt securities held by the Company are classified as available-for-sale pursuant to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and carried at fair value in the accompanying Condensed Consolidated Balance Sheets on a settlement date basis. The following tables summarize the gross unrealized gains and losses of the Company’s marketable securities as of June 30, 2021 and December 31, 2020:</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ind w:left="260"/>
              <w:spacing w:after="0"/>
              <w:rPr>
                <w:sz w:val="20"/>
                <w:szCs w:val="20"/>
                <w:color w:val="auto"/>
              </w:rPr>
            </w:pPr>
            <w:r>
              <w:rPr>
                <w:rFonts w:ascii="Arial" w:cs="Arial" w:eastAsia="Arial" w:hAnsi="Arial"/>
                <w:sz w:val="13"/>
                <w:szCs w:val="13"/>
                <w:b w:val="1"/>
                <w:bCs w:val="1"/>
                <w:color w:val="auto"/>
              </w:rPr>
              <w:t>June 30, 2021</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ind w:left="620"/>
              <w:spacing w:after="0"/>
              <w:rPr>
                <w:sz w:val="20"/>
                <w:szCs w:val="20"/>
                <w:color w:val="auto"/>
              </w:rPr>
            </w:pPr>
            <w:r>
              <w:rPr>
                <w:rFonts w:ascii="Arial" w:cs="Arial" w:eastAsia="Arial" w:hAnsi="Arial"/>
                <w:sz w:val="13"/>
                <w:szCs w:val="13"/>
                <w:b w:val="1"/>
                <w:bCs w:val="1"/>
                <w:color w:val="auto"/>
                <w:w w:val="93"/>
              </w:rPr>
              <w:t>Gross Unrealized</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BFE4FF"/>
            </w:tcBorders>
          </w:tcPr>
          <w:p>
            <w:pPr>
              <w:ind w:left="26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Borders>
              <w:bottom w:val="single" w:sz="8" w:color="BFE4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BFE4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Losses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Credit Losses</w:t>
            </w:r>
          </w:p>
        </w:tc>
        <w:tc>
          <w:tcPr>
            <w:tcW w:w="100" w:type="dxa"/>
            <w:vAlign w:val="bottom"/>
            <w:tcBorders>
              <w:bottom w:val="single" w:sz="8" w:color="BFE4FF"/>
            </w:tcBorders>
            <w:gridSpan w:val="2"/>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97"/>
              </w:rPr>
              <w:t>Estimated Fair Val</w:t>
            </w:r>
          </w:p>
        </w:tc>
        <w:tc>
          <w:tcPr>
            <w:tcW w:w="0" w:type="dxa"/>
            <w:vAlign w:val="bottom"/>
          </w:tcPr>
          <w:p>
            <w:pPr>
              <w:spacing w:after="0"/>
              <w:rPr>
                <w:sz w:val="1"/>
                <w:szCs w:val="1"/>
                <w:color w:val="auto"/>
              </w:rPr>
            </w:pPr>
          </w:p>
        </w:tc>
      </w:tr>
      <w:tr>
        <w:trPr>
          <w:trHeight w:val="212"/>
        </w:trPr>
        <w:tc>
          <w:tcPr>
            <w:tcW w:w="3220" w:type="dxa"/>
            <w:vAlign w:val="bottom"/>
            <w:shd w:val="clear" w:color="auto" w:fill="BFE4FF"/>
          </w:tcPr>
          <w:p>
            <w:pPr>
              <w:ind w:left="260"/>
              <w:spacing w:after="0"/>
              <w:rPr>
                <w:sz w:val="20"/>
                <w:szCs w:val="20"/>
                <w:color w:val="auto"/>
              </w:rPr>
            </w:pPr>
            <w:r>
              <w:rPr>
                <w:rFonts w:ascii="Arial" w:cs="Arial" w:eastAsia="Arial" w:hAnsi="Arial"/>
                <w:sz w:val="17"/>
                <w:szCs w:val="17"/>
                <w:color w:val="auto"/>
              </w:rPr>
              <w:t>Money market funds</w:t>
            </w:r>
          </w:p>
        </w:tc>
        <w:tc>
          <w:tcPr>
            <w:tcW w:w="3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6,022</w:t>
            </w: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50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BFE4FF"/>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BFE4FF"/>
          </w:tcPr>
          <w:p>
            <w:pPr>
              <w:ind w:left="800"/>
              <w:spacing w:after="0"/>
              <w:rPr>
                <w:sz w:val="20"/>
                <w:szCs w:val="20"/>
                <w:color w:val="auto"/>
              </w:rPr>
            </w:pPr>
            <w:r>
              <w:rPr>
                <w:rFonts w:ascii="Arial" w:cs="Arial" w:eastAsia="Arial" w:hAnsi="Arial"/>
                <w:sz w:val="17"/>
                <w:szCs w:val="17"/>
                <w:color w:val="auto"/>
              </w:rPr>
              <w:t>—</w:t>
            </w:r>
          </w:p>
        </w:tc>
        <w:tc>
          <w:tcPr>
            <w:tcW w:w="640" w:type="dxa"/>
            <w:vAlign w:val="bottom"/>
            <w:shd w:val="clear" w:color="auto" w:fill="BFE4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Commercial paper</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15,996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gridSpan w:val="3"/>
          </w:tcPr>
          <w:p>
            <w:pPr>
              <w:ind w:left="8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215"/>
        </w:trPr>
        <w:tc>
          <w:tcPr>
            <w:tcW w:w="3220" w:type="dxa"/>
            <w:vAlign w:val="bottom"/>
            <w:shd w:val="clear" w:color="auto" w:fill="BFE4FF"/>
          </w:tcPr>
          <w:p>
            <w:pPr>
              <w:ind w:left="260"/>
              <w:spacing w:after="0"/>
              <w:rPr>
                <w:sz w:val="20"/>
                <w:szCs w:val="20"/>
                <w:color w:val="auto"/>
              </w:rPr>
            </w:pPr>
            <w:r>
              <w:rPr>
                <w:rFonts w:ascii="Arial" w:cs="Arial" w:eastAsia="Arial" w:hAnsi="Arial"/>
                <w:sz w:val="17"/>
                <w:szCs w:val="17"/>
                <w:color w:val="auto"/>
              </w:rPr>
              <w:t>Corporate notes</w:t>
            </w:r>
          </w:p>
        </w:tc>
        <w:tc>
          <w:tcPr>
            <w:tcW w:w="38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43,692</w:t>
            </w: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480" w:type="dxa"/>
            <w:vAlign w:val="bottom"/>
            <w:shd w:val="clear" w:color="auto" w:fill="BFE4FF"/>
          </w:tcPr>
          <w:p>
            <w:pPr>
              <w:spacing w:after="0"/>
              <w:rPr>
                <w:sz w:val="18"/>
                <w:szCs w:val="18"/>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BFE4FF"/>
          </w:tcPr>
          <w:p>
            <w:pPr>
              <w:spacing w:after="0"/>
              <w:rPr>
                <w:sz w:val="18"/>
                <w:szCs w:val="18"/>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(24)</w:t>
            </w: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140" w:type="dxa"/>
            <w:vAlign w:val="bottom"/>
            <w:gridSpan w:val="3"/>
            <w:shd w:val="clear" w:color="auto" w:fill="BFE4FF"/>
          </w:tcPr>
          <w:p>
            <w:pPr>
              <w:ind w:left="800"/>
              <w:spacing w:after="0"/>
              <w:rPr>
                <w:sz w:val="20"/>
                <w:szCs w:val="20"/>
                <w:color w:val="auto"/>
              </w:rPr>
            </w:pPr>
            <w:r>
              <w:rPr>
                <w:rFonts w:ascii="Arial" w:cs="Arial" w:eastAsia="Arial" w:hAnsi="Arial"/>
                <w:sz w:val="17"/>
                <w:szCs w:val="17"/>
                <w:color w:val="auto"/>
              </w:rPr>
              <w:t>—</w:t>
            </w:r>
          </w:p>
        </w:tc>
        <w:tc>
          <w:tcPr>
            <w:tcW w:w="640" w:type="dxa"/>
            <w:vAlign w:val="bottom"/>
            <w:shd w:val="clear" w:color="auto" w:fill="BFE4FF"/>
          </w:tcPr>
          <w:p>
            <w:pPr>
              <w:spacing w:after="0"/>
              <w:rPr>
                <w:sz w:val="18"/>
                <w:szCs w:val="18"/>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43,66</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U.S. government securities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gridSpan w:val="3"/>
          </w:tcPr>
          <w:p>
            <w:pPr>
              <w:ind w:left="8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5"/>
        </w:trPr>
        <w:tc>
          <w:tcPr>
            <w:tcW w:w="3220" w:type="dxa"/>
            <w:vAlign w:val="bottom"/>
            <w:shd w:val="clear" w:color="auto" w:fill="BFE4FF"/>
          </w:tcPr>
          <w:p>
            <w:pPr>
              <w:ind w:left="260"/>
              <w:spacing w:after="0"/>
              <w:rPr>
                <w:sz w:val="20"/>
                <w:szCs w:val="20"/>
                <w:color w:val="auto"/>
              </w:rPr>
            </w:pPr>
            <w:r>
              <w:rPr>
                <w:rFonts w:ascii="Arial" w:cs="Arial" w:eastAsia="Arial" w:hAnsi="Arial"/>
                <w:sz w:val="17"/>
                <w:szCs w:val="17"/>
                <w:color w:val="auto"/>
              </w:rPr>
              <w:t>U.S. government agency bonds</w:t>
            </w:r>
          </w:p>
        </w:tc>
        <w:tc>
          <w:tcPr>
            <w:tcW w:w="38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1,074</w:t>
            </w: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480" w:type="dxa"/>
            <w:vAlign w:val="bottom"/>
            <w:shd w:val="clear" w:color="auto" w:fill="BFE4FF"/>
          </w:tcPr>
          <w:p>
            <w:pPr>
              <w:spacing w:after="0"/>
              <w:rPr>
                <w:sz w:val="18"/>
                <w:szCs w:val="18"/>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BFE4FF"/>
          </w:tcPr>
          <w:p>
            <w:pPr>
              <w:spacing w:after="0"/>
              <w:rPr>
                <w:sz w:val="18"/>
                <w:szCs w:val="18"/>
                <w:color w:val="auto"/>
              </w:rPr>
            </w:pPr>
          </w:p>
        </w:tc>
        <w:tc>
          <w:tcPr>
            <w:tcW w:w="960" w:type="dxa"/>
            <w:vAlign w:val="bottom"/>
            <w:gridSpan w:val="4"/>
            <w:shd w:val="clear" w:color="auto" w:fill="BFE4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spacing w:after="0"/>
              <w:rPr>
                <w:sz w:val="18"/>
                <w:szCs w:val="18"/>
                <w:color w:val="auto"/>
              </w:rPr>
            </w:pPr>
          </w:p>
        </w:tc>
        <w:tc>
          <w:tcPr>
            <w:tcW w:w="1140" w:type="dxa"/>
            <w:vAlign w:val="bottom"/>
            <w:gridSpan w:val="3"/>
            <w:shd w:val="clear" w:color="auto" w:fill="BFE4FF"/>
          </w:tcPr>
          <w:p>
            <w:pPr>
              <w:ind w:left="800"/>
              <w:spacing w:after="0"/>
              <w:rPr>
                <w:sz w:val="20"/>
                <w:szCs w:val="20"/>
                <w:color w:val="auto"/>
              </w:rPr>
            </w:pPr>
            <w:r>
              <w:rPr>
                <w:rFonts w:ascii="Arial" w:cs="Arial" w:eastAsia="Arial" w:hAnsi="Arial"/>
                <w:sz w:val="17"/>
                <w:szCs w:val="17"/>
                <w:color w:val="auto"/>
              </w:rPr>
              <w:t>—</w:t>
            </w:r>
          </w:p>
        </w:tc>
        <w:tc>
          <w:tcPr>
            <w:tcW w:w="640" w:type="dxa"/>
            <w:vAlign w:val="bottom"/>
            <w:shd w:val="clear" w:color="auto" w:fill="BFE4FF"/>
          </w:tcPr>
          <w:p>
            <w:pPr>
              <w:spacing w:after="0"/>
              <w:rPr>
                <w:sz w:val="18"/>
                <w:szCs w:val="18"/>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4"/>
        </w:trPr>
        <w:tc>
          <w:tcPr>
            <w:tcW w:w="3220" w:type="dxa"/>
            <w:vAlign w:val="bottom"/>
            <w:tcBorders>
              <w:bottom w:val="single" w:sz="8" w:color="BFE4FF"/>
            </w:tcBorders>
          </w:tcPr>
          <w:p>
            <w:pPr>
              <w:ind w:left="260"/>
              <w:spacing w:after="0"/>
              <w:rPr>
                <w:sz w:val="20"/>
                <w:szCs w:val="20"/>
                <w:color w:val="auto"/>
              </w:rPr>
            </w:pPr>
            <w:r>
              <w:rPr>
                <w:rFonts w:ascii="Arial" w:cs="Arial" w:eastAsia="Arial" w:hAnsi="Arial"/>
                <w:sz w:val="17"/>
                <w:szCs w:val="17"/>
                <w:color w:val="auto"/>
              </w:rPr>
              <w:t>U.S. asset-backed securities</w:t>
            </w: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1,802</w:t>
            </w:r>
          </w:p>
        </w:tc>
        <w:tc>
          <w:tcPr>
            <w:tcW w:w="20" w:type="dxa"/>
            <w:vAlign w:val="bottom"/>
            <w:tcBorders>
              <w:bottom w:val="single" w:sz="8" w:color="BFE4FF"/>
            </w:tcBorders>
          </w:tcPr>
          <w:p>
            <w:pPr>
              <w:spacing w:after="0"/>
              <w:rPr>
                <w:sz w:val="18"/>
                <w:szCs w:val="18"/>
                <w:color w:val="auto"/>
              </w:rPr>
            </w:pPr>
          </w:p>
        </w:tc>
        <w:tc>
          <w:tcPr>
            <w:tcW w:w="80" w:type="dxa"/>
            <w:vAlign w:val="bottom"/>
            <w:tcBorders>
              <w:bottom w:val="single" w:sz="8" w:color="BFE4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FE4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FE4FF"/>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FE4FF"/>
            </w:tcBorders>
            <w:gridSpan w:val="2"/>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27"/>
        </w:trPr>
        <w:tc>
          <w:tcPr>
            <w:tcW w:w="3220" w:type="dxa"/>
            <w:vAlign w:val="bottom"/>
            <w:shd w:val="clear" w:color="auto" w:fill="BFE4FF"/>
          </w:tcPr>
          <w:p>
            <w:pPr>
              <w:spacing w:after="0"/>
              <w:rPr>
                <w:sz w:val="19"/>
                <w:szCs w:val="19"/>
                <w:color w:val="auto"/>
              </w:rPr>
            </w:pPr>
          </w:p>
        </w:tc>
        <w:tc>
          <w:tcPr>
            <w:tcW w:w="3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70,086</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50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BFE4FF"/>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(24)</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36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BFE4FF"/>
          </w:tcPr>
          <w:p>
            <w:pPr>
              <w:ind w:left="800"/>
              <w:spacing w:after="0"/>
              <w:rPr>
                <w:sz w:val="20"/>
                <w:szCs w:val="20"/>
                <w:color w:val="auto"/>
              </w:rPr>
            </w:pPr>
            <w:r>
              <w:rPr>
                <w:rFonts w:ascii="Arial" w:cs="Arial" w:eastAsia="Arial" w:hAnsi="Arial"/>
                <w:sz w:val="17"/>
                <w:szCs w:val="17"/>
                <w:color w:val="auto"/>
              </w:rPr>
              <w:t>—</w:t>
            </w:r>
          </w:p>
        </w:tc>
        <w:tc>
          <w:tcPr>
            <w:tcW w:w="640" w:type="dxa"/>
            <w:vAlign w:val="bottom"/>
            <w:shd w:val="clear" w:color="auto" w:fill="BFE4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70,06</w:t>
            </w:r>
          </w:p>
        </w:tc>
        <w:tc>
          <w:tcPr>
            <w:tcW w:w="0" w:type="dxa"/>
            <w:vAlign w:val="bottom"/>
          </w:tcPr>
          <w:p>
            <w:pPr>
              <w:spacing w:after="0"/>
              <w:rPr>
                <w:sz w:val="1"/>
                <w:szCs w:val="1"/>
                <w:color w:val="auto"/>
              </w:rPr>
            </w:pPr>
          </w:p>
        </w:tc>
      </w:tr>
      <w:tr>
        <w:trPr>
          <w:trHeight w:val="20"/>
        </w:trPr>
        <w:tc>
          <w:tcPr>
            <w:tcW w:w="3220" w:type="dxa"/>
            <w:vAlign w:val="bottom"/>
            <w:tcBorders>
              <w:top w:val="single" w:sz="8" w:color="BFE4FF"/>
              <w:bottom w:val="single" w:sz="8" w:color="BFE4FF"/>
            </w:tcBorders>
            <w:vMerge w:val="restart"/>
          </w:tcPr>
          <w:p>
            <w:pPr>
              <w:ind w:left="260"/>
              <w:spacing w:after="0"/>
              <w:rPr>
                <w:sz w:val="20"/>
                <w:szCs w:val="20"/>
                <w:color w:val="auto"/>
              </w:rPr>
            </w:pPr>
            <w:r>
              <w:rPr>
                <w:rFonts w:ascii="Arial" w:cs="Arial" w:eastAsia="Arial" w:hAnsi="Arial"/>
                <w:sz w:val="17"/>
                <w:szCs w:val="17"/>
                <w:color w:val="auto"/>
              </w:rPr>
              <w:t>Classified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BFE4FF"/>
          </w:tcPr>
          <w:p>
            <w:pPr>
              <w:ind w:left="260"/>
              <w:spacing w:after="0"/>
              <w:rPr>
                <w:sz w:val="20"/>
                <w:szCs w:val="20"/>
                <w:color w:val="auto"/>
              </w:rPr>
            </w:pPr>
            <w:r>
              <w:rPr>
                <w:rFonts w:ascii="Arial" w:cs="Arial" w:eastAsia="Arial" w:hAnsi="Arial"/>
                <w:sz w:val="17"/>
                <w:szCs w:val="17"/>
                <w:color w:val="auto"/>
              </w:rPr>
              <w:t>Cash equivalents</w:t>
            </w:r>
          </w:p>
        </w:tc>
        <w:tc>
          <w:tcPr>
            <w:tcW w:w="38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480" w:type="dxa"/>
            <w:vAlign w:val="bottom"/>
            <w:shd w:val="clear" w:color="auto" w:fill="BFE4FF"/>
          </w:tcPr>
          <w:p>
            <w:pPr>
              <w:spacing w:after="0"/>
              <w:rPr>
                <w:sz w:val="18"/>
                <w:szCs w:val="18"/>
                <w:color w:val="auto"/>
              </w:rPr>
            </w:pPr>
          </w:p>
        </w:tc>
        <w:tc>
          <w:tcPr>
            <w:tcW w:w="9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84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640" w:type="dxa"/>
            <w:vAlign w:val="bottom"/>
            <w:shd w:val="clear" w:color="auto" w:fill="BFE4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Short-term investments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39,21</w:t>
            </w:r>
          </w:p>
        </w:tc>
        <w:tc>
          <w:tcPr>
            <w:tcW w:w="0" w:type="dxa"/>
            <w:vAlign w:val="bottom"/>
          </w:tcPr>
          <w:p>
            <w:pPr>
              <w:spacing w:after="0"/>
              <w:rPr>
                <w:sz w:val="1"/>
                <w:szCs w:val="1"/>
                <w:color w:val="auto"/>
              </w:rPr>
            </w:pPr>
          </w:p>
        </w:tc>
      </w:tr>
      <w:tr>
        <w:trPr>
          <w:trHeight w:val="214"/>
        </w:trPr>
        <w:tc>
          <w:tcPr>
            <w:tcW w:w="3220" w:type="dxa"/>
            <w:vAlign w:val="bottom"/>
            <w:shd w:val="clear" w:color="auto" w:fill="BFE4FF"/>
          </w:tcPr>
          <w:p>
            <w:pPr>
              <w:ind w:left="260"/>
              <w:spacing w:after="0"/>
              <w:rPr>
                <w:sz w:val="20"/>
                <w:szCs w:val="20"/>
                <w:color w:val="auto"/>
              </w:rPr>
            </w:pPr>
            <w:r>
              <w:rPr>
                <w:rFonts w:ascii="Arial" w:cs="Arial" w:eastAsia="Arial" w:hAnsi="Arial"/>
                <w:sz w:val="17"/>
                <w:szCs w:val="17"/>
                <w:color w:val="auto"/>
              </w:rPr>
              <w:t>Long-term investments</w:t>
            </w:r>
          </w:p>
        </w:tc>
        <w:tc>
          <w:tcPr>
            <w:tcW w:w="38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480" w:type="dxa"/>
            <w:vAlign w:val="bottom"/>
            <w:shd w:val="clear" w:color="auto" w:fill="BFE4FF"/>
          </w:tcPr>
          <w:p>
            <w:pPr>
              <w:spacing w:after="0"/>
              <w:rPr>
                <w:sz w:val="18"/>
                <w:szCs w:val="18"/>
                <w:color w:val="auto"/>
              </w:rPr>
            </w:pPr>
          </w:p>
        </w:tc>
        <w:tc>
          <w:tcPr>
            <w:tcW w:w="9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84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640" w:type="dxa"/>
            <w:vAlign w:val="bottom"/>
            <w:tcBorders>
              <w:bottom w:val="single" w:sz="8" w:color="auto"/>
            </w:tcBorders>
            <w:shd w:val="clear" w:color="auto" w:fill="BFE4FF"/>
          </w:tcPr>
          <w:p>
            <w:pPr>
              <w:spacing w:after="0"/>
              <w:rPr>
                <w:sz w:val="18"/>
                <w:szCs w:val="18"/>
                <w:color w:val="auto"/>
              </w:rPr>
            </w:pPr>
          </w:p>
        </w:tc>
        <w:tc>
          <w:tcPr>
            <w:tcW w:w="7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24,82</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rPr>
              <w:t>December 31, 2020</w:t>
            </w: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5"/>
            <w:vMerge w:val="continue"/>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ind w:left="620"/>
              <w:spacing w:after="0"/>
              <w:rPr>
                <w:sz w:val="20"/>
                <w:szCs w:val="20"/>
                <w:color w:val="auto"/>
              </w:rPr>
            </w:pPr>
            <w:r>
              <w:rPr>
                <w:rFonts w:ascii="Arial" w:cs="Arial" w:eastAsia="Arial" w:hAnsi="Arial"/>
                <w:sz w:val="13"/>
                <w:szCs w:val="13"/>
                <w:b w:val="1"/>
                <w:bCs w:val="1"/>
                <w:color w:val="auto"/>
                <w:w w:val="93"/>
              </w:rPr>
              <w:t>Gross Unrealized</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Amortized Cost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Credit Losses</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w w:val="95"/>
              </w:rPr>
              <w:t>Estimated Fair Val</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Money market funds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Commercial paper</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gridSpan w:val="3"/>
          </w:tcPr>
          <w:p>
            <w:pPr>
              <w:ind w:left="8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notes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6"/>
              </w:rPr>
              <w:t>(6)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U.S. government securities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gridSpan w:val="3"/>
          </w:tcPr>
          <w:p>
            <w:pPr>
              <w:ind w:left="8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agency bonds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4"/>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U.S. asset-backed securities</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8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6"/>
              </w:rPr>
              <w:t>(6)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7"/>
                <w:szCs w:val="17"/>
                <w:color w:val="auto"/>
              </w:rPr>
              <w:t>Classified as:</w:t>
            </w: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equivalents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Short-term investments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42,18</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Long-term investments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right="100" w:firstLine="227"/>
        <w:spacing w:after="0" w:line="258" w:lineRule="auto"/>
        <w:rPr>
          <w:sz w:val="20"/>
          <w:szCs w:val="20"/>
          <w:color w:val="auto"/>
        </w:rPr>
      </w:pPr>
      <w:r>
        <w:rPr>
          <w:rFonts w:ascii="Arial" w:cs="Arial" w:eastAsia="Arial" w:hAnsi="Arial"/>
          <w:sz w:val="17"/>
          <w:szCs w:val="17"/>
          <w:color w:val="auto"/>
        </w:rPr>
        <w:t>Investments classified as short-term have maturities of less than one year. Investments classified as long-term are those which: (i) have a maturity of greater than one year, and (ii) the Company does not intend to liquidate within the next twelve months, although these funds are available for use and, therefore, are classified as available-for-sale. The Company’s</w:t>
      </w: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300" w:right="239" w:bottom="1440" w:gutter="0" w:footer="0" w:header="0"/>
        </w:sectPr>
      </w:pPr>
    </w:p>
    <w:bookmarkStart w:id="16" w:name="page17"/>
    <w:bookmarkEnd w:id="16"/>
    <w:p>
      <w:pPr>
        <w:jc w:val="both"/>
        <w:ind w:right="100"/>
        <w:spacing w:after="0" w:line="270" w:lineRule="auto"/>
        <w:rPr>
          <w:sz w:val="20"/>
          <w:szCs w:val="20"/>
          <w:color w:val="auto"/>
        </w:rPr>
      </w:pPr>
      <w:r>
        <w:rPr>
          <w:rFonts w:ascii="Arial" w:cs="Arial" w:eastAsia="Arial" w:hAnsi="Arial"/>
          <w:sz w:val="17"/>
          <w:szCs w:val="17"/>
          <w:color w:val="auto"/>
        </w:rPr>
        <w:t>investment strategy is to buy short-duration marketable securities with a high credit rating. As of June 30, 2021 and December 31, 2020, all marketable securities held by the Company had remaining contractual maturities of three years or less.</w:t>
      </w:r>
    </w:p>
    <w:p>
      <w:pPr>
        <w:spacing w:after="0" w:line="291" w:lineRule="exact"/>
        <w:rPr>
          <w:sz w:val="20"/>
          <w:szCs w:val="20"/>
          <w:color w:val="auto"/>
        </w:rPr>
      </w:pPr>
    </w:p>
    <w:p>
      <w:pPr>
        <w:jc w:val="both"/>
        <w:ind w:right="100" w:firstLine="227"/>
        <w:spacing w:after="0" w:line="269" w:lineRule="auto"/>
        <w:rPr>
          <w:sz w:val="20"/>
          <w:szCs w:val="20"/>
          <w:color w:val="auto"/>
        </w:rPr>
      </w:pPr>
      <w:r>
        <w:rPr>
          <w:rFonts w:ascii="Arial" w:cs="Arial" w:eastAsia="Arial" w:hAnsi="Arial"/>
          <w:sz w:val="16"/>
          <w:szCs w:val="16"/>
          <w:color w:val="auto"/>
        </w:rPr>
        <w:t xml:space="preserve">Unrealized gains are included as a component of accumulated other comprehensive income in the Condensed Consolidated Balance Sheets and Statements of Shareholders’ Equity and a component of total comprehensive income (loss) in the Condensed Consolidated Statements of Comprehensive Loss, until realized. Unrealized losses are evaluated for impairment under </w:t>
      </w:r>
      <w:r>
        <w:rPr>
          <w:rFonts w:ascii="Arial" w:cs="Arial" w:eastAsia="Arial" w:hAnsi="Arial"/>
          <w:sz w:val="16"/>
          <w:szCs w:val="16"/>
          <w:i w:val="1"/>
          <w:iCs w:val="1"/>
          <w:color w:val="auto"/>
        </w:rPr>
        <w:t>ASC 326, Financial Instruments - Credit Losses</w:t>
      </w:r>
      <w:r>
        <w:rPr>
          <w:rFonts w:ascii="Arial" w:cs="Arial" w:eastAsia="Arial" w:hAnsi="Arial"/>
          <w:sz w:val="16"/>
          <w:szCs w:val="16"/>
          <w:color w:val="auto"/>
        </w:rPr>
        <w:t>, to determine if the impairment is credit-related or non-credit-related. Credit-related impairment is recognized as an allowance on the Condensed Consolidated Balance Sheet with a corresponding adjustment to earnings, and non-credit-related impairment is recognized in other comprehensive income (loss), net of taxes. There were no material realized losses on marketable securities during the three and six months ended June 30, 2021. There have been no impairments of the Company’s assets measured and carried at fair value during the three and six months ended June 30, 2021 or June 30,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fair value measurements are classified and disclosed in one of the following three categories:</w:t>
      </w:r>
    </w:p>
    <w:p>
      <w:pPr>
        <w:spacing w:after="0" w:line="208" w:lineRule="exact"/>
        <w:rPr>
          <w:sz w:val="20"/>
          <w:szCs w:val="20"/>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8" w:lineRule="exact"/>
        <w:rPr>
          <w:rFonts w:ascii="Arial" w:cs="Arial" w:eastAsia="Arial" w:hAnsi="Arial"/>
          <w:sz w:val="17"/>
          <w:szCs w:val="17"/>
          <w:color w:val="auto"/>
        </w:rPr>
      </w:pPr>
    </w:p>
    <w:p>
      <w:pPr>
        <w:ind w:left="600" w:right="100" w:hanging="297"/>
        <w:spacing w:after="0" w:line="247"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Quoted prices in markets that are not active, or inputs which are observable, either directly or indirectly, for substantially the full term of the asset or liability;</w:t>
      </w:r>
    </w:p>
    <w:p>
      <w:pPr>
        <w:spacing w:after="0" w:line="1" w:lineRule="exact"/>
        <w:rPr>
          <w:rFonts w:ascii="Arial" w:cs="Arial" w:eastAsia="Arial" w:hAnsi="Arial"/>
          <w:sz w:val="17"/>
          <w:szCs w:val="17"/>
          <w:color w:val="auto"/>
        </w:rPr>
      </w:pPr>
    </w:p>
    <w:p>
      <w:pPr>
        <w:ind w:left="600" w:right="100" w:hanging="297"/>
        <w:spacing w:after="0" w:line="255"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Prices or valuation techniques that require inputs that are both significant to the fair value measurement and unobservable (i.e., supported by little or no market activity).</w:t>
      </w:r>
    </w:p>
    <w:p>
      <w:pPr>
        <w:spacing w:after="0" w:line="178" w:lineRule="exact"/>
        <w:rPr>
          <w:sz w:val="20"/>
          <w:szCs w:val="20"/>
          <w:color w:val="auto"/>
        </w:rPr>
      </w:pPr>
    </w:p>
    <w:p>
      <w:pPr>
        <w:jc w:val="both"/>
        <w:ind w:right="100" w:firstLine="227"/>
        <w:spacing w:after="0" w:line="292" w:lineRule="auto"/>
        <w:rPr>
          <w:sz w:val="20"/>
          <w:szCs w:val="20"/>
          <w:color w:val="auto"/>
        </w:rPr>
      </w:pPr>
      <w:r>
        <w:rPr>
          <w:rFonts w:ascii="Arial" w:cs="Arial" w:eastAsia="Arial" w:hAnsi="Arial"/>
          <w:sz w:val="15"/>
          <w:szCs w:val="15"/>
          <w:color w:val="auto"/>
        </w:rPr>
        <w:t>There was no movement between Level 1 and Level 2 or between Level 2 and Level 3 from December 31, 2020 to June 30, 2021. Assets and liabilities measured at fair value are classified in their entirety based on the lowest level of input that is significant to the fair value measurement. The commercial paper, corporate notes, U.S. government securities, U.S. government agency bonds and U.S.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June 30, 2021</w:t>
            </w: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w w:val="91"/>
              </w:rPr>
              <w:t>Fair value measurement category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w w:val="91"/>
              </w:rPr>
              <w:t>Fair value measurement category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gridSpan w:val="2"/>
          </w:tcPr>
          <w:p>
            <w:pPr>
              <w:ind w:left="320"/>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48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5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8"/>
        </w:trPr>
        <w:tc>
          <w:tcPr>
            <w:tcW w:w="12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Money</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6,022</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auto"/>
              </w:rPr>
              <w:t>6,022</w:t>
            </w:r>
          </w:p>
        </w:tc>
        <w:tc>
          <w:tcPr>
            <w:tcW w:w="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4"/>
                <w:szCs w:val="1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market funds</w:t>
            </w:r>
          </w:p>
        </w:tc>
        <w:tc>
          <w:tcPr>
            <w:tcW w:w="5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w w:val="99"/>
              </w:rPr>
              <w:t>Commercial</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15,996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paper</w:t>
            </w: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Corporate</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43,668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43,668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35,911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35,911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notes</w:t>
            </w: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rPr>
              <w:t>U.S.</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government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U.S.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government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1,074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1,074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5,001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5,001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agency bonds</w:t>
            </w: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rPr>
              <w:t>U.S. asset-</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backed</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70,062</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
              <w:spacing w:after="0"/>
              <w:rPr>
                <w:sz w:val="20"/>
                <w:szCs w:val="20"/>
                <w:color w:val="auto"/>
              </w:rPr>
            </w:pPr>
            <w:r>
              <w:rPr>
                <w:rFonts w:ascii="Arial" w:cs="Arial" w:eastAsia="Arial" w:hAnsi="Arial"/>
                <w:sz w:val="17"/>
                <w:szCs w:val="17"/>
                <w:color w:val="auto"/>
              </w:rPr>
              <w:t>6,022</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64,040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69,984</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7"/>
                <w:szCs w:val="17"/>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66,286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values of the cash equivalents and marketable securities are based on observable market prices.</w:t>
      </w:r>
    </w:p>
    <w:p>
      <w:pPr>
        <w:sectPr>
          <w:pgSz w:w="11900" w:h="16838" w:orient="portrait"/>
          <w:cols w:equalWidth="0" w:num="1">
            <w:col w:w="11340"/>
          </w:cols>
          <w:pgMar w:left="320" w:top="8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85090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type w:val="continuous"/>
        </w:sectPr>
      </w:pPr>
    </w:p>
    <w:bookmarkStart w:id="17" w:name="page18"/>
    <w:bookmarkEnd w:id="17"/>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w:t>
      </w:r>
    </w:p>
    <w:p>
      <w:pPr>
        <w:spacing w:after="0" w:line="237" w:lineRule="exact"/>
        <w:rPr>
          <w:sz w:val="20"/>
          <w:szCs w:val="20"/>
          <w:color w:val="auto"/>
        </w:rPr>
      </w:pPr>
    </w:p>
    <w:p>
      <w:pPr>
        <w:ind w:right="100" w:firstLine="227"/>
        <w:spacing w:after="0" w:line="270" w:lineRule="auto"/>
        <w:rPr>
          <w:sz w:val="20"/>
          <w:szCs w:val="20"/>
          <w:color w:val="auto"/>
        </w:rPr>
      </w:pPr>
      <w:r>
        <w:rPr>
          <w:rFonts w:ascii="Arial" w:cs="Arial" w:eastAsia="Arial" w:hAnsi="Arial"/>
          <w:sz w:val="17"/>
          <w:szCs w:val="17"/>
          <w:color w:val="auto"/>
        </w:rPr>
        <w:t>The following reflects the net loss attributable to common shareholders and share data used in the basic and diluted earnings per share computations using the two class method: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600" w:type="dxa"/>
            <w:vAlign w:val="bottom"/>
            <w:gridSpan w:val="4"/>
          </w:tcPr>
          <w:p>
            <w:pPr>
              <w:jc w:val="right"/>
              <w:ind w:right="599"/>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2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(Amounts in thousands, except per share amounts)</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4"/>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(3,786)</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(8,269)</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(7,075)</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(12,974)</w:t>
            </w:r>
          </w:p>
        </w:tc>
      </w:tr>
      <w:tr>
        <w:trPr>
          <w:trHeight w:val="21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4"/>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Weighted-average common shares outstanding (basic and diluted)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46,403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45,031</w:t>
            </w:r>
          </w:p>
        </w:tc>
      </w:tr>
      <w:tr>
        <w:trPr>
          <w:trHeight w:val="232"/>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w w:val="90"/>
              </w:rPr>
              <w:t>Net loss per share attributable to common shareholders (basic and diluted)</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4"/>
        </w:trPr>
        <w:tc>
          <w:tcPr>
            <w:tcW w:w="524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7"/>
                <w:szCs w:val="17"/>
                <w:color w:val="auto"/>
                <w:w w:val="96"/>
              </w:rPr>
              <w:t>Anti-dilutive shares excluded from the calculation of diluted earnings per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4"/>
        </w:trPr>
        <w:tc>
          <w:tcPr>
            <w:tcW w:w="524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7"/>
                <w:szCs w:val="17"/>
                <w:color w:val="auto"/>
              </w:rPr>
              <w:t>share</w:t>
            </w:r>
            <w:r>
              <w:rPr>
                <w:rFonts w:ascii="Arial" w:cs="Arial" w:eastAsia="Arial" w:hAnsi="Arial"/>
                <w:sz w:val="21"/>
                <w:szCs w:val="21"/>
                <w:color w:val="auto"/>
                <w:vertAlign w:val="superscript"/>
              </w:rPr>
              <w:t>(a)</w:t>
            </w: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4"/>
        </w:trPr>
        <w:tc>
          <w:tcPr>
            <w:tcW w:w="5240" w:type="dxa"/>
            <w:vAlign w:val="bottom"/>
            <w:gridSpan w:val="2"/>
          </w:tcPr>
          <w:p>
            <w:pPr>
              <w:ind w:left="140"/>
              <w:spacing w:after="0"/>
              <w:rPr>
                <w:sz w:val="20"/>
                <w:szCs w:val="20"/>
                <w:color w:val="auto"/>
              </w:rPr>
            </w:pPr>
            <w:r>
              <w:rPr>
                <w:rFonts w:ascii="Arial" w:cs="Arial" w:eastAsia="Arial" w:hAnsi="Arial"/>
                <w:sz w:val="17"/>
                <w:szCs w:val="17"/>
                <w:color w:val="auto"/>
              </w:rPr>
              <w:t>Stock options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5,960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6,018</w:t>
            </w:r>
          </w:p>
        </w:tc>
      </w:tr>
      <w:tr>
        <w:trPr>
          <w:trHeight w:val="214"/>
        </w:trPr>
        <w:tc>
          <w:tcPr>
            <w:tcW w:w="52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7"/>
                <w:szCs w:val="17"/>
                <w:color w:val="auto"/>
              </w:rPr>
              <w:t>Restricted stock units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413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r>
    </w:tbl>
    <w:p>
      <w:pPr>
        <w:ind w:left="240" w:hanging="222"/>
        <w:spacing w:after="0"/>
        <w:tabs>
          <w:tab w:leader="none" w:pos="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Common equivalent shares are not included in the diluted per share calculation where the effect of their inclusion would be anti-dilutive.</w:t>
      </w:r>
    </w:p>
    <w:p>
      <w:pPr>
        <w:spacing w:after="0" w:line="304" w:lineRule="exact"/>
        <w:rPr>
          <w:rFonts w:ascii="Arial" w:cs="Arial" w:eastAsia="Arial" w:hAnsi="Arial"/>
          <w:sz w:val="17"/>
          <w:szCs w:val="17"/>
          <w:color w:val="auto"/>
        </w:rPr>
      </w:pPr>
    </w:p>
    <w:p>
      <w:pPr>
        <w:ind w:left="240" w:hanging="239"/>
        <w:spacing w:after="0"/>
        <w:tabs>
          <w:tab w:leader="none" w:pos="2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NexoBrid License and Supply Agreements</w:t>
      </w:r>
    </w:p>
    <w:p>
      <w:pPr>
        <w:spacing w:after="0" w:line="237"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September 16, 2020, the Company announced MediWound's submission of a biologics license application (BLA) to the U.S. Food and Drug Administration (FDA) seeking marketing approval for NexoBrid in the United States for the treatment of severe burns, and the FDA's assignment of a Prescription Drug User Fee Act (PDUFA) target date for the product of June 29, 2021. Subsequently, on June 29, 2021, the Company announced that MediWound received a complete response letter (CRL) from the FDA regarding the BLA, through which the FDA communicated to MediWound that it had completed its review of the BLA, as amended, and had determined that it cannot approve the BLA in its present form. The Company announced further that it is committed to working with MediWound and the FDA on the next steps to address the issues identified in the CRL and to seek the potential approval of NexoBrid.</w:t>
      </w:r>
    </w:p>
    <w:p>
      <w:pPr>
        <w:spacing w:after="0" w:line="185"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Pursuant to the terms of the license agreement, if the BLA is approved, MediWound will transfer the BLA to the Company and the Company will market NexoBrid in the U.S. Both MediWound and the Company, under the supervision of a Central Steering Committee comprised of members of both companies will continue to guide the development of NexoBrid in North America. NexoBrid is approved in the European Union and other international markets and has been designated as an orphan biologic in the United States, European Union and other international markets.</w:t>
      </w:r>
    </w:p>
    <w:p>
      <w:pPr>
        <w:spacing w:after="0" w:line="203"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In May 2019, the Company paid MediWound $17.5 million in consideration for the license. The $17.5 million upfront payment was recorded to research and development expense during 2019, as the license was considered in process research and development. The Company is also obligated to pay MediWound $7.5 million, which is contingent upon U.S. regulatory approval of the BLA for NexoBrid and up to $125 million contingent upon meeting certain sales milestones, subsequent to approval. The first sales milestone of $7.5 million would be triggered when annual net sales of NexoBrid or improvements to it in North America exceed $75 million. As of June 30, 2021, the milestone payments were not yet probable and therefore, not considered a liability. The Company also will pay MediWound tiered royalties on net sales ranging from mid-high single-digit to mid-teen percentages, subject to customary reductions, following approval. The Company also entered into a supply agreement with MediWound under which MediWound will manufacture NexoBrid for the Company on a unit price basis which may be increased based on a published index. MediWound is obligated to supply the Company with NexoBrid for sale in North</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America on an exclusive basis for the first five years of the term of the supply agreement. After the exclusivity period or upon supply failure, the Company will be permitted to establish an alternate source of supply.</w:t>
      </w:r>
    </w:p>
    <w:p>
      <w:pPr>
        <w:spacing w:after="0" w:line="191"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BARDA has committed to procure NexoBrid directly from MediWound under an emergency use authorization, and under such commitment the Company will receive a percentage of gross profit for sales directly to BARDA. If BARDA procures NexoBrid directly from the Company, the Company will pay a percentage of gross profits to MediWound on initial committed amounts and a royalty on any additional BARDA purchases of NexoBrid beyond the initial committed amount. As of June 30, 2021, the Company did not hold a direct contract or distribution agreement with BARDA. During 2020, BARDA accepted the first shipments of NexoBrid for emergency use preparedness per the agreement between BARDA and MediWound. During the three and six months ended June 30, 2021, the Company recognized $0.8 million and $1.8 million, respectively, of revenue. No revenue related to the procurement by BARDA was recognized for the three and six months ended June 30, 2020.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212"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The Company's purchase commitments consist of minimum purchase amounts of materials used in the Company's cell manufacturing process to manufacture its marketed cell therapy products. In addition, the Company also pays for usage of an offsite warehouse space. In February 2021, the terms of the operating agreement were extended through March 31, 2027. The Company records rent expense related to this agreement on a straight-line basis over the remaining term.</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Future minimum payments related to the Company's contractual obligations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 (in thousands)</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w w:val="93"/>
              </w:rPr>
              <w:t>July 1, 2021 -</w:t>
            </w:r>
          </w:p>
        </w:tc>
        <w:tc>
          <w:tcPr>
            <w:tcW w:w="24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28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03"/>
              <w:spacing w:after="0" w:line="124"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5"/>
        </w:trPr>
        <w:tc>
          <w:tcPr>
            <w:tcW w:w="3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208"/>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Warehouse operating agreement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32"/>
        </w:trPr>
        <w:tc>
          <w:tcPr>
            <w:tcW w:w="350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7" w:lineRule="exact"/>
        <w:rPr>
          <w:sz w:val="20"/>
          <w:szCs w:val="20"/>
          <w:color w:val="auto"/>
        </w:rPr>
      </w:pPr>
    </w:p>
    <w:p>
      <w:pPr>
        <w:jc w:val="both"/>
        <w:ind w:firstLine="227"/>
        <w:spacing w:after="0" w:line="242" w:lineRule="auto"/>
        <w:rPr>
          <w:sz w:val="20"/>
          <w:szCs w:val="20"/>
          <w:color w:val="auto"/>
        </w:rPr>
      </w:pPr>
      <w:r>
        <w:rPr>
          <w:rFonts w:ascii="Arial" w:cs="Arial" w:eastAsia="Arial" w:hAnsi="Arial"/>
          <w:sz w:val="16"/>
          <w:szCs w:val="16"/>
          <w:color w:val="auto"/>
        </w:rPr>
        <w:t>Vericel Corporation is a leader in advanced cell therapies and specialty biologics for the sports medicine and severe burn care markets. We currently market two U.S. Food and Drug Administration (FDA)-approved autologous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an autologous cellularized scaffold product indicated for the repair of symptomatic, single or multiple full-thickness cartilage defects of the knee with or without bone involvement in adults.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a registration-stage biological orphan product. In 2020, MediWound submitted to the FDA a biologics license application (BLA) seeking the approval of NexoBrid for eschar removal (debridement) in adults with deep partial-thickness and/or full-thickness thermal burns. The FDA subsequently accepted the BLA for filing and assigned a Prescription Drug User Fee Act (PDUFA) target date of June 29, 2021.</w:t>
      </w:r>
    </w:p>
    <w:p>
      <w:pPr>
        <w:spacing w:after="0" w:line="21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Subsequently, on June 29, 2021, we announced that MediWound received a complete response letter (CRL) from the FDA regarding the BLA for NexoBrid. The FDA communicated to MediWound that it had completed its review of the BLA, as amended, and had determined that it cannot approve the BLA in its present form. The FDA had identified issues related to the Chemistry, Manufacturing and Controls (CMC) section of the BLA and had requested that MediWound provide additional CMC information. The FDA stated that it had not reviewed several amendments submitted by MediWound in response to the CMC information requests related to the BLA.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CRL referenced observations that were made during good clinical practice (GCP) inspections related to the DETECT study and requested that MediWound address questions regarding the impact of the observations on the study’s efficacy findings. The FDA also requested that MediWound provide a safety update as part of its BLA resubmission. The Company announced further that it is committed to working with MediWound and the FDA on the next steps to address the issues identified in the CRL to seek the potential approval of NexoBrid.</w:t>
      </w:r>
    </w:p>
    <w:p>
      <w:pPr>
        <w:spacing w:after="0" w:line="197"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See "Risk Factors - NexoBrid’s approval in the United States for the treatment of severe burns may be further delayed, and it may not be approved for use in the United States and other North American markets at all."</w:t>
      </w:r>
    </w:p>
    <w:p>
      <w:pPr>
        <w:spacing w:after="0" w:line="191"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For patents related to MACI, we have one issued patent in the United States directed to a device related to MACI that is set to expire in November 2033, and one issued patent in the European Union set to expire in November 2034.</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COVID-19</w:t>
      </w:r>
    </w:p>
    <w:p>
      <w:pPr>
        <w:spacing w:after="0" w:line="233"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The pandemic caused by the spread of a novel strain of coronavirus (COVID-19) has created significant disruptions to the U.S. and global economy and has contributed to significant volatility in financial markets. The global impact of the outbreak has fluctuated since early 2020. At times,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197"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Notwithstanding being an essential business, the Company’s business and operations were, at times, adversely impacted by the effects of COVID-19 during 2020. As a result of periodic restrictions placed on the performance of elective surgical procedures, the Company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Although hospitals are now better prepared for a subsequent surge in COVID-19 patients and COVID-19 vaccines have been approved and are being widely distributed in the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0" w:name="page21"/>
    <w:bookmarkEnd w:id="20"/>
    <w:p>
      <w:pPr>
        <w:jc w:val="both"/>
        <w:spacing w:after="0" w:line="301" w:lineRule="auto"/>
        <w:rPr>
          <w:sz w:val="20"/>
          <w:szCs w:val="20"/>
          <w:color w:val="auto"/>
        </w:rPr>
      </w:pPr>
      <w:r>
        <w:rPr>
          <w:rFonts w:ascii="Arial" w:cs="Arial" w:eastAsia="Arial" w:hAnsi="Arial"/>
          <w:sz w:val="16"/>
          <w:szCs w:val="16"/>
          <w:color w:val="auto"/>
        </w:rPr>
        <w:t>United States, the risk remains that regional or local restrictions could again be placed on the performance of elective surgical procedures if the number of COVID-19 infections in the United States were to rise again, or if new or existing COVID-19 variants render current vaccine treatments ineffective.</w:t>
      </w:r>
    </w:p>
    <w:p>
      <w:pPr>
        <w:spacing w:after="0" w:line="169"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Because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 Epicel procedure volumes did experience a slow-down during the second quarter of 2020, however, the reduction was less pronounced than that observed with MACI. Further reductions could be observed in the future, based on the degree of restrictions imposed.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At the outset of the pandemic, the Company put in place a comprehensive workplace protection plan, which instituted protective measures in response to COVID-</w:t>
      </w:r>
    </w:p>
    <w:p>
      <w:pPr>
        <w:spacing w:after="0" w:line="41" w:lineRule="exact"/>
        <w:rPr>
          <w:sz w:val="20"/>
          <w:szCs w:val="20"/>
          <w:color w:val="auto"/>
        </w:rPr>
      </w:pPr>
    </w:p>
    <w:p>
      <w:pPr>
        <w:jc w:val="both"/>
        <w:ind w:firstLine="1"/>
        <w:spacing w:after="0" w:line="266"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workplace protection plan closely followed the guidance issued by the Centers for Disease Control and Prevention (CDC) and complied with applicable federal and state law. Because vaccines designed to protect against COVID-19 have become readily available and the rates of COVID-19 infections, hospitalizations and deaths in the majority of the U.S. have declined since the beginning of 2021, the CDC and the Occupational Safety and Health Administration (OSHA) have altered their guidance for Americans, and emergency orders and mandatory workplace protocols in Michigan and Massachusetts have either been rescinded or greatly reduced - to include the lifting of all capacity limitations on businesses in both states. Accordingly, Vericel is planning for a return to more normal workplace operations, but will continue to modify its workplace protection plan, and will reinstitute protective measures for its workforce as necessary. The Company is reviewing its policies and procedures regularly as the pandemic evolves and may take additional actions to the extent required.</w:t>
      </w:r>
    </w:p>
    <w:p>
      <w:pPr>
        <w:spacing w:after="0" w:line="200"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At this time, there is no expected impact of COVID-19 on our distributors, operations or third-party service providers’ ability to manage patient cases.</w:t>
      </w:r>
    </w:p>
    <w:p>
      <w:pPr>
        <w:spacing w:after="0" w:line="180"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We believe it is possible that we could experience variable impacts on our business, should there be a resurgence of COVID-19 in various areas of the United States. Measures taken to limit the impact of COVID-19 at the international, national and local levels, including the availability of COVID-19 vaccines, shelter-in-place orders, social distancing measures, travel bans and restrictions, and business and government shutdowns, may again create significant negative economic impacts on a global basis. Given that uncertainty, we cannot reliably estimate the extent to which the COVID-19 pandemic may continue to impact utilization and revenue of our products in 2021 and beyond.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a discussion of additional risks associated with COVID-19, please see 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Portfolio</w:t>
      </w:r>
    </w:p>
    <w:p>
      <w:pPr>
        <w:spacing w:after="0" w:line="212"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In addition, we have entered into exclusive license and supply agreements with MediWound to commercialize NexoBrid in North America, following regulatory approval. As previously mentioned, MediWound has submitted a BLA to the FDA seeking commercial approval of NexoBrid. On June 29, 2021, we announced that MediWound had received a CRL in response to the BLA and that the Company is committed to working with MediWound and the FDA to respond to the CRL to seek the potential approval of NexoBrid.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ind w:left="220"/>
        <w:spacing w:after="0"/>
        <w:rPr>
          <w:sz w:val="20"/>
          <w:szCs w:val="20"/>
          <w:color w:val="auto"/>
        </w:rPr>
      </w:pPr>
      <w:r>
        <w:rPr>
          <w:rFonts w:ascii="Arial" w:cs="Arial" w:eastAsia="Arial" w:hAnsi="Arial"/>
          <w:sz w:val="17"/>
          <w:szCs w:val="17"/>
          <w:b w:val="1"/>
          <w:bCs w:val="1"/>
          <w:color w:val="auto"/>
        </w:rPr>
        <w:t>MACI</w:t>
      </w:r>
    </w:p>
    <w:p>
      <w:pPr>
        <w:spacing w:after="0" w:line="21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MACI is a third-generation autologous chondrocyte implantation (ACI) product for the repair of symptomatic, single or multiple full-thickness cartilage defects of the knee with or without bone involvement in adults.</w:t>
      </w:r>
    </w:p>
    <w:p>
      <w:pPr>
        <w:spacing w:after="0" w:line="191"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Our target audience of U.S. physicians is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As of the date of this report, we currently have 76 MACI sales representatives to enable the sales force to reach our target audience. 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 For the three and six months ended, June 30, 2021, net revenue for MACI was $26.5 million and $50.3 million, respectively, and $15.1 million and $35.4 million, respectively, for the same periods in 2020.</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Epicel</w:t>
      </w:r>
    </w:p>
    <w:p>
      <w:pPr>
        <w:spacing w:after="0" w:line="212"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Epicel is a permanent skin replacement for deep dermal or full-thickness burns greater than or equal to 30% of TBSA. Epicel is regulated by the Center for Biologics Evaluation and Research, or CBER of the U.S. Food and Drug Administration under medical device authorities, and is the only FDA-approved cultured epidermal autograft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186"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2019. We currently have a thirteen-person field force comprised of seven (7) account managers and six (6) burn clinical specialists, led by a regional and a national sales director. For the three and six months ended June 30, 2021, net revenue for Epicel was $12.2 million and $22.0 million, respectively, and $4.9 million and $11.3 million, respectively, for the same periods in 2020.</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NexoBrid</w:t>
      </w:r>
    </w:p>
    <w:p>
      <w:pPr>
        <w:spacing w:after="0" w:line="225" w:lineRule="exact"/>
        <w:rPr>
          <w:sz w:val="20"/>
          <w:szCs w:val="20"/>
          <w:color w:val="auto"/>
        </w:rPr>
      </w:pPr>
    </w:p>
    <w:p>
      <w:pPr>
        <w:jc w:val="both"/>
        <w:ind w:firstLine="227"/>
        <w:spacing w:after="0" w:line="237" w:lineRule="auto"/>
        <w:rPr>
          <w:sz w:val="20"/>
          <w:szCs w:val="20"/>
          <w:color w:val="auto"/>
        </w:rPr>
      </w:pPr>
      <w:r>
        <w:rPr>
          <w:rFonts w:ascii="Arial" w:cs="Arial" w:eastAsia="Arial" w:hAnsi="Arial"/>
          <w:sz w:val="16"/>
          <w:szCs w:val="16"/>
          <w:color w:val="auto"/>
        </w:rPr>
        <w:t>Our portfolio also includes NexoBrid, a registration-stage, topically-administered biological product that enzymatically removes nonviable burn tissue, or eschar, in patients with deep partial and full-thickness thermal burns. On June 30, 2020, we announced MediWound's submission of a BLA to the FDA seeking the approval of NexoBrid. On June 29, 2021, the Company announced that MediWound received a CRL from the FDA regarding the BLA, through which the FDA communicated to MediWound that it had completed its review of the BLA, as amended, and had determined that it cannot approve the BLA in its present form. The Company announced further that it is committed to working with MediWound and the FDA on the next steps to address the issues identified in the CRL to seek the potential approval of NexoBrid. See "Risk Factors - NexoBrid’s approval in the United States for the treatment of severe burns may be further delayed, and it may not be approved for use in the United States and other North American markets at all."</w:t>
      </w:r>
    </w:p>
    <w:p>
      <w:pPr>
        <w:spacing w:after="0" w:line="191" w:lineRule="exact"/>
        <w:rPr>
          <w:sz w:val="20"/>
          <w:szCs w:val="20"/>
          <w:color w:val="auto"/>
        </w:rPr>
      </w:pPr>
    </w:p>
    <w:p>
      <w:pPr>
        <w:jc w:val="both"/>
        <w:ind w:firstLine="227"/>
        <w:spacing w:after="0" w:line="224" w:lineRule="auto"/>
        <w:rPr>
          <w:sz w:val="20"/>
          <w:szCs w:val="20"/>
          <w:color w:val="auto"/>
        </w:rPr>
      </w:pPr>
      <w:r>
        <w:rPr>
          <w:rFonts w:ascii="Arial" w:cs="Arial" w:eastAsia="Arial" w:hAnsi="Arial"/>
          <w:sz w:val="17"/>
          <w:szCs w:val="17"/>
          <w:color w:val="auto"/>
        </w:rPr>
        <w:t>NexoBrid is approved in the European Union and other international markets and has been designated as an orphan biologic in the United States, European Union and other international markets. Pursuant to the terms of our existing license agreement, if the BLA is approved, MediWound will transfer the BLA to Vericel and Vericel will market NexoBrid in the 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 For the three and six months ended June 30, 2021, $0.8 million and $1.8 million, respectively, of net revenue associated with delivery of NexoBrid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to BARDA was recorded. No revenue related to the procurement by BARDA was recognized in the comparable periods of 2020.</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Our net loss for the three and six months ended June 30, 2021 totaled $3.8 million and $7.1 million, respectively, and $8.3 million and $13.0 million, respectively, for the same periods in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40" w:type="dxa"/>
            <w:vAlign w:val="bottom"/>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598"/>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2020</w:t>
            </w:r>
          </w:p>
        </w:tc>
      </w:tr>
      <w:tr>
        <w:trPr>
          <w:trHeight w:val="208"/>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39,519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20,014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74,087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46,692</w:t>
            </w:r>
          </w:p>
        </w:tc>
      </w:tr>
      <w:tr>
        <w:trPr>
          <w:trHeight w:val="214"/>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Cost of product sales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12,609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24,192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18,582</w:t>
            </w:r>
          </w:p>
        </w:tc>
      </w:tr>
      <w:tr>
        <w:trPr>
          <w:trHeight w:val="207"/>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26,910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11,354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49,895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28,110</w:t>
            </w:r>
          </w:p>
        </w:tc>
      </w:tr>
      <w:tr>
        <w:trPr>
          <w:trHeight w:val="214"/>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operating expenses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30,639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19,712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56,929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41,544</w:t>
            </w:r>
          </w:p>
        </w:tc>
      </w:tr>
      <w:tr>
        <w:trPr>
          <w:trHeight w:val="207"/>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(3,729)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(8,358)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(13,434)</w:t>
            </w:r>
          </w:p>
        </w:tc>
      </w:tr>
      <w:tr>
        <w:trPr>
          <w:trHeight w:val="214"/>
        </w:trPr>
        <w:tc>
          <w:tcPr>
            <w:tcW w:w="5240" w:type="dxa"/>
            <w:vAlign w:val="bottom"/>
          </w:tcPr>
          <w:p>
            <w:pPr>
              <w:ind w:left="120"/>
              <w:spacing w:after="0"/>
              <w:rPr>
                <w:sz w:val="20"/>
                <w:szCs w:val="20"/>
                <w:color w:val="auto"/>
              </w:rPr>
            </w:pPr>
            <w:r>
              <w:rPr>
                <w:rFonts w:ascii="Arial" w:cs="Arial" w:eastAsia="Arial" w:hAnsi="Arial"/>
                <w:sz w:val="17"/>
                <w:szCs w:val="17"/>
                <w:color w:val="auto"/>
              </w:rPr>
              <w:t>Other income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460</w:t>
            </w:r>
          </w:p>
        </w:tc>
      </w:tr>
      <w:tr>
        <w:trPr>
          <w:trHeight w:val="214"/>
        </w:trPr>
        <w:tc>
          <w:tcPr>
            <w:tcW w:w="5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provision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240" w:type="dxa"/>
            <w:vAlign w:val="bottom"/>
          </w:tcPr>
          <w:p>
            <w:pPr>
              <w:ind w:left="20"/>
              <w:spacing w:after="0"/>
              <w:rPr>
                <w:sz w:val="20"/>
                <w:szCs w:val="20"/>
                <w:color w:val="auto"/>
              </w:rPr>
            </w:pPr>
            <w:r>
              <w:rPr>
                <w:rFonts w:ascii="Arial" w:cs="Arial" w:eastAsia="Arial" w:hAnsi="Arial"/>
                <w:sz w:val="17"/>
                <w:szCs w:val="17"/>
                <w:color w:val="auto"/>
              </w:rPr>
              <w:t>Net loss</w:t>
            </w: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(3,786)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(8,269)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(7,075)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(12,974)</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w:t>
      </w:r>
    </w:p>
    <w:p>
      <w:pPr>
        <w:spacing w:after="0" w:line="23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Net revenue increased for the three and six months ended June 30, 2021 compared to the same periods in 2020, driven by volume growth for both MACI and Epicel. Additionally, for the three and six months ended June 30, 2021, we recorded $0.8 million and $1.8 million, respectively, of revenue associated with delivery of NexoBrid to BARDA for emergency response preparedness.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revenue by product for the three and six months ended June 30, 2021 and 2020 are shown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product (In thousands)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MACI</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26,526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15,104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50,322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35,391</w:t>
            </w:r>
          </w:p>
        </w:tc>
      </w:tr>
      <w:tr>
        <w:trPr>
          <w:trHeight w:val="214"/>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12,154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7"/>
                <w:szCs w:val="17"/>
                <w:color w:val="auto"/>
              </w:rPr>
              <w:t>21,985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11,301</w:t>
            </w: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NexoBrid</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2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Total Revenue</w:t>
            </w:r>
          </w:p>
        </w:tc>
        <w:tc>
          <w:tcPr>
            <w:tcW w:w="86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39,519</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20,014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rPr>
              <w:t>74,087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46,692</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269"/>
        <w:spacing w:after="0" w:line="267"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The effects of the COVID-19 pandemic disrupted the normal seasonality of our MACI business at times over the past sixteen months. These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among others, the temporary limitation of elective surgical procedures throughout the country, the inability of our Clinical Account Specialists to call on surgeon customers and, we believe, a reduction in the number of patients seeking treatment for cartilage damage. In the four years preceding 2020, ACI sales volumes from the first through the fourth quarter on average represented 19% (16%-24% range), 23% (21%-25% range), 22% (20%-23% range) and 36% (32%-38% range) respectively, of total annual volumes. MACI orders are consistently stronger in the fourth quarter due to several factors including insurance deductible limits and the time of year patients prefer to start rehabilitation. Due to COVID-19, the seasonality in 2020 did not follow our historical patterns, and seasonality in 2021 could be impacted by COVID-19 related factors, as well. Due to the low incidence and variable occurrence of severe burns, Epicel revenue has inherent variability from quarter-to-quarter and does not exhibit significant seasonality. Over the past four years, Epicel revenue in a single quarter has ranged from as high as 38% to as low as 18% of annual revenue.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color w:val="auto"/>
        </w:rPr>
        <w:t>Gross Profit and Gross Profit Ratio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682"/>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2020</w:t>
            </w:r>
          </w:p>
        </w:tc>
      </w:tr>
      <w:tr>
        <w:trPr>
          <w:trHeight w:val="20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rPr>
              <w:t>26,910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11,354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rPr>
              <w:t>49,895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28,110</w:t>
            </w:r>
          </w:p>
        </w:tc>
      </w:tr>
      <w:tr>
        <w:trPr>
          <w:trHeight w:val="214"/>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Gross profit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60 %</w:t>
            </w:r>
          </w:p>
        </w:tc>
      </w:tr>
    </w:tbl>
    <w:p>
      <w:pPr>
        <w:spacing w:after="0" w:line="291"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Gross profit increased for the three and six months ended June 30, 2021 compared to the same periods in 2020 primarily due to continued growth of both products, the impacts of the COVID-19 pandemic in the prior year, and other revenue related to NexoBrid.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 costs</w:t>
            </w:r>
          </w:p>
        </w:tc>
        <w:tc>
          <w:tcPr>
            <w:tcW w:w="920" w:type="dxa"/>
            <w:vAlign w:val="bottom"/>
            <w:shd w:val="clear" w:color="auto" w:fill="CCEEFF"/>
          </w:tcPr>
          <w:p>
            <w:pPr>
              <w:jc w:val="right"/>
              <w:ind w:right="74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4,449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3,226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6,989</w:t>
            </w:r>
          </w:p>
        </w:tc>
      </w:tr>
    </w:tbl>
    <w:p>
      <w:pPr>
        <w:spacing w:after="0" w:line="27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following table summarizes research and development expenses which include license fees, materials, professional fees and the approximate allocation of employee-related salary and fringe benefit costs for our research and development projects: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ACI</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2,533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3,769</w:t>
            </w:r>
          </w:p>
        </w:tc>
      </w:tr>
      <w:tr>
        <w:trPr>
          <w:trHeight w:val="214"/>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1,231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1,713</w:t>
            </w:r>
          </w:p>
        </w:tc>
      </w:tr>
      <w:tr>
        <w:trPr>
          <w:trHeight w:val="21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NexoBrid</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w:t>
            </w:r>
          </w:p>
        </w:tc>
      </w:tr>
      <w:tr>
        <w:trPr>
          <w:trHeight w:val="207"/>
        </w:trPr>
        <w:tc>
          <w:tcPr>
            <w:tcW w:w="5260" w:type="dxa"/>
            <w:vAlign w:val="bottom"/>
            <w:gridSpan w:val="2"/>
          </w:tcPr>
          <w:p>
            <w:pPr>
              <w:ind w:left="140"/>
              <w:spacing w:after="0"/>
              <w:rPr>
                <w:sz w:val="20"/>
                <w:szCs w:val="20"/>
                <w:color w:val="auto"/>
              </w:rPr>
            </w:pPr>
            <w:r>
              <w:rPr>
                <w:rFonts w:ascii="Arial" w:cs="Arial" w:eastAsia="Arial" w:hAnsi="Arial"/>
                <w:sz w:val="17"/>
                <w:szCs w:val="17"/>
                <w:color w:val="auto"/>
              </w:rPr>
              <w:t>Total research and development costs</w:t>
            </w: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4,449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3,226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6,989</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Research and development expenses for the three months ended June 30, 2021 were $4.4 million, compared to $3.2 million for the same period in 2020. Research and development costs continue to be centered around process development and regulatory and medical affairs for MACI and Epicel. The increase is primarily due to an increase of $0.7 million in stock-based compensation expense compared to the same period a year ago.</w:t>
      </w:r>
    </w:p>
    <w:p>
      <w:pPr>
        <w:spacing w:after="0" w:line="20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Research and development expenses for the six months ended June 30, 2021 were $8.1 million, compared to $7.0 million for the same period in 2020. The increase is primarily due to an increase of $1.1 million in stock-based compensation expense compared to the same period a year ago.</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r>
      <w:tr>
        <w:trPr>
          <w:trHeight w:val="17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20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costs</w:t>
            </w: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26,190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16,486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48,850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34,555</w:t>
            </w:r>
          </w:p>
        </w:tc>
      </w:tr>
    </w:tbl>
    <w:p>
      <w:pPr>
        <w:spacing w:after="0" w:line="26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Selling, general and administrative expenses for the three months ended June 30, 2021 were $26.2 million compared to $16.5 million for the same period in 2020.</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increase in selling, general and administrative expenses during the three months ended June 30, 2021, compared to the same period in 2020, is primarily due to a $5.0 million increase in stock-based compensation expenses, a $0.8 million increase in sales force travel and conference spend, a $0.7 million increase in patient reimbursement support services as a result of higher MACI volumes, and a recovery of marketing activities that were partially reduced during 2020, because of COVID-19.</w:t>
      </w:r>
    </w:p>
    <w:p>
      <w:pPr>
        <w:spacing w:after="0" w:line="20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Selling, general and administrative expenses for the six months ended June 30, 2021 were $48.9 million, compared to $34.6 million for the same period in 2020. The increase in selling, general and administrative expenses during the six months ended June 30, 2021, compared to the same period in 2020, is primarily due to a $7.5 million increase in stock-based compensation expenses, a $1.6 million increase in MACI expenses as a result of the sales force expansion in 2020, a $0.9 million increase in patient reimbursement support services as a result of higher MACI volume, and a recovery of marketing activities that were partially reduced during 2020, because of COVID-19.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Other Income (Expense)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3"/>
                <w:szCs w:val="13"/>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20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84"/>
              </w:rPr>
              <w:t>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14"/>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 (expense)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ind w:left="36"/>
              <w:spacing w:after="0"/>
              <w:rPr>
                <w:sz w:val="20"/>
                <w:szCs w:val="20"/>
                <w:color w:val="auto"/>
              </w:rPr>
            </w:pPr>
            <w:r>
              <w:rPr>
                <w:rFonts w:ascii="Arial" w:cs="Arial" w:eastAsia="Arial" w:hAnsi="Arial"/>
                <w:sz w:val="17"/>
                <w:szCs w:val="17"/>
                <w:color w:val="auto"/>
                <w:w w:val="92"/>
              </w:rPr>
              <w:t>(27)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2"/>
        </w:trPr>
        <w:tc>
          <w:tcPr>
            <w:tcW w:w="5280" w:type="dxa"/>
            <w:vAlign w:val="bottom"/>
            <w:tcBorders>
              <w:bottom w:val="single" w:sz="8" w:color="CCEEFF"/>
            </w:tcBorders>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Total other income</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7"/>
                <w:szCs w:val="17"/>
                <w:color w:val="auto"/>
                <w:w w:val="84"/>
              </w:rPr>
              <w:t>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decrease in other income for the three and six months ended June 30, 2021, compared to the same periods in 2020 is due primarily to the decreasing rates of return on our investments in various marketable debt securities compared to the prior period.</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Stock Compensation</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Non-cash stock-based compensation expense included in cost of product sales, research and development expenses and selling, general and administrative expenses is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3"/>
                <w:szCs w:val="13"/>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r>
      <w:tr>
        <w:trPr>
          <w:trHeight w:val="20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product sales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r>
      <w:tr>
        <w:trPr>
          <w:trHeight w:val="214"/>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1,060</w:t>
            </w:r>
          </w:p>
        </w:tc>
      </w:tr>
      <w:tr>
        <w:trPr>
          <w:trHeight w:val="21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6,087</w:t>
            </w:r>
          </w:p>
        </w:tc>
      </w:tr>
      <w:tr>
        <w:trPr>
          <w:trHeight w:val="207"/>
        </w:trPr>
        <w:tc>
          <w:tcPr>
            <w:tcW w:w="524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Total non-cash stock-based compensation expense</w:t>
            </w:r>
          </w:p>
        </w:tc>
        <w:tc>
          <w:tcPr>
            <w:tcW w:w="880" w:type="dxa"/>
            <w:vAlign w:val="bottom"/>
            <w:tcBorders>
              <w:bottom w:val="single" w:sz="8" w:color="auto"/>
            </w:tcBorders>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10,866</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4,377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8,144</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The increase in stock-based compensation expense for the three and six months ended June 30, 2021 compared to the same periods in 2020, is due primarily to increases in stock prices which impact the fair value of the options and restricted stock units awarded and the expense recognized in the period.</w:t>
      </w:r>
    </w:p>
    <w:p>
      <w:pPr>
        <w:spacing w:after="0" w:line="169"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June 30, 2021, there was approximately $45.8 million of total unrecognized compensation cost related to non-vested service-based stock options granted under the 2019 Plan and the Prior Plans, compared to $13.1 million as of December 31, 2020. That cost is expected to be recognized over a weighted-average period of 3.3 years.</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June 30, 2021, there was approximately $11.6 million of total unrecognized compensation cost related to non-vested restricted stock units granted under the 2019 Plan and Prior Plans, compared to $2.1 million as of December 31, 2020. That cost is expected to be recognized over a weighted-average period of 3.2 years. The estimated unrecognized compensation cost is not reduced by expected forfeitures.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Since our acquisition of MACI and Epicel in 2014, our primary focus has been to invest in our existing commercial business with the goal of growing revenue. We have raised significant funds in order to complete our product development programs and to market and commercialize our products, and product candidates. To date, we have financed our operations primarily through cash received through Epicel and MACI sales, debt and public and private sales of our equity securities. We generated $14.9 million in operating cash flows during the six months ended June 30, 2021, and we may continue to finance our operations through the sales of equity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r>
      <w:tr>
        <w:trPr>
          <w:trHeight w:val="214"/>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Cash provided by (used for)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25,954</w:t>
            </w:r>
          </w:p>
        </w:tc>
      </w:tr>
      <w:tr>
        <w:trPr>
          <w:trHeight w:val="214"/>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w:t>
            </w:r>
          </w:p>
        </w:tc>
      </w:tr>
      <w:tr>
        <w:trPr>
          <w:trHeight w:val="207"/>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Net increase in cash, cash equivalents and restricted cash</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28,815</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Our cash and cash equivalents totaled $51.8 million, short-term investments totaled $39.2 million and long-term investments totaled $24.8 million as of June 30, 2021. The $14.9 million of cash provided by operations during the six months ended June 30, 2021 was the result of cash collections, a decrease in accounts receivable of $2.8 million, an increase in inventory of $3.6 million primarily to meet increased production needs and safety stock goals, and an increase in operating lease liabilities of $1.6 million. This includes non-cash charges of $17.9 million related to stock compensation expense, $2.3 million of operating lease amortization and $1.5 million in depreciation and amortization expense and a $7.1 million net loss.</w:t>
      </w:r>
    </w:p>
    <w:p>
      <w:pPr>
        <w:spacing w:after="0" w:line="19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Our cash and cash equivalents totaled $55.7 million and short-term investments totaled $25.1 million as of June 30, 2020. The $1.7 million of cash provided by operations during the six months ended June 30, 2020 was the result of cash collections and a decrease in accounts receivable of $8.5 million from a decrease in sales volume from the prior quarter and collections on prior period sales, including non-cash charges of $8.1 million in stock compensation expense and $1.1 million in depreciation and amortization expense offset by a $13.0 million net loss.</w:t>
      </w:r>
    </w:p>
    <w:p>
      <w:pPr>
        <w:spacing w:after="0" w:line="20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The change in cash provided by investing activities during the six months ended June 30, 2021 was the result of $32.7 million of investment sales and maturities offset by $31.0 million in investment purchases and property plant and equipment purchases of $4.5 million primarily for manufacturing upgrades through June 30, 2021. The cash provided by investing activities for the six months ended June 30, 2020 was the result of $32.8 million of investment sales and maturities offset by $5.7 million in short term investment purchases, and property plant and equipment purchases of $1.2 million primarily for manufacturing upgrades and leasehold improvements.</w:t>
      </w:r>
    </w:p>
    <w:p>
      <w:pPr>
        <w:spacing w:after="0" w:line="205"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change in cash provided by financing activities was the result of net proceeds from the exercise of stock options of $7.6 million, partially offset by the payment of employee withholding taxes related to the vesting of restricted stock units of $1.6 million during the six months ended June 30, 2021. The change in cash provided from financing activities during the six months ended June 30, 2020 was the result of proceeds from the exercise of stock options of $1.4 million, slightly offset by the payment of employee withholding taxes related to the vesting of restricted stock units of $0.2 million.</w:t>
      </w:r>
    </w:p>
    <w:p>
      <w:pPr>
        <w:spacing w:after="0" w:line="18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We believe that our current cash on hand, cash equivalents and investments will be sufficient to support our current operations through at least 12 months from the issuance of these Condensed Consolidated Financial Statements. However, the continuing effects of the COVID-19 pandemic continue to evolve and may result in irrecoverable losses from customers.</w:t>
      </w:r>
    </w:p>
    <w:p>
      <w:pPr>
        <w:spacing w:after="0" w:line="202"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If revenue declines for a sustained period, we may need to access additional capital; however, we may not be able to obtain financing on acceptable terms or at all. Market volatility could also adversely impact our ability to access financing when needed. The terms of any financing may adversely affect the holdings or the rights of our shareholders. Actual cash requirements may differ from projections and will depend on many factors, including any future impacts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June 30, 2021, we were not party to any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2"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 xml:space="preserve"> are prepared in accordance with accounting principles generally accepted in the United States. The preparation of these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 xml:space="preserve">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w:t>
      </w:r>
      <w:r>
        <w:rPr>
          <w:rFonts w:ascii="Arial" w:cs="Arial" w:eastAsia="Arial" w:hAnsi="Arial"/>
          <w:sz w:val="17"/>
          <w:szCs w:val="17"/>
          <w:color w:val="222222"/>
        </w:rPr>
        <w:t>Condensed Consolidated Financial Statements</w:t>
      </w:r>
      <w:r>
        <w:rPr>
          <w:rFonts w:ascii="Arial" w:cs="Arial" w:eastAsia="Arial" w:hAnsi="Arial"/>
          <w:sz w:val="17"/>
          <w:szCs w:val="17"/>
          <w:color w:val="auto"/>
        </w:rPr>
        <w:t xml:space="preserve"> and disclosures based on varying assumptions. The accounting policies discussed in our Annual Report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six months ended June 30,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This report, including the documents incorporated by reference herein, contain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w:t>
      </w:r>
    </w:p>
    <w:p>
      <w:pPr>
        <w:spacing w:after="0" w:line="197"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 These forward-looking statements include statements regarding:</w:t>
      </w:r>
    </w:p>
    <w:p>
      <w:pPr>
        <w:spacing w:after="0" w:line="155" w:lineRule="exact"/>
        <w:rPr>
          <w:sz w:val="20"/>
          <w:szCs w:val="20"/>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manufacturing and facility capabilities;</w:t>
      </w:r>
    </w:p>
    <w:p>
      <w:pPr>
        <w:spacing w:after="0" w:line="18"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strategic collaborations with others;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capital needs and financing sources;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adequacy of existing capital to support operations for a specified time;</w:t>
      </w:r>
    </w:p>
    <w:p>
      <w:pPr>
        <w:spacing w:after="0" w:line="6" w:lineRule="exact"/>
        <w:rPr>
          <w:rFonts w:ascii="Arial" w:cs="Arial" w:eastAsia="Arial" w:hAnsi="Arial"/>
          <w:sz w:val="17"/>
          <w:szCs w:val="17"/>
          <w:color w:val="auto"/>
        </w:rPr>
      </w:pPr>
    </w:p>
    <w:p>
      <w:pPr>
        <w:ind w:left="1200" w:hanging="291"/>
        <w:spacing w:after="0" w:line="234"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reimbursement for our products;</w:t>
      </w: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a response to the FDA’s CRL regarding the NexoBrid BLA;</w:t>
      </w:r>
    </w:p>
    <w:p>
      <w:pPr>
        <w:spacing w:after="0" w:line="4" w:lineRule="exact"/>
        <w:rPr>
          <w:rFonts w:ascii="Arial" w:cs="Arial" w:eastAsia="Arial" w:hAnsi="Arial"/>
          <w:sz w:val="17"/>
          <w:szCs w:val="17"/>
          <w:color w:val="auto"/>
        </w:rPr>
      </w:pPr>
    </w:p>
    <w:p>
      <w:pPr>
        <w:ind w:left="1200" w:hanging="291"/>
        <w:spacing w:after="0" w:line="236" w:lineRule="auto"/>
        <w:tabs>
          <w:tab w:leader="none" w:pos="1200" w:val="left"/>
        </w:tabs>
        <w:numPr>
          <w:ilvl w:val="0"/>
          <w:numId w:val="9"/>
        </w:numPr>
        <w:rPr>
          <w:rFonts w:ascii="Arial" w:cs="Arial" w:eastAsia="Arial" w:hAnsi="Arial"/>
          <w:sz w:val="20"/>
          <w:szCs w:val="20"/>
          <w:color w:val="auto"/>
        </w:rPr>
      </w:pPr>
      <w:r>
        <w:rPr>
          <w:rFonts w:ascii="Arial" w:cs="Arial" w:eastAsia="Arial" w:hAnsi="Arial"/>
          <w:sz w:val="17"/>
          <w:szCs w:val="17"/>
          <w:color w:val="auto"/>
        </w:rPr>
        <w:t>the timing of the FDA’s review of any resubmission of the NexoBrid BLA;</w:t>
      </w:r>
    </w:p>
    <w:p>
      <w:pPr>
        <w:spacing w:after="0" w:line="2" w:lineRule="exact"/>
        <w:rPr>
          <w:rFonts w:ascii="Arial" w:cs="Arial" w:eastAsia="Arial" w:hAnsi="Arial"/>
          <w:sz w:val="20"/>
          <w:szCs w:val="20"/>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expectations regarding approval by the FDA of the NexoBrid BLA;</w:t>
      </w:r>
    </w:p>
    <w:p>
      <w:pPr>
        <w:spacing w:after="0" w:line="4"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development and marketing plans;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features and successes of our therapies;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clinical trial plans, including publication thereof;</w:t>
      </w:r>
    </w:p>
    <w:p>
      <w:pPr>
        <w:spacing w:after="0" w:line="6" w:lineRule="exact"/>
        <w:rPr>
          <w:rFonts w:ascii="Arial" w:cs="Arial" w:eastAsia="Arial" w:hAnsi="Arial"/>
          <w:sz w:val="17"/>
          <w:szCs w:val="17"/>
          <w:color w:val="auto"/>
        </w:rPr>
      </w:pPr>
    </w:p>
    <w:p>
      <w:pPr>
        <w:ind w:left="1220" w:right="140" w:hanging="311"/>
        <w:spacing w:after="0" w:line="247" w:lineRule="auto"/>
        <w:tabs>
          <w:tab w:leader="none" w:pos="12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effects of the COVID-19 pandemic on our business, including economic slowdowns or recessions, impact to our operations or to the healthcare industry generally, which could reduce demand for our products;</w:t>
      </w:r>
    </w:p>
    <w:p>
      <w:pPr>
        <w:spacing w:after="0" w:line="1"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anticipation of future losses;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replacement of manufacturing sources;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commercialization plans;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7" w:name="page28"/>
    <w:bookmarkEnd w:id="27"/>
    <w:p>
      <w:pPr>
        <w:ind w:left="1200" w:hanging="291"/>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revenue expectations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2"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As of June 30, 2021, we held marketable debt securities, which are classified as available-for-sale and carried at fair value in the accompanying Condensed Consolidated Balance Sheet included in this Form 10-Q.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$0.4 million and $0.5 million decrease in the fair value of our investment portfolio as of June 30, 2021 and December 31, 2020, respectively.</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 xml:space="preserve">We have evaluated the potential credit risk exposure for our accounts receivable and available-for sale investment securities in accordance with </w:t>
      </w:r>
      <w:r>
        <w:rPr>
          <w:rFonts w:ascii="Arial" w:cs="Arial" w:eastAsia="Arial" w:hAnsi="Arial"/>
          <w:sz w:val="17"/>
          <w:szCs w:val="17"/>
          <w:i w:val="1"/>
          <w:iCs w:val="1"/>
          <w:color w:val="auto"/>
        </w:rPr>
        <w:t>ASC 326,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w:t>
      </w:r>
      <w:r>
        <w:rPr>
          <w:rFonts w:ascii="Arial" w:cs="Arial" w:eastAsia="Arial" w:hAnsi="Arial"/>
          <w:sz w:val="17"/>
          <w:szCs w:val="17"/>
          <w:color w:val="auto"/>
        </w:rPr>
        <w:t>See note 4 and note 8, for further discussion.</w:t>
      </w:r>
    </w:p>
    <w:p>
      <w:pPr>
        <w:spacing w:after="0" w:line="191"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7"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June 30, 2021, the Company’s Certifying Officers concluded that the Company’s disclosure controls and procedures were effective.</w:t>
      </w:r>
    </w:p>
    <w:p>
      <w:pPr>
        <w:spacing w:after="0" w:line="184"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7"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During the three months ended June 30, 2021,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We are currently not party to any material legal proceedings, although from time to time we may become involved in disputes in connection with the operation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7" w:lineRule="exact"/>
        <w:rPr>
          <w:sz w:val="20"/>
          <w:szCs w:val="20"/>
          <w:color w:val="auto"/>
        </w:rPr>
      </w:pPr>
    </w:p>
    <w:p>
      <w:pPr>
        <w:jc w:val="both"/>
        <w:ind w:firstLine="278"/>
        <w:spacing w:after="0" w:line="269" w:lineRule="auto"/>
        <w:rPr>
          <w:sz w:val="20"/>
          <w:szCs w:val="20"/>
          <w:color w:val="auto"/>
        </w:rPr>
      </w:pPr>
      <w:r>
        <w:rPr>
          <w:rFonts w:ascii="Arial" w:cs="Arial" w:eastAsia="Arial" w:hAnsi="Arial"/>
          <w:sz w:val="16"/>
          <w:szCs w:val="16"/>
          <w:color w:val="auto"/>
        </w:rPr>
        <w:t>Certain risks described below update the risk factors discussed in Part I, Item 1A, “Risk Factors,” of our Annual Report on Form 10-K for the fiscal year ended December 31, 2020, as well as the Risk Factors discussed in Part II, Item 1A, “Risk Factors,” of our Quarterly Report on Form 10-Q for the quarter ended March 31, 2021, and expound upon and amend the specific risks resulting from the COVID-19 pandemic, as well as the specific risks related to the U.S. Food &amp; Drug Administration’s review of any resubmission of the NexoBrid BLA for the approval of NexoBrid in the United States. Each of these risks, as well as those discussed in our previous filings could materially affect our business, financial condition, results of operations, or cash flows. The risks described below and in our previous filings are not the only risks we face. Additional risks and uncertainties not currently known or currently deemed to be immaterial also may materially and adversely affect our business, financial condition, results of operations or cash flows.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The current and ongoing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02"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Broad-based business or economic disruptions could adversely affect our ongoing or planned research, development and commercialization activities. For example, the COVID-19 pandemic has created significant disruptions to the U.S. and global economy and has contributed, at times, to significant volatility in financial markets.</w:t>
      </w:r>
    </w:p>
    <w:p>
      <w:pPr>
        <w:jc w:val="both"/>
        <w:spacing w:after="0" w:line="290" w:lineRule="auto"/>
        <w:rPr>
          <w:sz w:val="20"/>
          <w:szCs w:val="20"/>
          <w:color w:val="auto"/>
        </w:rPr>
      </w:pPr>
      <w:r>
        <w:rPr>
          <w:rFonts w:ascii="Arial" w:cs="Arial" w:eastAsia="Arial" w:hAnsi="Arial"/>
          <w:sz w:val="15"/>
          <w:szCs w:val="15"/>
          <w:color w:val="auto"/>
        </w:rPr>
        <w:t>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 as they have existed from time-to-time during the pandemic.</w:t>
      </w:r>
    </w:p>
    <w:p>
      <w:pPr>
        <w:spacing w:after="0" w:line="180"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Even though widespread distribution of vaccines designed to protect against COVID-19 infection began in the United States and other countries throughout the world in early 2021, the pandemic remains unpredictable and the number of COVID-19 infections has fluctuated significantly in various geographies during 2020 and throughout 2021 and could continue to do so, particularly in light of emerging variant strains. As such, some state and local governments have re-instituted restrictions on businesses, travel, and personal activities from time-to-time and additional such measures may occur in the future as the pandemic evolves.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At the outset of the pandemic, the Company put in place a comprehensive workplace protection plan, which instituted protective measures in response to COVID-</w:t>
      </w:r>
    </w:p>
    <w:p>
      <w:pPr>
        <w:spacing w:after="0" w:line="67" w:lineRule="exact"/>
        <w:rPr>
          <w:sz w:val="20"/>
          <w:szCs w:val="20"/>
          <w:color w:val="auto"/>
        </w:rPr>
      </w:pPr>
    </w:p>
    <w:p>
      <w:pPr>
        <w:jc w:val="both"/>
        <w:ind w:firstLine="1"/>
        <w:spacing w:after="0" w:line="293" w:lineRule="auto"/>
        <w:tabs>
          <w:tab w:leader="none" w:pos="273"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Company’s workplace protection plan closely followed guidance issued by the CDC and complied with applicable federal and state law. Because vaccines designed to protect against COVID-19 have become readily available in the United States and the rates of COVID-19 infections, hospitalizations and deaths in the majority of the U.S. have declined since the beginning of 2021, the CDC and the OSHA have altered their guidance for Americans, and emergency orders and mandatory workplace protocols in Michigan and Massachusetts have either been rescinded or greatly reduced – to include the lifting of all capacity limitations on</w:t>
      </w:r>
    </w:p>
    <w:p>
      <w:pPr>
        <w:spacing w:after="0" w:line="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businesses in both states. Accordingly, Vericel is planning for a return to more normal workplace operations, but will continue to modify its workplace protection plan and will reinstitute protective measures for its workforce as necessary. The Company is reviewing its policies and procedures regularly as the pandemic evolves and</w:t>
      </w:r>
    </w:p>
    <w:p>
      <w:pPr>
        <w:spacing w:after="0"/>
        <w:rPr>
          <w:sz w:val="20"/>
          <w:szCs w:val="20"/>
          <w:color w:val="auto"/>
        </w:rPr>
      </w:pPr>
      <w:r>
        <w:rPr>
          <w:rFonts w:ascii="Arial" w:cs="Arial" w:eastAsia="Arial" w:hAnsi="Arial"/>
          <w:sz w:val="17"/>
          <w:szCs w:val="17"/>
          <w:color w:val="auto"/>
        </w:rPr>
        <w:t>may take additional actions to the extent required. Both these and any future actions we take may result in disruption to our business.</w:t>
      </w:r>
    </w:p>
    <w:p>
      <w:pPr>
        <w:spacing w:after="0" w:line="23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9" w:name="page30"/>
    <w:bookmarkEnd w:id="29"/>
    <w:p>
      <w:pPr>
        <w:jc w:val="both"/>
        <w:spacing w:after="0" w:line="258" w:lineRule="auto"/>
        <w:rPr>
          <w:sz w:val="20"/>
          <w:szCs w:val="20"/>
          <w:color w:val="auto"/>
        </w:rPr>
      </w:pPr>
      <w:r>
        <w:rPr>
          <w:rFonts w:ascii="Arial" w:cs="Arial" w:eastAsia="Arial" w:hAnsi="Arial"/>
          <w:sz w:val="17"/>
          <w:szCs w:val="17"/>
          <w:color w:val="auto"/>
        </w:rPr>
        <w:t>of the pandemic and containment measures, among others. The rapid development and uncertainty of this situation precludes any prediction as to the full adverse impact of the COVID-19 pandemic. Nevertheless, the COVID-19 pandemic has and could continue to adversely affect our business, financial condition and results of operations, and it may have the effect of heightening many of the risks described herein, including the below.</w:t>
      </w:r>
    </w:p>
    <w:p>
      <w:pPr>
        <w:spacing w:after="0" w:line="202" w:lineRule="exact"/>
        <w:rPr>
          <w:sz w:val="20"/>
          <w:szCs w:val="20"/>
          <w:color w:val="auto"/>
        </w:rPr>
      </w:pPr>
    </w:p>
    <w:p>
      <w:pPr>
        <w:jc w:val="both"/>
        <w:ind w:left="600" w:hanging="297"/>
        <w:spacing w:after="0" w:line="266"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Hospitals, health systems and surgeons minimized, postponed, or canceled electively scheduled surgeries during the initial wave of the pandemic in the spring of 2020. These actions were followed by numerous state-level executive orders either restricting or partially restricting elective surgeries. Because MACI is an elective surgical procedure, as a result of these restrictions the Company experienced a significant increase in cancellations of scheduled MACI procedures as well as a slowdown in new MACI orders during March and April of 2020, which negatively impacted the Company’s business and results of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Although hospitals are now better prepared for a subsequent surge in COVID-19 patients and COVID-19 vaccines have been made available and are being widely distributed in the United States, the risk remains that regional or local restrictions could again be placed on the performance of elective surgical procedures if the number of COVID-19 infections in the United States were to rise again, or if new or existing COVID-19 variants render current vaccine treatments ineffective. We believe our MACI business will be negatively impacted if elective surgical procedures are again restricted. Further, renewed and material disruption to the operations of our employees, distributors, suppliers or customers will impact our sales and operating results and could lead to potential impairments to inventory and accounts receivable. Although Epicel has been less directly impacted by the pandemic given the critical nature of severe burn injuries, it is difficult to ascertain the current or future impact of COVID-19 on the treatment of severe burns.</w:t>
      </w:r>
    </w:p>
    <w:p>
      <w:pPr>
        <w:spacing w:after="0" w:line="196" w:lineRule="exact"/>
        <w:rPr>
          <w:rFonts w:ascii="Arial" w:cs="Arial" w:eastAsia="Arial" w:hAnsi="Arial"/>
          <w:sz w:val="16"/>
          <w:szCs w:val="16"/>
          <w:color w:val="auto"/>
        </w:rPr>
      </w:pPr>
    </w:p>
    <w:p>
      <w:pPr>
        <w:jc w:val="both"/>
        <w:ind w:left="600" w:hanging="297"/>
        <w:spacing w:after="0" w:line="266"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currently conducting the PEAK (A Study of MACI in Patients Aged 10 to 17 Years with Symptomatic Chondral or Osteochondral Defects of the Knee) Study at ten (10) sites throughout the United States. Two (2) such sites have currently paused enrollment of new PEAK patients as a result of the effects of the pandemic, and the PEAK Study experienced a slow-down in its traditional rate of patient enrollment during 2020 and throughout 2021. Furthermore, the PEAK Study or another of our clinical trials may in the future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 future outbreak may also affect employees of third-party contract research organizations located in affected geographies that we rely upon to carry out our clinical trials.</w:t>
      </w:r>
    </w:p>
    <w:p>
      <w:pPr>
        <w:spacing w:after="0" w:line="200" w:lineRule="exact"/>
        <w:rPr>
          <w:rFonts w:ascii="Arial" w:cs="Arial" w:eastAsia="Arial" w:hAnsi="Arial"/>
          <w:sz w:val="16"/>
          <w:szCs w:val="16"/>
          <w:color w:val="auto"/>
        </w:rPr>
      </w:pPr>
    </w:p>
    <w:p>
      <w:pPr>
        <w:jc w:val="both"/>
        <w:ind w:left="600" w:hanging="297"/>
        <w:spacing w:after="0" w:line="285" w:lineRule="auto"/>
        <w:tabs>
          <w:tab w:leader="none" w:pos="596"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continue to manufacture MACI and Epicel and we maintain a significant safety back-up of all key raw materials. We do not currently expect that supply chain interruptions will impact our ongoing manufacturing operations. However, we currently rely on both domestic and international third parties to, among other things, manufacture and supply raw materials, which are used to produce our products, and supply other goods and services to run our business. If any such third parties in our supply chain are adversely impacted by current or future restrictions or executive orders resulting from the COVID-19 pandemic for an extended period of time, including staffing shortages, production slowdowns, disruptions in delivery systems, or federal, state or foreign orders requiring the diversion of key supplies for use in the production or manufacturing of vaccines designed to inoculate individuals against COVID-19, our supply chain may be disrupted, limiting our ability to manufacture our products and product candidates and conduct our research and development operations, or commercially launch any of our product candidates, if approved. With respect to customer delivery, MACI final product has an established shelf life of six (6) days and established shipping shelf life of three (3) days. Currently, MACI is picked-up by courier and shipped by commercial air or ground transportation to our customers’ locations. Epicel final product has an established shelf life of 24 hours and is hand carried to customer hospital sites by courier. Transportation is primarily by commercial or charter airline. Although we have not experienced material shipping delays or increased costs to date, significant disruption of air travel in the future could result in the inability to deliver MACI or Epicel final products to customer sites within appropriate timeframes, which would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jc w:val="both"/>
        <w:ind w:left="300" w:hanging="297"/>
        <w:spacing w:after="0" w:line="266"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Throughout much of the pandemic, we generally restricted on-site staff in our facilities to only those personnel and contractors who are required to perform essential activities related to the manufacture, production and delivery of our products. We encouraged the majority of our remaining employees to work remotely. Since early 2021, vaccines designed to protect against COVID-19 infection have become readily available in the United States and the rates of COVID-19 infections, hospitalizations and deaths in the U.S. have generally declined. The CDC and OSHA have altered their guidance for Americans, and emergency orders and mandatory workplace protocols in Michigan and Massachusetts have either been rescinded or greatly reduced – to include the lifting of all capacity limitations on businesses in both states. Accordingly, Vericel is planning for a return to more normal workplace operations but will continue to modify its workplace protection plan and will reinstitute protective measures for its workforce as necessary. We expect that some of our employees will continue to work remotely from time to time. A resurgence of COVID-19, COVID-19 variants, or similar infectious diseases in the U.S., however, may lead to future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00" w:lineRule="exact"/>
        <w:rPr>
          <w:rFonts w:ascii="Arial" w:cs="Arial" w:eastAsia="Arial" w:hAnsi="Arial"/>
          <w:sz w:val="16"/>
          <w:szCs w:val="16"/>
          <w:color w:val="auto"/>
        </w:rPr>
      </w:pPr>
    </w:p>
    <w:p>
      <w:pPr>
        <w:jc w:val="both"/>
        <w:ind w:left="300" w:hanging="297"/>
        <w:spacing w:after="0" w:line="267"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reliance on certain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third-party contractors and suppliers, clinical trial sites and other important agencies and contractors. Our business operations may be further disrupted if any of our employees, officers or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 A resurgence of COVID-19 or COVID-19 variants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As a result, this could delay timely completion of ongoing clinical trials or preclinical activities, and our ability to select future development candidates.</w:t>
      </w:r>
    </w:p>
    <w:p>
      <w:pPr>
        <w:spacing w:after="0" w:line="194" w:lineRule="exact"/>
        <w:rPr>
          <w:rFonts w:ascii="Arial" w:cs="Arial" w:eastAsia="Arial" w:hAnsi="Arial"/>
          <w:sz w:val="16"/>
          <w:szCs w:val="16"/>
          <w:color w:val="auto"/>
        </w:rPr>
      </w:pPr>
    </w:p>
    <w:p>
      <w:pPr>
        <w:jc w:val="both"/>
        <w:ind w:left="300" w:hanging="297"/>
        <w:spacing w:after="0" w:line="265"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NexoBrid is currently a pre-commercial product in North America. On June 29, 2021, we announced that MediWound had received a CRL regarding the BLA and that the FDA communicated to MediWound that it had completed its review of the BLA, as amended, and had determined that it cannot approve the BLA in its present form. We announced further that we are working with MediWound and the FDA to address the issues identified in the CRL to seek potential approval of NexoBrid. Health regulatory agencies, including the FDA, have experienced and may continue to experience disruptions in their operations as a result of the continued spread or resurgence of the COVID-19 pandemic. For instance, the COVID-19 pandemic may impact the FDA’s response times to regulatory submissions, like a BLA resubmission in response to the CRL, and its ability to monitor our clinical trials. Additionally, in many instances across the industry, the FDA has postponed, or has been unable to conduct certain inspections of domestic and international manufacturing facilities in connection with its regulatory review of product applications as a result of travel and other restrictions caused by the pandemic. As part of its review of the BLA, and any BLA resubmission, the FDA has communicated to MediWound that physical Current Good Manufacturing Practice (cGMP) inspections of manufacturing facilities in Israel and Taiwan are required before the BLA can be approved, as the FDA must assess the ability of those facilities to conduct certain manufacturing operations in compliance with cGMP. The FDA indicated that because of restrictions on travel caused by the COVID-19 pandemic, the agency was unable to conduct the required inspections of those facilities during the original BLA review cycle. Should continued restrictions prevent or delay the FDA in conducting necessary reviews or physical inspections of the manufacturing facilities involved in the production of NexoBrid, or should other events impact the FDA’s response times, the timeline for approval of NexoBrid could be materially and further delayed, which could materially affect the development, study and ultimate commercialization of the product.</w:t>
      </w:r>
    </w:p>
    <w:p>
      <w:pPr>
        <w:spacing w:after="0" w:line="205" w:lineRule="exact"/>
        <w:rPr>
          <w:rFonts w:ascii="Arial" w:cs="Arial" w:eastAsia="Arial" w:hAnsi="Arial"/>
          <w:sz w:val="16"/>
          <w:szCs w:val="16"/>
          <w:color w:val="auto"/>
        </w:rPr>
      </w:pPr>
    </w:p>
    <w:p>
      <w:pPr>
        <w:jc w:val="both"/>
        <w:ind w:left="300" w:hanging="297"/>
        <w:spacing w:after="0" w:line="255" w:lineRule="auto"/>
        <w:tabs>
          <w:tab w:leader="none" w:pos="2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trading prices of our common stock and that of other biopharmaceutical companies have been highly volatile during the COVID-19 pandemic. As a result, we may face difficulties raising capital through sales of our common stock or such sales may be on unfavorable terms. In addition, a recession, depression or other sustained adverse market event resulting from the continued spread or a resurgence of the COVID-19 pandemic could materially and adversely affect our business and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63500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40"/>
          </w:cols>
          <w:pgMar w:left="620" w:top="846" w:right="339" w:bottom="1440" w:gutter="0" w:footer="0" w:header="0"/>
        </w:sectPr>
      </w:pPr>
    </w:p>
    <w:bookmarkStart w:id="31" w:name="page32"/>
    <w:bookmarkEnd w:id="31"/>
    <w:p>
      <w:pPr>
        <w:jc w:val="both"/>
        <w:ind w:left="600" w:hanging="297"/>
        <w:spacing w:after="0" w:line="284" w:lineRule="auto"/>
        <w:tabs>
          <w:tab w:leader="none" w:pos="59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negative economic effects of the pandemic have, at times, caused increased unemployment in the U.S. resulting in many individuals losing their employer-based insurance coverage. Although the economy has begun to recover from the pandemic’s initial effects, the continued or future unemployment of our potential patients may adversely affect our ability to commercialize our products. In addition, market disruption or rising unemployment caused by a resurgence of the COVID-19 pandemic or a variant strain thereof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continued outbreak or a worsening of COVID-19 may also negatively impact our commercialization strategy for our products and product candidates, if approved. At times during the pandemic, hospitals and other medical institutions have reduced and diverted staffing, diverted resources to patients suffering from COVID-19 and limited hospital access for non-patients, which has included our sales personnel. Hospitals may continue or increase these and similar measures in the future should the COVID-19 virus continue to spread or surge in certain areas. In addition, COVID-19 levels in the United States and/or specific regions of the United States may cause customers or patients to postpone or cancel previously scheduled surgeries or to decline to schedule surgeries utilizing our products, which would negatively impact our operations and financial results. Although many face-to-face interactions are again resuming, our sales personnel, at times, have conducted, and may continue to have to conduct, many of their interactions with physicians and patients through the use of 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191"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NexoBrid’s approval in the United States for the treatment of severe burns may be further delayed, or it may not be approved for use in the United States and other North American markets at all.</w:t>
      </w:r>
    </w:p>
    <w:p>
      <w:pPr>
        <w:spacing w:after="0" w:line="191"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On September 16, 2020, we announced that the FDA had accepted for review MediWound’s BLA seeking marketing approval for NexoBrid in the United States for the treatment of severe burns, and had assigned a PDUFA target date for the product of June 29, 2021. The BLA submission is based in large part on data derived from a U.S. Phase 3 pivotal study. MediWound is conducting twelve and twenty-four month safety follow-ups for cosmesis, function, quality of life and other safety measurements. Data from MediWound’s twelve-month follow-up has been compiled and is being evaluated by the FDA, while data from the twenty-four month follow-up will be submitted to the agency as a safety update - either in connection with a BLA resubmission or as part of a post-approval commitment, if the BLA is approved. While this and previous studies evaluating NexoBrid have met their primary endpoints, we cannot predict the outcome of the planned safety follow-ups or whether the FDA will approve the BLA based on the available preclinical and clinical data and the submitted manufacturing processes, and the cGMP data.</w:t>
      </w:r>
    </w:p>
    <w:p>
      <w:pPr>
        <w:spacing w:after="0" w:line="218"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 xml:space="preserve">Subsequently, on June 29, 2021, we announced that MediWound received a CRL from the FDA regarding the BLA for NexoBrid. The FDA communicated to MediWound that it had completed its review of the BLA, as amended, and had determined that it cannot approve the BLA in its present form. </w:t>
      </w:r>
      <w:r>
        <w:rPr>
          <w:rFonts w:ascii="Arial" w:cs="Arial" w:eastAsia="Arial" w:hAnsi="Arial"/>
          <w:sz w:val="16"/>
          <w:szCs w:val="16"/>
          <w:color w:val="212529"/>
        </w:rPr>
        <w:t>The FDA identified</w:t>
      </w:r>
      <w:r>
        <w:rPr>
          <w:rFonts w:ascii="Arial" w:cs="Arial" w:eastAsia="Arial" w:hAnsi="Arial"/>
          <w:sz w:val="16"/>
          <w:szCs w:val="16"/>
          <w:color w:val="auto"/>
        </w:rPr>
        <w:t xml:space="preserve"> </w:t>
      </w:r>
      <w:r>
        <w:rPr>
          <w:rFonts w:ascii="Arial" w:cs="Arial" w:eastAsia="Arial" w:hAnsi="Arial"/>
          <w:sz w:val="16"/>
          <w:szCs w:val="16"/>
          <w:color w:val="212529"/>
        </w:rPr>
        <w:t>issues related to the CMC section of the BLA and had requested that MediWound provide additional CMC information. The FDA stated that it had not reviewed several amendments submitted by MediWound in response to the CMC information requests related to the BLA.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CRL referenced observations that were made during GCP inspections related to the DETECT study and requested that MediWound address questions regarding the impact of the observations on the study’s efficacy findings. The FDA also requested that MediWound provide a safety update as part of a BLA resubmission.</w:t>
      </w:r>
    </w:p>
    <w:p>
      <w:pPr>
        <w:spacing w:after="0" w:line="197"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While we intend to work with MediWound and the FDA to address the issues identified in the CRL to seek the potential approval of NexoBrid, we cannot predict how long it will take for MediWound and/or the Company to respond to the CRL. We also cannot predict whether the FDA will accept any such resubmission for</w:t>
      </w:r>
    </w:p>
    <w:p>
      <w:pPr>
        <w:jc w:val="both"/>
        <w:spacing w:after="0" w:line="270" w:lineRule="auto"/>
        <w:rPr>
          <w:sz w:val="20"/>
          <w:szCs w:val="20"/>
          <w:color w:val="auto"/>
        </w:rPr>
      </w:pPr>
      <w:r>
        <w:rPr>
          <w:rFonts w:ascii="Arial" w:cs="Arial" w:eastAsia="Arial" w:hAnsi="Arial"/>
          <w:sz w:val="17"/>
          <w:szCs w:val="17"/>
          <w:color w:val="auto"/>
        </w:rPr>
        <w:t>review, and, if such resubmission is accepted for review, the length of time of any subsequent FDA review. We also cannot predict whether FDA will ultimately approve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6"/>
          <w:szCs w:val="16"/>
          <w:color w:val="auto"/>
        </w:rPr>
        <w:t>NexoBrid BLA. In addition, if approval to market NexoBrid is sought in Mexico or Canada, we cannot predict how long regulatory authorities in those countries will take to provide NexoBrid with marketing authorization in their jurisdictions or whether such authorizations will be granted at all. A significant delay or a failure to receive regulatory approval for NexoBrid in the United States may have a material adverse impact on our business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6. Exhibits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Exhibits listed in the Exhibit Index are filed as a part of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5"/>
          </w:tcPr>
          <w:p>
            <w:pPr>
              <w:ind w:left="3240"/>
              <w:spacing w:after="0"/>
              <w:rPr>
                <w:sz w:val="20"/>
                <w:szCs w:val="20"/>
                <w:color w:val="auto"/>
              </w:rPr>
            </w:pPr>
            <w:r>
              <w:rPr>
                <w:rFonts w:ascii="Arial" w:cs="Arial" w:eastAsia="Arial" w:hAnsi="Arial"/>
                <w:sz w:val="17"/>
                <w:szCs w:val="17"/>
                <w:b w:val="1"/>
                <w:bCs w:val="1"/>
                <w:color w:val="auto"/>
              </w:rPr>
              <w:t>EXHIBIT INDEX</w:t>
            </w:r>
          </w:p>
        </w:tc>
      </w:tr>
      <w:tr>
        <w:trPr>
          <w:trHeight w:val="487"/>
        </w:trPr>
        <w:tc>
          <w:tcPr>
            <w:tcW w:w="17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Exhibit No.</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3"/>
                <w:szCs w:val="13"/>
                <w:b w:val="1"/>
                <w:bCs w:val="1"/>
                <w:color w:val="auto"/>
              </w:rPr>
              <w:t>Description</w:t>
            </w:r>
          </w:p>
        </w:tc>
      </w:tr>
      <w:tr>
        <w:trPr>
          <w:trHeight w:val="389"/>
        </w:trPr>
        <w:tc>
          <w:tcPr>
            <w:tcW w:w="1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31.1**</w:t>
            </w:r>
          </w:p>
        </w:tc>
        <w:tc>
          <w:tcPr>
            <w:tcW w:w="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5"/>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Certification of Chief Executive Officer pursuant to Section 302 of the Sarbanes-Oxley Act of 2002.</w:t>
              </w:r>
            </w:hyperlink>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31.2**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0"/>
              </w:rPr>
            </w:pPr>
            <w:hyperlink w:anchor="page37">
              <w:r>
                <w:rPr>
                  <w:rFonts w:ascii="Arial" w:cs="Arial" w:eastAsia="Arial" w:hAnsi="Arial"/>
                  <w:sz w:val="17"/>
                  <w:szCs w:val="17"/>
                  <w:color w:val="0000FF"/>
                  <w:w w:val="90"/>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640" w:type="dxa"/>
            <w:vAlign w:val="bottom"/>
            <w:gridSpan w:val="2"/>
          </w:tcPr>
          <w:p>
            <w:pPr>
              <w:spacing w:after="0"/>
              <w:rPr>
                <w:sz w:val="24"/>
                <w:szCs w:val="24"/>
                <w:color w:val="auto"/>
              </w:rPr>
            </w:pPr>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5"/>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Certification of Chief Executive Officer pursuant to Section 906 of the Sarbanes-Oxley Act of 2002.</w:t>
              </w:r>
            </w:hyperlink>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Certification of Chief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640" w:type="dxa"/>
            <w:vAlign w:val="bottom"/>
            <w:gridSpan w:val="2"/>
          </w:tcPr>
          <w:p>
            <w:pPr>
              <w:spacing w:after="0"/>
              <w:rPr>
                <w:sz w:val="24"/>
                <w:szCs w:val="24"/>
                <w:color w:val="auto"/>
              </w:rPr>
            </w:pPr>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5"/>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Amended and Restated Non-Employee Director Compensation Guidelines (Revised April 28, 2021).</w:t>
              </w:r>
            </w:hyperlink>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tcBorders>
              <w:top w:val="single" w:sz="8" w:color="0000FF"/>
              <w:bottom w:val="single" w:sz="8" w:color="0000FF"/>
            </w:tcBorders>
          </w:tcPr>
          <w:p>
            <w:pPr>
              <w:spacing w:after="0"/>
              <w:rPr>
                <w:rFonts w:ascii="Arial" w:cs="Arial" w:eastAsia="Arial" w:hAnsi="Arial"/>
                <w:sz w:val="17"/>
                <w:szCs w:val="17"/>
                <w:color w:val="0000FF"/>
                <w:w w:val="88"/>
              </w:rPr>
            </w:pPr>
            <w:hyperlink w:anchor="page41">
              <w:r>
                <w:rPr>
                  <w:rFonts w:ascii="Arial" w:cs="Arial" w:eastAsia="Arial" w:hAnsi="Arial"/>
                  <w:sz w:val="17"/>
                  <w:szCs w:val="17"/>
                  <w:color w:val="0000FF"/>
                  <w:w w:val="88"/>
                </w:rPr>
                <w:t>Consulting Agreement, dated July 2, 2021, by and between the Company and Sandra Pennell.</w:t>
              </w:r>
            </w:hyperlink>
          </w:p>
        </w:tc>
        <w:tc>
          <w:tcPr>
            <w:tcW w:w="460" w:type="dxa"/>
            <w:vAlign w:val="bottom"/>
            <w:tcBorders>
              <w:top w:val="single" w:sz="8" w:color="0000FF"/>
            </w:tcBorders>
            <w:gridSpan w:val="3"/>
          </w:tcPr>
          <w:p>
            <w:pPr>
              <w:spacing w:after="0"/>
              <w:rPr>
                <w:sz w:val="24"/>
                <w:szCs w:val="24"/>
                <w:color w:val="auto"/>
              </w:rPr>
            </w:pPr>
          </w:p>
        </w:tc>
        <w:tc>
          <w:tcPr>
            <w:tcW w:w="2620" w:type="dxa"/>
            <w:vAlign w:val="bottom"/>
          </w:tcPr>
          <w:p>
            <w:pPr>
              <w:spacing w:after="0"/>
              <w:rPr>
                <w:sz w:val="24"/>
                <w:szCs w:val="24"/>
                <w:color w:val="auto"/>
              </w:rPr>
            </w:pPr>
          </w:p>
        </w:tc>
      </w:tr>
      <w:tr>
        <w:trPr>
          <w:trHeight w:val="484"/>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w w:val="96"/>
              </w:rPr>
              <w:t>101.INS**</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7"/>
                <w:szCs w:val="17"/>
                <w:color w:val="auto"/>
              </w:rPr>
              <w:t>Inline XBRL Instance Document</w:t>
            </w: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w w:val="97"/>
              </w:rPr>
              <w:t>101.SCH**</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w w:val="93"/>
              </w:rPr>
              <w:t>101.PRE**</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466"/>
        </w:trPr>
        <w:tc>
          <w:tcPr>
            <w:tcW w:w="1720" w:type="dxa"/>
            <w:vAlign w:val="bottom"/>
            <w:gridSpan w:val="2"/>
          </w:tcPr>
          <w:p>
            <w:pPr>
              <w:jc w:val="center"/>
              <w:ind w:right="420"/>
              <w:spacing w:after="0"/>
              <w:rPr>
                <w:sz w:val="20"/>
                <w:szCs w:val="20"/>
                <w:color w:val="auto"/>
              </w:rPr>
            </w:pPr>
            <w:r>
              <w:rPr>
                <w:rFonts w:ascii="Arial" w:cs="Arial" w:eastAsia="Arial" w:hAnsi="Arial"/>
                <w:sz w:val="17"/>
                <w:szCs w:val="17"/>
                <w:color w:val="auto"/>
                <w:w w:val="97"/>
              </w:rPr>
              <w:t>101.DEF**</w:t>
            </w:r>
          </w:p>
        </w:tc>
        <w:tc>
          <w:tcPr>
            <w:tcW w:w="20" w:type="dxa"/>
            <w:vAlign w:val="bottom"/>
          </w:tcPr>
          <w:p>
            <w:pPr>
              <w:spacing w:after="0"/>
              <w:rPr>
                <w:sz w:val="24"/>
                <w:szCs w:val="24"/>
                <w:color w:val="auto"/>
              </w:rPr>
            </w:pPr>
          </w:p>
        </w:tc>
        <w:tc>
          <w:tcPr>
            <w:tcW w:w="9380" w:type="dxa"/>
            <w:vAlign w:val="bottom"/>
            <w:gridSpan w:val="5"/>
          </w:tcPr>
          <w:p>
            <w:pPr>
              <w:spacing w:after="0"/>
              <w:rPr>
                <w:sz w:val="20"/>
                <w:szCs w:val="20"/>
                <w:color w:val="auto"/>
              </w:rPr>
            </w:pPr>
            <w:r>
              <w:rPr>
                <w:rFonts w:ascii="Arial" w:cs="Arial" w:eastAsia="Arial" w:hAnsi="Arial"/>
                <w:sz w:val="17"/>
                <w:szCs w:val="17"/>
                <w:color w:val="auto"/>
              </w:rPr>
              <w:t>Inline XBRL Taxonomy Extension Definition Linkbase Document</w:t>
            </w:r>
          </w:p>
        </w:tc>
      </w:tr>
    </w:tbl>
    <w:p>
      <w:pPr>
        <w:spacing w:after="0" w:line="253" w:lineRule="exact"/>
        <w:rPr>
          <w:sz w:val="20"/>
          <w:szCs w:val="20"/>
          <w:color w:val="auto"/>
        </w:rPr>
      </w:pPr>
    </w:p>
    <w:p>
      <w:pPr>
        <w:ind w:left="1740" w:hanging="1210"/>
        <w:spacing w:after="0"/>
        <w:tabs>
          <w:tab w:leader="none" w:pos="1740" w:val="left"/>
        </w:tabs>
        <w:numPr>
          <w:ilvl w:val="1"/>
          <w:numId w:val="15"/>
        </w:numPr>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Cover Page Interactive Data File (formatted as Inline XBRL and contained in Exhibit 101).</w:t>
        </w:r>
      </w:hyperlink>
    </w:p>
    <w:p>
      <w:pPr>
        <w:spacing w:after="0" w:line="283" w:lineRule="exact"/>
        <w:rPr>
          <w:rFonts w:ascii="Arial" w:cs="Arial" w:eastAsia="Arial" w:hAnsi="Arial"/>
          <w:sz w:val="17"/>
          <w:szCs w:val="17"/>
          <w:u w:val="single" w:color="auto"/>
          <w:color w:val="0000FF"/>
        </w:rPr>
      </w:pPr>
    </w:p>
    <w:p>
      <w:pPr>
        <w:ind w:left="220" w:hanging="219"/>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20"/>
          </w:cols>
          <w:pgMar w:left="320" w:top="842" w:right="459" w:bottom="1440" w:gutter="0" w:footer="0" w:header="0"/>
        </w:sectPr>
      </w:pPr>
    </w:p>
    <w:bookmarkStart w:id="34" w:name="page35"/>
    <w:bookmarkEnd w:id="34"/>
    <w:p>
      <w:pPr>
        <w:jc w:val="center"/>
        <w:ind w:right="-519"/>
        <w:spacing w:after="0"/>
        <w:rPr>
          <w:sz w:val="20"/>
          <w:szCs w:val="20"/>
          <w:color w:val="auto"/>
        </w:rPr>
      </w:pPr>
      <w:r>
        <w:rPr>
          <w:rFonts w:ascii="Arial" w:cs="Arial" w:eastAsia="Arial" w:hAnsi="Arial"/>
          <w:sz w:val="17"/>
          <w:szCs w:val="17"/>
          <w:b w:val="1"/>
          <w:bCs w:val="1"/>
          <w:color w:val="auto"/>
        </w:rPr>
        <w:t>SIGNATURES</w:t>
      </w:r>
    </w:p>
    <w:p>
      <w:pPr>
        <w:spacing w:after="0" w:line="212"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2021</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VERICEL CORPORATION</w:t>
      </w:r>
    </w:p>
    <w:p>
      <w:pPr>
        <w:spacing w:after="0" w:line="200" w:lineRule="exact"/>
        <w:rPr>
          <w:sz w:val="20"/>
          <w:szCs w:val="20"/>
          <w:color w:val="auto"/>
        </w:rPr>
      </w:pPr>
    </w:p>
    <w:p>
      <w:pPr>
        <w:spacing w:after="0" w:line="24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48"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Joseph A. Mara</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20"/>
          </w:cols>
          <w:pgMar w:left="320" w:top="1069" w:right="85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Dominick C. Colangelo, certify that:</w:t>
      </w:r>
    </w:p>
    <w:p>
      <w:pPr>
        <w:spacing w:after="0" w:line="208" w:lineRule="exact"/>
        <w:rPr>
          <w:sz w:val="20"/>
          <w:szCs w:val="20"/>
          <w:color w:val="auto"/>
        </w:rPr>
      </w:pPr>
    </w:p>
    <w:p>
      <w:pPr>
        <w:ind w:left="760" w:hanging="457"/>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Vericel Corporation;</w:t>
      </w:r>
    </w:p>
    <w:p>
      <w:pPr>
        <w:spacing w:after="0" w:line="207" w:lineRule="exact"/>
        <w:rPr>
          <w:rFonts w:ascii="Arial" w:cs="Arial" w:eastAsia="Arial" w:hAnsi="Arial"/>
          <w:sz w:val="17"/>
          <w:szCs w:val="17"/>
          <w:color w:val="auto"/>
        </w:rPr>
      </w:pPr>
    </w:p>
    <w:p>
      <w:pPr>
        <w:ind w:right="700" w:firstLine="303"/>
        <w:spacing w:after="0" w:line="338" w:lineRule="auto"/>
        <w:tabs>
          <w:tab w:leader="none" w:pos="761"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40" w:firstLine="303"/>
        <w:spacing w:after="0" w:line="270" w:lineRule="auto"/>
        <w:tabs>
          <w:tab w:leader="none" w:pos="7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180" w:firstLine="303"/>
        <w:spacing w:after="0" w:line="258" w:lineRule="auto"/>
        <w:tabs>
          <w:tab w:leader="none" w:pos="7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right="380" w:firstLine="1098"/>
        <w:spacing w:after="0" w:line="258" w:lineRule="auto"/>
        <w:tabs>
          <w:tab w:leader="none" w:pos="132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600" w:firstLine="1098"/>
        <w:spacing w:after="0" w:line="258" w:lineRule="auto"/>
        <w:tabs>
          <w:tab w:leader="none" w:pos="133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860" w:firstLine="1098"/>
        <w:spacing w:after="0" w:line="301" w:lineRule="auto"/>
        <w:tabs>
          <w:tab w:leader="none" w:pos="13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360" w:firstLine="1098"/>
        <w:spacing w:after="0" w:line="258" w:lineRule="auto"/>
        <w:tabs>
          <w:tab w:leader="none" w:pos="133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600" w:firstLine="303"/>
        <w:spacing w:after="0" w:line="301" w:lineRule="auto"/>
        <w:tabs>
          <w:tab w:leader="none" w:pos="7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300" w:firstLine="1098"/>
        <w:spacing w:after="0" w:line="270" w:lineRule="auto"/>
        <w:tabs>
          <w:tab w:leader="none" w:pos="13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240" w:firstLine="1098"/>
        <w:spacing w:after="0" w:line="270" w:lineRule="auto"/>
        <w:tabs>
          <w:tab w:leader="none" w:pos="132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 August 4, 2021</w:t>
      </w:r>
    </w:p>
    <w:p>
      <w:pPr>
        <w:spacing w:after="0" w:line="33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Joseph A. Mara, certify that:</w:t>
      </w:r>
    </w:p>
    <w:p>
      <w:pPr>
        <w:spacing w:after="0" w:line="208" w:lineRule="exact"/>
        <w:rPr>
          <w:sz w:val="20"/>
          <w:szCs w:val="20"/>
          <w:color w:val="auto"/>
        </w:rPr>
      </w:pPr>
    </w:p>
    <w:p>
      <w:pPr>
        <w:ind w:left="400" w:hanging="17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Vericel Corporation;</w:t>
      </w:r>
    </w:p>
    <w:p>
      <w:pPr>
        <w:spacing w:after="0" w:line="207" w:lineRule="exact"/>
        <w:rPr>
          <w:rFonts w:ascii="Arial" w:cs="Arial" w:eastAsia="Arial" w:hAnsi="Arial"/>
          <w:sz w:val="17"/>
          <w:szCs w:val="17"/>
          <w:color w:val="auto"/>
        </w:rPr>
      </w:pPr>
    </w:p>
    <w:p>
      <w:pPr>
        <w:ind w:right="320" w:firstLine="228"/>
        <w:spacing w:after="0" w:line="301" w:lineRule="auto"/>
        <w:tabs>
          <w:tab w:leader="none" w:pos="3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400" w:firstLine="228"/>
        <w:spacing w:after="0" w:line="270" w:lineRule="auto"/>
        <w:tabs>
          <w:tab w:leader="none" w:pos="3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80" w:firstLine="228"/>
        <w:spacing w:after="0" w:line="338" w:lineRule="auto"/>
        <w:tabs>
          <w:tab w:leader="none" w:pos="395"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5"/>
          <w:szCs w:val="15"/>
          <w:color w:val="auto"/>
        </w:rPr>
      </w:pPr>
    </w:p>
    <w:p>
      <w:pPr>
        <w:ind w:right="220" w:firstLine="493"/>
        <w:spacing w:after="0" w:line="258"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320" w:firstLine="493"/>
        <w:spacing w:after="0" w:line="258" w:lineRule="auto"/>
        <w:tabs>
          <w:tab w:leader="none" w:pos="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20" w:firstLine="493"/>
        <w:spacing w:after="0" w:line="270"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right="40" w:firstLine="493"/>
        <w:spacing w:after="0" w:line="258" w:lineRule="auto"/>
        <w:tabs>
          <w:tab w:leader="none" w:pos="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firstLine="228"/>
        <w:spacing w:after="0" w:line="270" w:lineRule="auto"/>
        <w:tabs>
          <w:tab w:leader="none" w:pos="3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right="300" w:firstLine="493"/>
        <w:spacing w:after="0" w:line="270" w:lineRule="auto"/>
        <w:tabs>
          <w:tab w:leader="none" w:pos="711"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20" w:firstLine="493"/>
        <w:spacing w:after="0" w:line="270"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 August 4, 2021</w:t>
      </w:r>
    </w:p>
    <w:p>
      <w:pPr>
        <w:spacing w:after="0" w:line="334"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Joseph A. Mara</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ind w:right="160" w:firstLine="340"/>
        <w:spacing w:after="0" w:line="258" w:lineRule="auto"/>
        <w:rPr>
          <w:sz w:val="20"/>
          <w:szCs w:val="20"/>
          <w:color w:val="auto"/>
        </w:rPr>
      </w:pPr>
      <w:r>
        <w:rPr>
          <w:rFonts w:ascii="Arial" w:cs="Arial" w:eastAsia="Arial" w:hAnsi="Arial"/>
          <w:sz w:val="17"/>
          <w:szCs w:val="17"/>
          <w:color w:val="auto"/>
        </w:rPr>
        <w:t>In connection with the Quarterly Report of Vericel Corporation (the “Company”) on Form 10-Q for the quarter ended June 30, 2021,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7" w:lineRule="exact"/>
        <w:rPr>
          <w:sz w:val="20"/>
          <w:szCs w:val="20"/>
          <w:color w:val="auto"/>
        </w:rPr>
      </w:pPr>
    </w:p>
    <w:p>
      <w:pPr>
        <w:ind w:left="640" w:hanging="337"/>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and 15(d) of the Securities Exchange Act of 1934; and</w:t>
      </w:r>
    </w:p>
    <w:p>
      <w:pPr>
        <w:spacing w:after="0" w:line="207" w:lineRule="exact"/>
        <w:rPr>
          <w:rFonts w:ascii="Arial" w:cs="Arial" w:eastAsia="Arial" w:hAnsi="Arial"/>
          <w:sz w:val="17"/>
          <w:szCs w:val="17"/>
          <w:color w:val="auto"/>
        </w:rPr>
      </w:pPr>
    </w:p>
    <w:p>
      <w:pPr>
        <w:ind w:right="840" w:firstLine="303"/>
        <w:spacing w:after="0" w:line="517" w:lineRule="auto"/>
        <w:tabs>
          <w:tab w:leader="none" w:pos="6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August 4, 2021</w:t>
      </w:r>
    </w:p>
    <w:p>
      <w:pPr>
        <w:spacing w:after="0" w:line="9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Executive Officer)</w:t>
      </w:r>
    </w:p>
    <w:p>
      <w:pPr>
        <w:spacing w:after="0" w:line="2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42"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ind w:right="160" w:firstLine="340"/>
        <w:spacing w:after="0" w:line="258" w:lineRule="auto"/>
        <w:rPr>
          <w:sz w:val="20"/>
          <w:szCs w:val="20"/>
          <w:color w:val="auto"/>
        </w:rPr>
      </w:pPr>
      <w:r>
        <w:rPr>
          <w:rFonts w:ascii="Arial" w:cs="Arial" w:eastAsia="Arial" w:hAnsi="Arial"/>
          <w:sz w:val="17"/>
          <w:szCs w:val="17"/>
          <w:color w:val="auto"/>
        </w:rPr>
        <w:t>In connection with the Quarterly Report of Vericel Corporation (the “Company”) on Form 10-Q for the quarter ended June 30, 2021,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7" w:lineRule="exact"/>
        <w:rPr>
          <w:sz w:val="20"/>
          <w:szCs w:val="20"/>
          <w:color w:val="auto"/>
        </w:rPr>
      </w:pPr>
    </w:p>
    <w:p>
      <w:pPr>
        <w:ind w:left="640" w:hanging="337"/>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and 15(d) of the Securities Exchange Act of 1934; and</w:t>
      </w:r>
    </w:p>
    <w:p>
      <w:pPr>
        <w:spacing w:after="0" w:line="207" w:lineRule="exact"/>
        <w:rPr>
          <w:rFonts w:ascii="Arial" w:cs="Arial" w:eastAsia="Arial" w:hAnsi="Arial"/>
          <w:sz w:val="17"/>
          <w:szCs w:val="17"/>
          <w:color w:val="auto"/>
        </w:rPr>
      </w:pPr>
    </w:p>
    <w:p>
      <w:pPr>
        <w:ind w:right="840" w:firstLine="303"/>
        <w:spacing w:after="0" w:line="517" w:lineRule="auto"/>
        <w:tabs>
          <w:tab w:leader="none" w:pos="6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August 4, 2021</w:t>
      </w:r>
    </w:p>
    <w:p>
      <w:pPr>
        <w:spacing w:after="0" w:line="91"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Joseph A. Mara</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Financial Officer)</w:t>
      </w:r>
    </w:p>
    <w:p>
      <w:pPr>
        <w:spacing w:after="0" w:line="2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42"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857250</wp:posOffset>
            </wp:positionV>
            <wp:extent cx="2001520" cy="320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00152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Non-Employee Director Compensation Guidelines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(Revised April 28, 2021)</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Board of Directors of Vericel Corporation (the “Board”) has approved the following Amended and Restated Nonemployee Director Compensation Guidelines (the “Guidelines”), which apply to the compensation of outside directors for their service on the Board and which are designed to align their overall compensation with the interests of other shareholders. Pursuant to these Guidelines, the Chairman of the Board will receive an annual fee of $90,000 paid in equal quarterly increments. Each nonemployee director will receive an annual fee of $50,000 paid in equal quarterly increments. The chairperson of the Audit Committee of the Board (the “Audit Committee”) will receive an annual fee of $20,000, and each non-chair member of the Audit Committee will receive an annual fee of $10,000, payable quarterly. The chairperson of the Compensation Committee will receive an annual fee of $15,000, and each non-chair member of the Compensation Committee will receive an annual fee of $7,500, payable quarterly. The chairperson of the Governance and Nominating Committee of the Board (the “Governance Committee”) will receive an annual fee of $10,000, and each non-chair member of the Governance Committee will receive an annual fee of $5,000, payable quarterly. Directors will not be paid a separate amount for each board or committee meeting attended.</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Each nonemployee director who continues to serve beyond an Annual Shareholder Meeting will also receive a stock option to purchase 6,500 shares of Vericel common stock, granted on the date of each Annual Meeting and with an exercise price equal to the fair market value of the Company’s common stock on the date of grant, and a grant of 2,600 restricted stock units (RSUs). Such stock options shall vest in equal monthly increments over a period of one year subject to continued service through the applicable vesting date. The RSUs shall vest on the earlier of the first anniversary date of the RSU grant or the date of the first annual meeting following the grant, subject to continued service through the vesting date.</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Newly-appointed directors joining the Board during the period between Annual Meetings receive a grant for a pro rata amount of the shares subject to the option and a pro rata amount of the annual RSUs awarded (in each case reflecting the period of time until the next Annual Meeting). In addition, each newly-appointed director will receive a one-time stock option to purchase 3,250 shares of the Company’s common stock on the date of such director’s appointment, which will vest in equal monthly installments over three years, subject to continued service through the applicable vesting date. Each newly-appointed director will also receive a one-time grant on the date of such director’s appointment of 1,300 RSUs, which will vest in 1/3 annual increments over the course of three years, subject to continued service through the applicable vesting date. These equity grants are made under the terms of the Company’s then-current equity compensation plan, as previously approved by the shareholders. Stock options issued to directors shall terminate and may no longer be exercised after the first to occur of (a) the expiration date of the option, (b) 24 months after the date on which the director’s service with Vericel is terminated, or (c) a change in control as defined in the stock option agreement.</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7"/>
          <w:szCs w:val="17"/>
          <w:color w:val="auto"/>
        </w:rPr>
        <w:t>Non-employee directors have the ability to elect to receive RSUs upon vesting or RSUs with a deferred settlement. A non-employee director must elect to defer the receipt of a RSU grant by December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the year prior to the grant and during an open-trading window. Newly-appointed non-employee directors must make an election within thirty days of joining the Board. RSUs with deferred settlement are subject to vesting, but the shares are not issued until the earlier of (i) the termination of the non-employee director’s service to Vericel, or (ii) a change in control as defined in the RSU agreement. Further, upon the occurrence of such event the non-employee director shall be paid in shares of stock as soon as practicable, but in no event after the last day of the calendar year in which the event occurs or two and one-half months after the event occurs, whichever comes later.</w:t>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u w:val="single" w:color="auto"/>
          <w:color w:val="auto"/>
        </w:rPr>
        <w:t>Consulting Agreement</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Consulting Agreement is effective July 2, 2021 by and between Sandra Pennell, 3931 Lakes Edge Drive Commerce Twp, MI 48382 (“Consultant”) and Vericel Corporation, 64 Sidney Street, Cambridge, MA 02139 (“Vericel”).</w:t>
      </w:r>
    </w:p>
    <w:p>
      <w:pPr>
        <w:spacing w:after="0" w:line="191" w:lineRule="exact"/>
        <w:rPr>
          <w:sz w:val="20"/>
          <w:szCs w:val="20"/>
          <w:color w:val="auto"/>
        </w:rPr>
      </w:pPr>
    </w:p>
    <w:p>
      <w:pPr>
        <w:jc w:val="both"/>
        <w:ind w:left="600" w:hanging="297"/>
        <w:spacing w:after="0" w:line="255"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Consultant shall provide Vericel feedback, as requested, on various potential projects. Vericel shall compensate Consultant at an hourly rate of two hundred thirty US dollars ($230), which shall include preparation time. Unless otherwise agreed to by the Parties in writing, the fees and expenses under this Statement of Work shall not exceed fifteen thousand US dollars ($15,000). Consultant shall submit invoices consistent with Vericel instruction documenting the time spent on the services.</w:t>
      </w:r>
    </w:p>
    <w:p>
      <w:pPr>
        <w:spacing w:after="0" w:line="203" w:lineRule="exact"/>
        <w:rPr>
          <w:rFonts w:ascii="Arial" w:cs="Arial" w:eastAsia="Arial" w:hAnsi="Arial"/>
          <w:sz w:val="17"/>
          <w:szCs w:val="17"/>
          <w:color w:val="auto"/>
        </w:rPr>
      </w:pPr>
    </w:p>
    <w:p>
      <w:pPr>
        <w:ind w:left="600" w:hanging="297"/>
        <w:spacing w:after="0" w:line="270"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Consultant shall treat any and all material/information provided by Vericel as confidential and not share the material nor the information discussed with Vericel with any third parties.</w:t>
      </w:r>
    </w:p>
    <w:p>
      <w:pPr>
        <w:spacing w:after="0" w:line="190" w:lineRule="exact"/>
        <w:rPr>
          <w:rFonts w:ascii="Arial" w:cs="Arial" w:eastAsia="Arial" w:hAnsi="Arial"/>
          <w:sz w:val="17"/>
          <w:szCs w:val="17"/>
          <w:color w:val="auto"/>
        </w:rPr>
      </w:pPr>
    </w:p>
    <w:p>
      <w:pPr>
        <w:ind w:left="600" w:hanging="297"/>
        <w:spacing w:after="0" w:line="270"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Parties represent and warrant that the fees payable under this Agreement were determined by the Parties, through good faith and arms’ length bargaining, to constitute fair market value for the Services.</w:t>
      </w:r>
    </w:p>
    <w:p>
      <w:pPr>
        <w:spacing w:after="0" w:line="190" w:lineRule="exact"/>
        <w:rPr>
          <w:rFonts w:ascii="Arial" w:cs="Arial" w:eastAsia="Arial" w:hAnsi="Arial"/>
          <w:sz w:val="17"/>
          <w:szCs w:val="17"/>
          <w:color w:val="auto"/>
        </w:rPr>
      </w:pPr>
    </w:p>
    <w:p>
      <w:pPr>
        <w:ind w:left="600" w:hanging="297"/>
        <w:spacing w:after="0" w:line="301"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Consultant agrees and acknowledges that Consultant has disclosed and, if required, obtained the necessary permissions regarding Consultant’s relationship with Vericel, as established by this Agreement, to all necessary parties, including, without limitation, Consultant’s employer.</w:t>
      </w:r>
    </w:p>
    <w:p>
      <w:pPr>
        <w:spacing w:after="0" w:line="168" w:lineRule="exact"/>
        <w:rPr>
          <w:rFonts w:ascii="Arial" w:cs="Arial" w:eastAsia="Arial" w:hAnsi="Arial"/>
          <w:sz w:val="16"/>
          <w:szCs w:val="16"/>
          <w:color w:val="auto"/>
        </w:rPr>
      </w:pPr>
    </w:p>
    <w:p>
      <w:pPr>
        <w:ind w:left="600" w:hanging="297"/>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Agreement shall expire on August 6, 2021. This Agreement may only be modified, including its extension, if done so in writing by both Parties.</w:t>
      </w:r>
    </w:p>
    <w:p>
      <w:pPr>
        <w:spacing w:after="0" w:line="244" w:lineRule="exact"/>
        <w:rPr>
          <w:rFonts w:ascii="Arial" w:cs="Arial" w:eastAsia="Arial" w:hAnsi="Arial"/>
          <w:sz w:val="16"/>
          <w:szCs w:val="16"/>
          <w:color w:val="auto"/>
        </w:rPr>
      </w:pPr>
    </w:p>
    <w:p>
      <w:pPr>
        <w:jc w:val="both"/>
        <w:ind w:left="600" w:hanging="297"/>
        <w:spacing w:after="0" w:line="255"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Parties agree that this Agreement may be duly executed and delivered (i) in one or more counterparts, each of which shall be deemed an original, but all of which together shall constitute one and the same agreement; and (ii) electronically in PDF format. The Parties agree that facsimile or PDF copies of signatures shall have the same effect as original signatures, and this Agreement shall be deemed fully executed and delivered, regardless of whether manually signed copies are exchanged.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gridSpan w:val="2"/>
          </w:tcPr>
          <w:p>
            <w:pPr>
              <w:ind w:left="20"/>
              <w:spacing w:after="0"/>
              <w:rPr>
                <w:sz w:val="20"/>
                <w:szCs w:val="20"/>
                <w:color w:val="auto"/>
              </w:rPr>
            </w:pPr>
            <w:r>
              <w:rPr>
                <w:rFonts w:ascii="Arial" w:cs="Arial" w:eastAsia="Arial" w:hAnsi="Arial"/>
                <w:sz w:val="17"/>
                <w:szCs w:val="17"/>
                <w:b w:val="1"/>
                <w:bCs w:val="1"/>
                <w:color w:val="auto"/>
              </w:rPr>
              <w:t>Vericel Corporation</w:t>
            </w:r>
          </w:p>
        </w:tc>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Consultant</w:t>
            </w:r>
          </w:p>
        </w:tc>
      </w:tr>
      <w:tr>
        <w:trPr>
          <w:trHeight w:val="278"/>
        </w:trPr>
        <w:tc>
          <w:tcPr>
            <w:tcW w:w="448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32"/>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Joe Mara</w:t>
            </w:r>
          </w:p>
        </w:tc>
        <w:tc>
          <w:tcPr>
            <w:tcW w:w="4480" w:type="dxa"/>
            <w:vAlign w:val="bottom"/>
          </w:tcPr>
          <w:p>
            <w:pPr>
              <w:ind w:left="20"/>
              <w:spacing w:after="0"/>
              <w:rPr>
                <w:sz w:val="20"/>
                <w:szCs w:val="20"/>
                <w:color w:val="auto"/>
              </w:rPr>
            </w:pPr>
            <w:r>
              <w:rPr>
                <w:rFonts w:ascii="Arial" w:cs="Arial" w:eastAsia="Arial" w:hAnsi="Arial"/>
                <w:sz w:val="17"/>
                <w:szCs w:val="17"/>
                <w:color w:val="auto"/>
              </w:rPr>
              <w:t>Sandra Pennell</w:t>
            </w:r>
          </w:p>
        </w:tc>
      </w:tr>
    </w:tbl>
    <w:p>
      <w:pPr>
        <w:spacing w:after="0" w:line="1" w:lineRule="exact"/>
        <w:rPr>
          <w:sz w:val="20"/>
          <w:szCs w:val="20"/>
          <w:color w:val="auto"/>
        </w:rPr>
      </w:pPr>
    </w:p>
    <w:sectPr>
      <w:pgSz w:w="11900" w:h="16838" w:orient="portrait"/>
      <w:cols w:equalWidth="0" w:num="1">
        <w:col w:w="11240"/>
      </w:cols>
      <w:pgMar w:left="320" w:top="1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lvl w:ilvl="1">
      <w:lvlJc w:val="left"/>
      <w:lvlText w:val="(%2)"/>
      <w:numFmt w:val="lowerLetter"/>
      <w:start w:val="1"/>
    </w:lvl>
  </w:abstractNum>
  <w:abstractNum w:abstractNumId="6">
    <w:nsid w:val="109CF92E"/>
    <w:multiLevelType w:val="hybridMultilevel"/>
    <w:lvl w:ilvl="0">
      <w:lvlJc w:val="left"/>
      <w:lvlText w:val="%1."/>
      <w:numFmt w:val="decimal"/>
      <w:start w:val="11"/>
    </w:lvl>
    <w:lvl w:ilvl="1">
      <w:lvlJc w:val="left"/>
      <w:lvlText w:val="%2"/>
      <w:numFmt w:val="lowerLetter"/>
      <w:start w:val="1"/>
    </w:lvl>
  </w:abstractNum>
  <w:abstractNum w:abstractNumId="7">
    <w:nsid w:val="DED7263"/>
    <w:multiLevelType w:val="hybridMultilevel"/>
    <w:lvl w:ilvl="0">
      <w:lvlJc w:val="left"/>
      <w:lvlText w:val="%1."/>
      <w:numFmt w:val="decimal"/>
      <w:start w:val="19"/>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9"/>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2021-08-04T15:50:48Z</dcterms:created>
  <dcterms:modified xsi:type="dcterms:W3CDTF">2021-08-04T15:50:48Z</dcterms:modified>
</cp:coreProperties>
</file>