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94" w:lineRule="exact"/>
        <w:rPr>
          <w:sz w:val="24"/>
          <w:szCs w:val="24"/>
          <w:color w:val="auto"/>
        </w:rPr>
      </w:pPr>
    </w:p>
    <w:p>
      <w:pPr>
        <w:jc w:val="center"/>
        <w:ind w:left="5400" w:right="220" w:hanging="5177"/>
        <w:spacing w:after="0" w:line="238" w:lineRule="auto"/>
        <w:tabs>
          <w:tab w:leader="none" w:pos="52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jc w:val="center"/>
        <w:ind w:right="-19"/>
        <w:spacing w:after="0" w:line="195" w:lineRule="auto"/>
        <w:rPr>
          <w:sz w:val="20"/>
          <w:szCs w:val="20"/>
          <w:color w:val="auto"/>
        </w:rPr>
      </w:pPr>
      <w:r>
        <w:rPr>
          <w:rFonts w:ascii="Times New Roman" w:cs="Times New Roman" w:eastAsia="Times New Roman" w:hAnsi="Times New Roman"/>
          <w:sz w:val="18"/>
          <w:szCs w:val="18"/>
          <w:b w:val="1"/>
          <w:bCs w:val="1"/>
          <w:color w:val="auto"/>
        </w:rPr>
        <w:t>or</w:t>
      </w:r>
    </w:p>
    <w:p>
      <w:pPr>
        <w:ind w:left="540" w:hanging="346"/>
        <w:spacing w:after="0" w:line="222" w:lineRule="auto"/>
        <w:tabs>
          <w:tab w:leader="none" w:pos="5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jc w:val="center"/>
        <w:ind w:right="-19"/>
        <w:spacing w:after="0" w:line="223" w:lineRule="auto"/>
        <w:rPr>
          <w:sz w:val="20"/>
          <w:szCs w:val="20"/>
          <w:color w:val="auto"/>
        </w:rPr>
      </w:pPr>
      <w:r>
        <w:rPr>
          <w:rFonts w:ascii="Times New Roman" w:cs="Times New Roman" w:eastAsia="Times New Roman" w:hAnsi="Times New Roman"/>
          <w:sz w:val="22"/>
          <w:szCs w:val="22"/>
          <w:b w:val="1"/>
          <w:bCs w:val="1"/>
          <w:color w:val="auto"/>
        </w:rPr>
        <w:t>1934</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001-35280</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99060</wp:posOffset>
            </wp:positionV>
            <wp:extent cx="12687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p>
      <w:pPr>
        <w:spacing w:after="0" w:line="294"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Michigan</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94-3096597</w:t>
      </w:r>
    </w:p>
    <w:p>
      <w:pPr>
        <w:spacing w:after="0" w:line="44" w:lineRule="exact"/>
        <w:rPr>
          <w:sz w:val="24"/>
          <w:szCs w:val="24"/>
          <w:color w:val="auto"/>
        </w:rPr>
      </w:pPr>
    </w:p>
    <w:p>
      <w:pPr>
        <w:sectPr>
          <w:pgSz w:w="11900" w:h="16838" w:orient="portrait"/>
          <w:cols w:equalWidth="0" w:num="2">
            <w:col w:w="7140" w:space="720"/>
            <w:col w:w="3380"/>
          </w:cols>
          <w:pgMar w:left="320" w:top="1438"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1438" w:right="339" w:bottom="1440" w:gutter="0" w:footer="0" w:header="0"/>
          <w:type w:val="continuous"/>
        </w:sectPr>
      </w:pP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 Sidney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110490</wp:posOffset>
            </wp:positionV>
            <wp:extent cx="12687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4120" w:type="dxa"/>
            <w:vAlign w:val="bottom"/>
          </w:tcPr>
          <w:p>
            <w:pPr>
              <w:jc w:val="center"/>
              <w:ind w:left="222"/>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r>
      <w:tr>
        <w:trPr>
          <w:trHeight w:val="331"/>
        </w:trPr>
        <w:tc>
          <w:tcPr>
            <w:tcW w:w="34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12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4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12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rPr>
              <w:t>VCEL</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r>
    </w:tbl>
    <w:p>
      <w:pPr>
        <w:spacing w:after="0" w:line="370"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7" w:lineRule="exact"/>
        <w:rPr>
          <w:sz w:val="24"/>
          <w:szCs w:val="24"/>
          <w:color w:val="auto"/>
        </w:rPr>
      </w:pPr>
    </w:p>
    <w:p>
      <w:pPr>
        <w:ind w:right="240"/>
        <w:spacing w:after="0" w:line="24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0" w:lineRule="exact"/>
        <w:rPr>
          <w:sz w:val="24"/>
          <w:szCs w:val="24"/>
          <w:color w:val="auto"/>
        </w:rPr>
      </w:pPr>
    </w:p>
    <w:p>
      <w:pPr>
        <w:ind w:right="8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800" w:type="dxa"/>
        <w:tblCellMar>
          <w:top w:w="0" w:type="dxa"/>
          <w:left w:w="0" w:type="dxa"/>
          <w:bottom w:w="0" w:type="dxa"/>
          <w:right w:w="0" w:type="dxa"/>
        </w:tblCellMar>
      </w:tblPr>
      <w:tr>
        <w:trPr>
          <w:trHeight w:val="216"/>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9"/>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Non-accelerated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9"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5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April 30, 2026, 51,068,228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gridSpan w:val="13"/>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24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60" w:type="dxa"/>
            <w:vAlign w:val="bottom"/>
            <w:gridSpan w:val="7"/>
          </w:tcPr>
          <w:p>
            <w:pPr>
              <w:spacing w:after="0"/>
              <w:rPr>
                <w:sz w:val="16"/>
                <w:szCs w:val="16"/>
                <w:color w:val="auto"/>
              </w:rPr>
            </w:pPr>
          </w:p>
        </w:tc>
        <w:tc>
          <w:tcPr>
            <w:tcW w:w="400" w:type="dxa"/>
            <w:vAlign w:val="bottom"/>
            <w:gridSpan w:val="2"/>
          </w:tcPr>
          <w:p>
            <w:pPr>
              <w:jc w:val="center"/>
              <w:ind w:left="232"/>
              <w:spacing w:after="0" w:line="194"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Comprehensive Loss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7"/>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gridSpan w:val="3"/>
          </w:tcPr>
          <w:p>
            <w:pPr>
              <w:jc w:val="center"/>
              <w:ind w:right="20"/>
              <w:spacing w:after="0" w:line="194" w:lineRule="exact"/>
              <w:rPr>
                <w:sz w:val="20"/>
                <w:szCs w:val="20"/>
                <w:color w:val="auto"/>
              </w:rPr>
            </w:pPr>
            <w:r>
              <w:rPr>
                <w:rFonts w:ascii="Times New Roman" w:cs="Times New Roman" w:eastAsia="Times New Roman" w:hAnsi="Times New Roman"/>
                <w:sz w:val="18"/>
                <w:szCs w:val="18"/>
                <w:color w:val="0000FF"/>
                <w:w w:val="99"/>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00" w:type="dxa"/>
            <w:vAlign w:val="bottom"/>
          </w:tcPr>
          <w:p>
            <w:pPr>
              <w:spacing w:after="0"/>
              <w:rPr>
                <w:sz w:val="18"/>
                <w:szCs w:val="18"/>
                <w:color w:val="auto"/>
              </w:rPr>
            </w:pP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gridSpan w:val="6"/>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60" w:type="dxa"/>
            <w:vAlign w:val="bottom"/>
          </w:tcPr>
          <w:p>
            <w:pPr>
              <w:spacing w:after="0"/>
              <w:rPr>
                <w:sz w:val="18"/>
                <w:szCs w:val="18"/>
                <w:color w:val="auto"/>
              </w:rPr>
            </w:pPr>
          </w:p>
        </w:tc>
        <w:tc>
          <w:tcPr>
            <w:tcW w:w="6900" w:type="dxa"/>
            <w:vAlign w:val="bottom"/>
            <w:gridSpan w:val="8"/>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60" w:type="dxa"/>
            <w:vAlign w:val="bottom"/>
            <w:gridSpan w:val="9"/>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2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2"/>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100,092</w:t>
            </w: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37,407</w:t>
            </w: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$13 and $13, respectively)</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84,634</w:t>
            </w: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17,560</w:t>
            </w: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r>
      <w:tr>
        <w:trPr>
          <w:trHeight w:val="223"/>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247,437</w:t>
            </w: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108,397</w:t>
            </w: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64,774</w:t>
            </w: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61,395</w:t>
            </w: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3"/>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487,969</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8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w:t>
            </w: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19,236</w:t>
            </w: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w:t>
            </w:r>
          </w:p>
        </w:tc>
      </w:tr>
      <w:tr>
        <w:trPr>
          <w:trHeight w:val="230"/>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49,149</w:t>
            </w: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82,284</w:t>
            </w: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23"/>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133,329</w:t>
            </w: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84"/>
        </w:trPr>
        <w:tc>
          <w:tcPr>
            <w:tcW w:w="85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 51,010 and 50,620,</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730,662</w:t>
            </w: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(376,297)</w:t>
            </w:r>
          </w:p>
        </w:tc>
      </w:tr>
      <w:tr>
        <w:trPr>
          <w:trHeight w:val="223"/>
        </w:trPr>
        <w:tc>
          <w:tcPr>
            <w:tcW w:w="8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354,640</w:t>
            </w:r>
          </w:p>
        </w:tc>
      </w:tr>
      <w:tr>
        <w:trPr>
          <w:trHeight w:val="248"/>
        </w:trPr>
        <w:tc>
          <w:tcPr>
            <w:tcW w:w="8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487,969</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2940" w:type="dxa"/>
            <w:vAlign w:val="bottom"/>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36,273</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41,804</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57,330</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(12,792)</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6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6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50,773</w:t>
            </w:r>
          </w:p>
        </w:tc>
        <w:tc>
          <w:tcPr>
            <w:tcW w:w="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49,905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r>
        <w:rPr>
          <w:rFonts w:ascii="Times New Roman" w:cs="Times New Roman" w:eastAsia="Times New Roman" w:hAnsi="Times New Roman"/>
          <w:sz w:val="18"/>
          <w:szCs w:val="18"/>
          <w:color w:val="auto"/>
        </w:rPr>
        <w: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294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
        </w:trPr>
        <w:tc>
          <w:tcPr>
            <w:tcW w:w="74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0"/>
        </w:trPr>
        <w:tc>
          <w:tcPr>
            <w:tcW w:w="74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60" w:type="dxa"/>
            <w:vAlign w:val="bottom"/>
            <w:shd w:val="clear" w:color="auto" w:fill="CCEEFF"/>
          </w:tcPr>
          <w:p>
            <w:pPr>
              <w:spacing w:after="0"/>
              <w:rPr>
                <w:sz w:val="19"/>
                <w:szCs w:val="19"/>
                <w:color w:val="auto"/>
              </w:rPr>
            </w:pPr>
          </w:p>
        </w:tc>
      </w:tr>
      <w:tr>
        <w:trPr>
          <w:trHeight w:val="230"/>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gain on investments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CEEFF"/>
          </w:tcPr>
          <w:p>
            <w:pPr>
              <w:spacing w:after="0"/>
              <w:rPr>
                <w:sz w:val="19"/>
                <w:szCs w:val="19"/>
                <w:color w:val="auto"/>
              </w:rPr>
            </w:pP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160" w:type="dxa"/>
            <w:vAlign w:val="bottom"/>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560" w:type="dxa"/>
            <w:vAlign w:val="bottom"/>
            <w:gridSpan w:val="5"/>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580" w:type="dxa"/>
            <w:vAlign w:val="bottom"/>
          </w:tcPr>
          <w:p>
            <w:pPr>
              <w:spacing w:after="0"/>
              <w:rPr>
                <w:sz w:val="9"/>
                <w:szCs w:val="9"/>
                <w:color w:val="auto"/>
              </w:rPr>
            </w:pPr>
          </w:p>
        </w:tc>
        <w:tc>
          <w:tcPr>
            <w:tcW w:w="2560" w:type="dxa"/>
            <w:vAlign w:val="bottom"/>
            <w:gridSpan w:val="5"/>
            <w:vMerge w:val="continue"/>
          </w:tcPr>
          <w:p>
            <w:pPr>
              <w:spacing w:after="0"/>
              <w:rPr>
                <w:sz w:val="9"/>
                <w:szCs w:val="9"/>
                <w:color w:val="auto"/>
              </w:rPr>
            </w:pPr>
          </w:p>
        </w:tc>
        <w:tc>
          <w:tcPr>
            <w:tcW w:w="150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 Gain</w:t>
            </w:r>
          </w:p>
        </w:tc>
        <w:tc>
          <w:tcPr>
            <w:tcW w:w="140" w:type="dxa"/>
            <w:vAlign w:val="bottom"/>
          </w:tcPr>
          <w:p>
            <w:pPr>
              <w:spacing w:after="0"/>
              <w:rPr>
                <w:sz w:val="9"/>
                <w:szCs w:val="9"/>
                <w:color w:val="auto"/>
              </w:rPr>
            </w:pPr>
          </w:p>
        </w:tc>
        <w:tc>
          <w:tcPr>
            <w:tcW w:w="12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81"/>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2025</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50,620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730,662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(376,297)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354,640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11,294</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2026</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51,010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738,998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(382,599)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356,231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5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60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gridSpan w:val="3"/>
            <w:vMerge w:val="restart"/>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260" w:type="dxa"/>
            <w:vAlign w:val="bottom"/>
            <w:gridSpan w:val="2"/>
            <w:vMerge w:val="restart"/>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5"/>
                <w:szCs w:val="5"/>
                <w:color w:val="auto"/>
              </w:rPr>
            </w:pPr>
          </w:p>
        </w:tc>
        <w:tc>
          <w:tcPr>
            <w:tcW w:w="1060" w:type="dxa"/>
            <w:vAlign w:val="bottom"/>
            <w:vMerge w:val="restart"/>
          </w:tcPr>
          <w:p>
            <w:pPr>
              <w:jc w:val="center"/>
              <w:ind w:right="81"/>
              <w:spacing w:after="0" w:line="124"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6"/>
        </w:trPr>
        <w:tc>
          <w:tcPr>
            <w:tcW w:w="4600" w:type="dxa"/>
            <w:vAlign w:val="bottom"/>
          </w:tcPr>
          <w:p>
            <w:pPr>
              <w:spacing w:after="0"/>
              <w:rPr>
                <w:sz w:val="3"/>
                <w:szCs w:val="3"/>
                <w:color w:val="auto"/>
              </w:rPr>
            </w:pPr>
          </w:p>
        </w:tc>
        <w:tc>
          <w:tcPr>
            <w:tcW w:w="1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3"/>
                <w:szCs w:val="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46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Gain</w:t>
            </w:r>
          </w:p>
        </w:tc>
        <w:tc>
          <w:tcPr>
            <w:tcW w:w="14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684,778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(392,815)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291,967</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(11,246)</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(11,246)</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699,412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295,487</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(11,246)</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11,505</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costs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82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non-current assets and liabilities, net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(13,430)</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(14,212)</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common stock issuance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9,409</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employees’ behalf for taxes related to vesting of restricted stock unit awards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85,049</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79,705</w:t>
            </w: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information:</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r>
      <w:tr>
        <w:trPr>
          <w:trHeight w:val="234"/>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held for employee tax remittance included in accounts payable</w:t>
            </w:r>
          </w:p>
        </w:tc>
        <w:tc>
          <w:tcPr>
            <w:tcW w:w="2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539"/>
        </w:trPr>
        <w:tc>
          <w:tcPr>
            <w:tcW w:w="8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amounts within the condensed consolidated balance sheets: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73,490</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109,295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79,705</w:t>
            </w: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56"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8"/>
          <w:szCs w:val="18"/>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and medical technology company and a leading provider of advanced therapies for the sports medicine and severe burn care markets. Vericel currently markets three commercial-stage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8"/>
          <w:szCs w:val="18"/>
          <w:color w:val="auto"/>
        </w:rPr>
        <w:t>MACI (autologous cultured chondrocytes on porcine collagen membrane) is an autologous cellularized scaffold product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U.S. Food &amp; Drug Administration (“FDA”) approved a supplemental Biologics License Application (“sBLA”) expanding the MACI indication to add instructions for the arthroscopic delivery of MACI to the product’s approved labeling. MACI Arthro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allows surgeons to evaluate and prepare the cartilage defect site as well as deliver the MACI implant through small incisions using custom-designed arthroscopic instruments developed by the Company (“MACI Arthro instruments”). MACI Arthro became commercially available in the U.S. during the third quarter of 2024, and the Company began selling MACI Arthro instruments at that time.</w:t>
      </w:r>
    </w:p>
    <w:p>
      <w:pPr>
        <w:spacing w:after="0" w:line="22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Epicel (cultured epidermal autografts) is a permanent skin replacement Humanitarian Use Device (“HUD”) indicated for the treatment of adult and pediatric patients with deep-dermal or full-thickness burns comprising greater than or equal to 30 percent of a patient’s total body surface area (“TBSA”). The Company also holds an exclusive license from MediWound Ltd. (“MediWound”) for North American rights to NexoBrid (anacaulase-bcdb), a topically administered biological orphan product containing proteolytic enzymes, which is indicated for the removal of eschar in adult and pediatric patients with deep partial-thickness and/or full-thickness thermal burns.</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life sciences industry including, but not limited to, development by the Company or its competitors of new technological innovations, dependence on key personnel, protection of proprietary technology, commercialization of existing and new products, and compliance with FDA regulations and approval requirements, as well as the ability to grow the Company’s business through appropriate commercial strategies.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222222"/>
        </w:rPr>
        <w:t>Liquidity</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March 31, 2026, the Company had an accumulated deficit of $382.6 million and had a net loss of $6.3 million during the </w:t>
      </w:r>
      <w:r>
        <w:rPr>
          <w:rFonts w:ascii="Times New Roman" w:cs="Times New Roman" w:eastAsia="Times New Roman" w:hAnsi="Times New Roman"/>
          <w:sz w:val="18"/>
          <w:szCs w:val="18"/>
          <w:color w:val="000000"/>
        </w:rPr>
        <w:t>three months ended March 31,</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2026</w:t>
      </w:r>
      <w:r>
        <w:rPr>
          <w:rFonts w:ascii="Times New Roman" w:cs="Times New Roman" w:eastAsia="Times New Roman" w:hAnsi="Times New Roman"/>
          <w:sz w:val="18"/>
          <w:szCs w:val="18"/>
          <w:color w:val="222222"/>
        </w:rPr>
        <w:t>. The Company had cash and cash equivalents of $109.3 million and investments of $101.3 million as of March 31, 2026. The Company expects that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 xml:space="preserve">cash from the sales of its products and existing cash, cash equivalents, investments, and available borrowing capacity will be sufficient </w:t>
      </w:r>
      <w:r>
        <w:rPr>
          <w:rFonts w:ascii="Times New Roman" w:cs="Times New Roman" w:eastAsia="Times New Roman" w:hAnsi="Times New Roman"/>
          <w:sz w:val="18"/>
          <w:szCs w:val="18"/>
          <w:color w:val="000000"/>
        </w:rPr>
        <w:t>to support the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Company’s current operations through at least 12 months from the issuance of these condensed consolidated financial statements. If revenues decline for a sustained period, the Company may need to access additional capital; however, the Company may not be able to obtain additional financing on acceptable terms or at all. The terms of any additional financing may adversely affect the holdings or the rights of the Company’s shareholders.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Vericel are unaudited and have been prepared in accordance with the rules and regulations of the U.S. Securities and Exchange Commission (“SEC”). The preparation of condensed consolidated financial statements in conformity with U.S. generally accepted accounting principles (“U.S. GAAP”) requires management to make estimates, judgments, and assumptions that may affect the reported amounts of assets, liabilities, equity, revenue and expenses. Certain information and footnote disclosures normally included in financial statements prepared in accordance with U.S. GAAP have been omitted pursuant to such rules and regulations.</w:t>
      </w:r>
    </w:p>
    <w:p>
      <w:pPr>
        <w:spacing w:after="0" w:line="21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financial statements reflect, in the opinion of management, all adjustments (consisting only of normal, recurring adjustments) necessary to state fairly the financial position and results of operations as of and for the periods indicated. The Company bases its estimates on historical experience and on various other assumptions that it believes are reasonable, the results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which form the basis for making judgments about the carrying values of assets, liabilities and equity and the amount of revenue and expenses.</w:t>
      </w:r>
    </w:p>
    <w:p>
      <w:pPr>
        <w:spacing w:after="0" w:line="25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2025 has been derived from the audited consolidated financial statements at that date, but does not include all the information and notes required by U.S. GAAP for complete financial statements. These condensed consolidated financial statements should be read in conjunction with the audited consolidated financial statements and the notes thereto included in the Company’s Annual Report on Form 10-K for the year ended December 31, 2025, as filed with the SEC on February 26, 2026 (“Annual Report”).</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 xml:space="preserve">No new accounting standards were adopted during the three months ended March 31, 2026. </w:t>
      </w:r>
      <w:r>
        <w:rPr>
          <w:rFonts w:ascii="Times New Roman" w:cs="Times New Roman" w:eastAsia="Times New Roman" w:hAnsi="Times New Roman"/>
          <w:sz w:val="18"/>
          <w:szCs w:val="18"/>
          <w:color w:val="222222"/>
        </w:rPr>
        <w:t>The Company considers the applicability and impact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recent Accounting Standards Updates (“ASUs”) issued by the Financial Accounting Standards Board (“FASB”), as noted below:</w:t>
      </w:r>
    </w:p>
    <w:p>
      <w:pPr>
        <w:spacing w:after="0" w:line="187"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and in January 2025, the FASB issued ASU 2025-01,</w:t>
      </w:r>
      <w:r>
        <w:rPr>
          <w:rFonts w:ascii="Times New Roman" w:cs="Times New Roman" w:eastAsia="Times New Roman" w:hAnsi="Times New Roman"/>
          <w:sz w:val="18"/>
          <w:szCs w:val="18"/>
          <w:i w:val="1"/>
          <w:iCs w:val="1"/>
          <w:color w:val="auto"/>
        </w:rPr>
        <w:t xml:space="preserve"> Clarifying the 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updates require new disclosures to disaggregate prescribed natural expenses underlying any income statement caption. This standard is effective for annual periods in fiscal years beginning after December 15, 2026, and interim periods within those annual periods beginning after December 15, 2027, with early adoption permitted, and will be applied on a prospective basis. The Company is currently evaluating the impact of this guidance on the consolidated financial statements and disclosures.</w:t>
      </w:r>
    </w:p>
    <w:p>
      <w:pPr>
        <w:spacing w:after="0" w:line="209"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This update introduces a practical expedient for all entities when estimating expected credit losses on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current contract assets arising from revenue transactions accounted for under Topic 606. The expedient allows entities to assume current conditions as of the balance sheet date remain unchanged over the remaining life of the asset. This amendment is effective for annual periods in fiscal years beginning after December 15, 2025, and interim periods thereafter, with early adoption permitted, and will be applied on a prospective basis. The Company is currently evaluating the impact of this guidance on the consolidated financial statements and disclosures.</w:t>
      </w:r>
    </w:p>
    <w:p>
      <w:pPr>
        <w:spacing w:after="0" w:line="20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The standard removes all references to software development stages. It also requires that an entity capitalizes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when both: (1) management has authorized and committed funding to the project and (2) it is probable that the project will be completed and the software is used to perform the intended function. This ASU may be adopted prospectively, retrospectively, or on a modified transition approach based on the status of the project and whether software costs were capitalized before the date of adoption. It is effective for annual periods beginning after December 15, 2027 and interim periods within fiscal years beginning after December 15, 2027 with early adoption permitted. The Company is currently evaluating the impact of this guidance on the consolidated financial statements and disclosures.</w:t>
      </w:r>
    </w:p>
    <w:p>
      <w:pPr>
        <w:spacing w:after="0" w:line="210"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The standard establishes authoritative guidance in U.S. GAAP about accounting for government grants received by business entities and clarifies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appropriate accounting in an effort to reduce diversity in practice, and increase consistency of application across business entities. It is effective for annual reporting periods beginning after December 15, 2028, and interim periods thereafter, with early adoption permitted, and may be applied prospectively, retrospectively, or with a modified retrospective approach. The Company is currently evaluating the impact of this guidance on the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Product Sales, Net</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recognizes product revenue from sales of MACI biopsy kits, MACI implants, MACI Arthro instruments, Epicel grafts, and NexoBrid following the five-step model in Accounting Standards Codification (“ASC”) 606, </w:t>
      </w: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MACI Biopsy Kits</w:t>
      </w:r>
    </w:p>
    <w:p>
      <w:pPr>
        <w:spacing w:after="0" w:line="2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MACI biopsy kits are sold directly to hospitals and ambulatory surgical centers based on contracted rates set forth in an approved contract or sales order. The Company recognizes MACI kit revenue upon delivery of the biopsy kit, at which time the customer (the facility) is in control of the kit. The kit is used by the treating surgeon to provide a sample of cartilage tissue to the Company, which can later be used to manufacture a MACI implant. The ordering of the kit does not obligate the Company to manufacture an 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MACI Arthro Instruments</w:t>
      </w:r>
    </w:p>
    <w:p>
      <w:pPr>
        <w:spacing w:after="0" w:line="254" w:lineRule="exact"/>
        <w:rPr>
          <w:sz w:val="20"/>
          <w:szCs w:val="20"/>
          <w:color w:val="auto"/>
        </w:rPr>
      </w:pPr>
    </w:p>
    <w:p>
      <w:pPr>
        <w:jc w:val="both"/>
        <w:ind w:firstLine="243"/>
        <w:spacing w:after="0" w:line="273" w:lineRule="auto"/>
        <w:rPr>
          <w:sz w:val="20"/>
          <w:szCs w:val="20"/>
          <w:color w:val="auto"/>
        </w:rPr>
      </w:pPr>
      <w:r>
        <w:rPr>
          <w:rFonts w:ascii="Times New Roman" w:cs="Times New Roman" w:eastAsia="Times New Roman" w:hAnsi="Times New Roman"/>
          <w:sz w:val="18"/>
          <w:szCs w:val="18"/>
          <w:color w:val="auto"/>
        </w:rPr>
        <w:t>MACI Arthro instruments are sold directly to hospitals and ambulatory surgical centers based upon rates set forth in price lists. The Company recognizes revenue from the sale of MACI Arthro instruments upon delivery of the instruments, at which time the customer (the facility) is in control of the</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instruments. MACI Arthro instruments can be used by an orthopedic surgeon to deliver MACI to a treated patient using an arthroscopic approach. The customer’s order of a MACI implant is separate from the process of ordering the MACI Arthro instruments. Therefore, the sale of the MACI Arthro instruments and any sale of an implant are distinct and are accounted for separately.</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each specialty pharmacy a fee in each instance when it dispenses MACI for use in treating a patient. Both Orsini and AllCare perform collection activities to collect payment from customers. In addition, the Company sells MACI directly to hospitals pursuant to an agreed upon purchase order and to a distributor, DMS Pharmaceutical Group, Inc. (“DMS”) at a contracted rate for the treatment of patients at military facilities throughout the U.S. The Company engages a third party to provide services in connection with a patient support program to manage patient cases and to ensure that complete and correct billing information is provided to the insurers and hospitals.</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a MACI implant to a patient. The Company recognizes product revenue from sales of all MACI implants upon delivery at which time the customer obtains control of the implant and the claim is billable. The total consideration that the Company expects to collect in exchange for MACI implants (the “Transaction Price”) may be fixed or variable. Direct sales to hospitals or distributors are recorded at a contracted price, and there are typically no forms of variable consideration related to warranties to customers.</w:t>
      </w:r>
    </w:p>
    <w:p>
      <w:pPr>
        <w:spacing w:after="0" w:line="21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When the Company sells MACI through its specialty pharmacies,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Times New Roman" w:cs="Times New Roman" w:eastAsia="Times New Roman" w:hAnsi="Times New Roman"/>
          <w:sz w:val="18"/>
          <w:szCs w:val="18"/>
          <w:i w:val="1"/>
          <w:iCs w:val="1"/>
          <w:color w:val="auto"/>
        </w:rPr>
        <w:t>ASC 326, Financial Instruments - Credit Losses</w:t>
      </w:r>
      <w:r>
        <w:rPr>
          <w:rFonts w:ascii="Times New Roman" w:cs="Times New Roman" w:eastAsia="Times New Roman" w:hAnsi="Times New Roman"/>
          <w:sz w:val="18"/>
          <w:szCs w:val="18"/>
          <w:color w:val="auto"/>
        </w:rPr>
        <w:t>. The Company assesses risk and determines a loss percentage by pooling accounts receivable based on similar risk characteristics. The loss percentage is calculated through the use of forecasts that are based on current and historical economic and financial information. This loss percentage was applied to the accounts receivables as of March 31, 2026. The total allowance for uncollectible consideration as of March 31, 2026 and December 31, 2025 was $8.6 million and $8.4 million, respectively. Changes to the estimate of the amount of consideration that will not be collected could have a material impact 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revenue recognized. A 50 basis points change to the estimated uncollectible percentage could result in an approximately $0.5 million decrease or increase in the revenue recognized for the three months ended March 31, 2026.</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Epicel</w:t>
      </w:r>
    </w:p>
    <w:p>
      <w:pPr>
        <w:spacing w:after="0" w:line="254" w:lineRule="exact"/>
        <w:rPr>
          <w:sz w:val="20"/>
          <w:szCs w:val="20"/>
          <w:color w:val="auto"/>
        </w:rPr>
      </w:pPr>
    </w:p>
    <w:p>
      <w:pPr>
        <w:jc w:val="both"/>
        <w:ind w:right="20" w:firstLine="243"/>
        <w:spacing w:after="0" w:line="261" w:lineRule="auto"/>
        <w:rPr>
          <w:sz w:val="20"/>
          <w:szCs w:val="20"/>
          <w:color w:val="auto"/>
        </w:rPr>
      </w:pPr>
      <w:r>
        <w:rPr>
          <w:rFonts w:ascii="Times New Roman" w:cs="Times New Roman" w:eastAsia="Times New Roman" w:hAnsi="Times New Roman"/>
          <w:sz w:val="18"/>
          <w:szCs w:val="18"/>
          <w:color w:val="auto"/>
        </w:rPr>
        <w:t>The Company sells Epicel directly to hospitals and burn centers based on contracted rates stated in an approved contract or purchase order. In some cases, volume-based rebates are offered. Similar to MACI, there is no obligation to manufacture Epicel grafts upon receipt of a skin biopsy. The Company recognizes product revenue from sales of Epicel upon delivery to the hospital, at which time the customer is in control of the Epicel grafts and the claim is billable to the hospital.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NexoBrid</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entered into exclusive license and supply agreements with MediWound in May 2019, pursuant to which MediWound will manufacture and supply NexoBrid on a unit price basis, which may be increased pursuant to the terms of the agreements.</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December 2022, the FDA approved a BLA for NexoBrid, granting a license for its commercial use in the U.S. NexoBrid is a topically-administered biological orphan product containing proteolytic enzymes. Through the 2022 BLA, NexoBrid was originally indicated for the removal of eschar in adults with deep partial-thickness and/or full-thickness thermal burns. In August 2024, the FDA authorized the expansion of the product’s indication to include pediatric patients.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sells NexoBrid to specialty distributors. These customers subsequently resell NexoBrid to hospitals and burn centers. Product revenue is recorded net of reserves for specialty distributor fees, prompt payment or other discounts and allowances for returns, as applicable. The Company recognizes product revenue from sales of NexoBrid when the specialty distributors take control of the product, which typically occurs upon its delivery to the specialty distributors.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and Customer</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and descriptions below show the products from which the Company generated its revenue for the periods indicated:</w:t>
      </w:r>
    </w:p>
    <w:p>
      <w:pPr>
        <w:spacing w:after="0" w:line="31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MACI implants, kits, and instruments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based on contracted rate sold through a specialty pharmacy </w:t>
            </w:r>
            <w:r>
              <w:rPr>
                <w:rFonts w:ascii="Times New Roman" w:cs="Times New Roman" w:eastAsia="Times New Roman" w:hAnsi="Times New Roman"/>
                <w:sz w:val="23"/>
                <w:szCs w:val="23"/>
                <w:color w:val="auto"/>
                <w:vertAlign w:val="superscript"/>
              </w:rPr>
              <w:t>(a)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subject to third party reimbursement sold through a specialty pharmacy </w:t>
            </w:r>
            <w:r>
              <w:rPr>
                <w:rFonts w:ascii="Times New Roman" w:cs="Times New Roman" w:eastAsia="Times New Roman" w:hAnsi="Times New Roman"/>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based on contracted rates </w:t>
            </w:r>
            <w:r>
              <w:rPr>
                <w:rFonts w:ascii="Times New Roman" w:cs="Times New Roman" w:eastAsia="Times New Roman" w:hAnsi="Times New Roman"/>
                <w:sz w:val="23"/>
                <w:szCs w:val="23"/>
                <w:color w:val="auto"/>
                <w:vertAlign w:val="superscript"/>
              </w:rPr>
              <w:t>(c)</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subject to third-party reimbursement </w:t>
            </w:r>
            <w:r>
              <w:rPr>
                <w:rFonts w:ascii="Times New Roman" w:cs="Times New Roman" w:eastAsia="Times New Roman" w:hAnsi="Times New Roman"/>
                <w:sz w:val="23"/>
                <w:szCs w:val="23"/>
                <w:color w:val="auto"/>
                <w:vertAlign w:val="superscript"/>
              </w:rPr>
              <w:t>(d)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Biopsy kits and instruments - direct bill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Change in estimates related to prior periods </w:t>
            </w:r>
            <w:r>
              <w:rPr>
                <w:rFonts w:ascii="Times New Roman" w:cs="Times New Roman" w:eastAsia="Times New Roman" w:hAnsi="Times New Roman"/>
                <w:sz w:val="23"/>
                <w:szCs w:val="23"/>
                <w:color w:val="auto"/>
                <w:vertAlign w:val="superscript"/>
              </w:rPr>
              <w:t>(e)</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gridSpan w:val="2"/>
          </w:tcPr>
          <w:p>
            <w:pPr>
              <w:ind w:left="440"/>
              <w:spacing w:after="0"/>
              <w:rPr>
                <w:sz w:val="20"/>
                <w:szCs w:val="20"/>
                <w:color w:val="auto"/>
              </w:rPr>
            </w:pPr>
            <w:r>
              <w:rPr>
                <w:rFonts w:ascii="Times New Roman" w:cs="Times New Roman" w:eastAsia="Times New Roman" w:hAnsi="Times New Roman"/>
                <w:sz w:val="18"/>
                <w:szCs w:val="18"/>
                <w:i w:val="1"/>
                <w:iCs w:val="1"/>
                <w:color w:val="auto"/>
              </w:rPr>
              <w:t>Total MACI implants, kits, and instruments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Epicel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 bill (hospital)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NexoBrid</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52,598</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154305</wp:posOffset>
            </wp:positionV>
            <wp:extent cx="68580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227" w:lineRule="exact"/>
        <w:rPr>
          <w:sz w:val="20"/>
          <w:szCs w:val="20"/>
          <w:color w:val="auto"/>
        </w:rPr>
      </w:pPr>
    </w:p>
    <w:p>
      <w:pPr>
        <w:ind w:left="520" w:right="80" w:hanging="251"/>
        <w:spacing w:after="0" w:line="261" w:lineRule="auto"/>
        <w:tabs>
          <w:tab w:leader="none" w:pos="476"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81" w:lineRule="exact"/>
        <w:rPr>
          <w:rFonts w:ascii="Times New Roman" w:cs="Times New Roman" w:eastAsia="Times New Roman" w:hAnsi="Times New Roman"/>
          <w:sz w:val="14"/>
          <w:szCs w:val="14"/>
          <w:color w:val="auto"/>
        </w:rPr>
      </w:pPr>
    </w:p>
    <w:p>
      <w:pPr>
        <w:ind w:left="520" w:right="80" w:hanging="251"/>
        <w:spacing w:after="0" w:line="261" w:lineRule="auto"/>
        <w:tabs>
          <w:tab w:leader="none" w:pos="503"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pharmacy does not have a direct contract with the underlying payer and is subject to third-party reimbursement. The amount of reimbursement is established based on publicly available rates, fee schedules or past payer precedents.</w:t>
      </w:r>
    </w:p>
    <w:p>
      <w:pPr>
        <w:spacing w:after="0" w:line="81" w:lineRule="exact"/>
        <w:rPr>
          <w:rFonts w:ascii="Times New Roman" w:cs="Times New Roman" w:eastAsia="Times New Roman" w:hAnsi="Times New Roman"/>
          <w:sz w:val="14"/>
          <w:szCs w:val="14"/>
          <w:color w:val="auto"/>
        </w:rPr>
      </w:pPr>
    </w:p>
    <w:p>
      <w:pPr>
        <w:ind w:left="520" w:right="80" w:hanging="251"/>
        <w:spacing w:after="0" w:line="261" w:lineRule="auto"/>
        <w:tabs>
          <w:tab w:leader="none" w:pos="483"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81" w:lineRule="exact"/>
        <w:rPr>
          <w:rFonts w:ascii="Times New Roman" w:cs="Times New Roman" w:eastAsia="Times New Roman" w:hAnsi="Times New Roman"/>
          <w:sz w:val="14"/>
          <w:szCs w:val="14"/>
          <w:color w:val="auto"/>
        </w:rPr>
      </w:pPr>
    </w:p>
    <w:p>
      <w:pPr>
        <w:ind w:left="520" w:right="80" w:hanging="251"/>
        <w:spacing w:after="0" w:line="261" w:lineRule="auto"/>
        <w:tabs>
          <w:tab w:leader="none" w:pos="483"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81" w:lineRule="exact"/>
        <w:rPr>
          <w:rFonts w:ascii="Times New Roman" w:cs="Times New Roman" w:eastAsia="Times New Roman" w:hAnsi="Times New Roman"/>
          <w:sz w:val="14"/>
          <w:szCs w:val="14"/>
          <w:color w:val="auto"/>
        </w:rPr>
      </w:pPr>
    </w:p>
    <w:p>
      <w:pPr>
        <w:jc w:val="both"/>
        <w:ind w:left="520" w:right="80" w:hanging="251"/>
        <w:spacing w:after="0" w:line="241" w:lineRule="auto"/>
        <w:tabs>
          <w:tab w:leader="none" w:pos="473"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changes in estimates related to implants sold through Orsini or AllCare and relate to changes to the initial expected reimbursement or collection expectations upon completion of the billing claims process. The change in estimates is a result of additional information, changes in collection expectations or actual cash collections received in the current period.</w:t>
      </w:r>
    </w:p>
    <w:p>
      <w:pPr>
        <w:spacing w:after="0" w:line="200" w:lineRule="exact"/>
        <w:rPr>
          <w:rFonts w:ascii="Times New Roman" w:cs="Times New Roman" w:eastAsia="Times New Roman" w:hAnsi="Times New Roman"/>
          <w:sz w:val="14"/>
          <w:szCs w:val="14"/>
          <w:color w:val="auto"/>
        </w:rPr>
      </w:pPr>
    </w:p>
    <w:p>
      <w:pPr>
        <w:spacing w:after="0" w:line="287"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Balance Sheet Components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w:t>
            </w: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17,560</w:t>
            </w:r>
          </w:p>
        </w:tc>
      </w:tr>
      <w:tr>
        <w:trPr>
          <w:trHeight w:val="21"/>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14,498</w:t>
            </w: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18,953</w:t>
            </w: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76,421</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24,651</w:t>
            </w: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139,947</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(31,550)</w:t>
            </w: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107,113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108,397</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Depreciation expense for the three months ended March 31, 2026 and 2025, was </w:t>
      </w:r>
      <w:r>
        <w:rPr>
          <w:rFonts w:ascii="Times New Roman" w:cs="Times New Roman" w:eastAsia="Times New Roman" w:hAnsi="Times New Roman"/>
          <w:sz w:val="18"/>
          <w:szCs w:val="18"/>
          <w:color w:val="222222"/>
        </w:rPr>
        <w:t>$3.1 million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22222"/>
        </w:rPr>
        <w:t>$2.5 million</w:t>
      </w:r>
      <w:r>
        <w:rPr>
          <w:rFonts w:ascii="Times New Roman" w:cs="Times New Roman" w:eastAsia="Times New Roman" w:hAnsi="Times New Roman"/>
          <w:sz w:val="18"/>
          <w:szCs w:val="18"/>
          <w:color w:val="auto"/>
        </w:rPr>
        <w:t>,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 (in</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1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1720" w:type="dxa"/>
            <w:vAlign w:val="bottom"/>
            <w:gridSpan w:val="2"/>
            <w:vMerge w:val="continue"/>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 license</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 xml:space="preserve">Amortization expense for each of the three months ended March 31, 2026 and 2025 was </w:t>
      </w:r>
      <w:r>
        <w:rPr>
          <w:rFonts w:ascii="Times New Roman" w:cs="Times New Roman" w:eastAsia="Times New Roman" w:hAnsi="Times New Roman"/>
          <w:sz w:val="18"/>
          <w:szCs w:val="18"/>
          <w:color w:val="222222"/>
        </w:rPr>
        <w:t>$0.2 million</w:t>
      </w:r>
      <w:r>
        <w:rPr>
          <w:rFonts w:ascii="Times New Roman" w:cs="Times New Roman" w:eastAsia="Times New Roman" w:hAnsi="Times New Roman"/>
          <w:sz w:val="18"/>
          <w:szCs w:val="18"/>
          <w:color w:val="auto"/>
        </w:rPr>
        <w:t>. The NexoBrid intangible asset is amortized to cost of product sales.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Future amortization expense of intangible assets as of March 31, 2026 is estimated to be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8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4"/>
                <w:szCs w:val="24"/>
                <w:color w:val="auto"/>
              </w:rPr>
            </w:pPr>
          </w:p>
        </w:tc>
        <w:tc>
          <w:tcPr>
            <w:tcW w:w="14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24"/>
                <w:szCs w:val="24"/>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Bonus-related compensation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Employee-related accruals</w:t>
            </w:r>
          </w:p>
        </w:tc>
        <w:tc>
          <w:tcPr>
            <w:tcW w:w="20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reimbursement-related liabilities</w:t>
            </w:r>
          </w:p>
        </w:tc>
        <w:tc>
          <w:tcPr>
            <w:tcW w:w="2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leases facilities in Ann Arbor, Michigan, Cambridge, Massachusetts and Burlington, Massachusetts. The Ann Arbor facility includes office space, and the Cambridge facility includes clean rooms, laboratories for MACI and Epicel manufacturing and office space. The Company also leases certain equipment.</w:t>
      </w:r>
    </w:p>
    <w:p>
      <w:pPr>
        <w:spacing w:after="0" w:line="20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January 28, 2022, the Company entered into a lease agreement (as amended, the “Burlington Lease”) to lease approximately 126,000 square feet of manufacturing, laboratory and office space in Burlington, Massachusetts. The Burlington facility is complete, and the Company is currently utilizing the facility’s office space. In March 2026, the Company received FDA approval to begin MACI commercial manufacturing at the Burlington facility, and a portion of the tenant improvements to the manufacturing suites and related equipment related to MACI manufacturing were placed in service following the FDA approval. The Company has begun transitioning the Burlington facility’s manufacturing component into the primary manufacturing facility for MACI. The Company intends that the Burlington facility’s manufacturing component will eventually also become the primary manufacturing facility for Epicel, upon FDA qualification for Epicel manufacturing.</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 xml:space="preserve">For the three months ended March 31, 2026 and 2025, lease expense of less than </w:t>
      </w:r>
      <w:r>
        <w:rPr>
          <w:rFonts w:ascii="Times New Roman" w:cs="Times New Roman" w:eastAsia="Times New Roman" w:hAnsi="Times New Roman"/>
          <w:sz w:val="18"/>
          <w:szCs w:val="18"/>
          <w:color w:val="222222"/>
        </w:rPr>
        <w:t>$0.1 million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22222"/>
        </w:rPr>
        <w:t>$0.2 million</w:t>
      </w:r>
      <w:r>
        <w:rPr>
          <w:rFonts w:ascii="Times New Roman" w:cs="Times New Roman" w:eastAsia="Times New Roman" w:hAnsi="Times New Roman"/>
          <w:sz w:val="18"/>
          <w:szCs w:val="18"/>
          <w:color w:val="auto"/>
        </w:rPr>
        <w:t>, respectively, was recorded related to short-term leases. For each of the three months ended March 31, 2026 and 2025, t</w:t>
      </w:r>
      <w:r>
        <w:rPr>
          <w:rFonts w:ascii="Times New Roman" w:cs="Times New Roman" w:eastAsia="Times New Roman" w:hAnsi="Times New Roman"/>
          <w:sz w:val="18"/>
          <w:szCs w:val="18"/>
          <w:color w:val="222222"/>
        </w:rPr>
        <w:t>he Company recognized $3.0 million of operating lease expense. For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of the </w:t>
      </w:r>
      <w:r>
        <w:rPr>
          <w:rFonts w:ascii="Times New Roman" w:cs="Times New Roman" w:eastAsia="Times New Roman" w:hAnsi="Times New Roman"/>
          <w:sz w:val="18"/>
          <w:szCs w:val="18"/>
          <w:color w:val="000000"/>
        </w:rPr>
        <w:t>three months ended March 31, 2026 and 2025,</w:t>
      </w:r>
      <w:r>
        <w:rPr>
          <w:rFonts w:ascii="Times New Roman" w:cs="Times New Roman" w:eastAsia="Times New Roman" w:hAnsi="Times New Roman"/>
          <w:sz w:val="18"/>
          <w:szCs w:val="18"/>
          <w:color w:val="222222"/>
        </w:rPr>
        <w:t xml:space="preserve"> the Company recognized less than </w:t>
      </w:r>
      <w:r>
        <w:rPr>
          <w:rFonts w:ascii="Times New Roman" w:cs="Times New Roman" w:eastAsia="Times New Roman" w:hAnsi="Times New Roman"/>
          <w:sz w:val="18"/>
          <w:szCs w:val="18"/>
          <w:color w:val="000000"/>
        </w:rPr>
        <w:t>$0.1 million</w:t>
      </w:r>
      <w:r>
        <w:rPr>
          <w:rFonts w:ascii="Times New Roman" w:cs="Times New Roman" w:eastAsia="Times New Roman" w:hAnsi="Times New Roman"/>
          <w:sz w:val="18"/>
          <w:szCs w:val="18"/>
          <w:color w:val="222222"/>
        </w:rPr>
        <w:t xml:space="preserve"> of financing lease expense</w:t>
      </w:r>
      <w:r>
        <w:rPr>
          <w:rFonts w:ascii="Times New Roman" w:cs="Times New Roman" w:eastAsia="Times New Roman" w:hAnsi="Times New Roman"/>
          <w:sz w:val="18"/>
          <w:szCs w:val="18"/>
          <w:color w:val="000000"/>
        </w:rPr>
        <w:t>.</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5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64,774</w:t>
            </w:r>
          </w:p>
        </w:tc>
      </w:tr>
      <w:tr>
        <w:trPr>
          <w:trHeight w:val="230"/>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65,460</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6"/>
        </w:trPr>
        <w:tc>
          <w:tcPr>
            <w:tcW w:w="17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30"/>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w:t>
            </w: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5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82,284</w:t>
            </w:r>
          </w:p>
        </w:tc>
      </w:tr>
      <w:tr>
        <w:trPr>
          <w:trHeight w:val="230"/>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liabilities</w:t>
            </w:r>
          </w:p>
        </w:tc>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96,891</w:t>
            </w: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54" w:lineRule="exact"/>
        <w:rPr>
          <w:sz w:val="20"/>
          <w:szCs w:val="20"/>
          <w:color w:val="auto"/>
        </w:rPr>
      </w:pPr>
    </w:p>
    <w:p>
      <w:pPr>
        <w:jc w:val="both"/>
        <w:ind w:right="80" w:firstLine="243"/>
        <w:spacing w:after="0" w:line="267" w:lineRule="auto"/>
        <w:rPr>
          <w:sz w:val="20"/>
          <w:szCs w:val="20"/>
          <w:color w:val="auto"/>
        </w:rPr>
      </w:pPr>
      <w:r>
        <w:rPr>
          <w:rFonts w:ascii="Times New Roman" w:cs="Times New Roman" w:eastAsia="Times New Roman" w:hAnsi="Times New Roman"/>
          <w:sz w:val="18"/>
          <w:szCs w:val="18"/>
          <w:color w:val="auto"/>
        </w:rPr>
        <w:t xml:space="preserve">Marketable debt securities held by the Company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and carried at fair value in the accompanying condensed consolidated balance sheets on a settlement date basis. The following tables summarize the gross unrealized gains and losses of the Company’s marketable securities:</w:t>
      </w:r>
    </w:p>
    <w:p>
      <w:pPr>
        <w:spacing w:after="0" w:line="23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88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3"/>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98,527</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98,802</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61,395</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98,802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80" w:firstLine="243"/>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all marketable securities held by the Company had remaining contractual maturities of three years or less. There have been no impairments of the Company’s assets measured and carried at fair value during the three months ended March 31, 2026 and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5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7"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ind w:left="660" w:right="10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208" w:lineRule="exact"/>
        <w:rPr>
          <w:sz w:val="20"/>
          <w:szCs w:val="20"/>
          <w:color w:val="auto"/>
        </w:rPr>
      </w:pPr>
    </w:p>
    <w:p>
      <w:pPr>
        <w:jc w:val="both"/>
        <w:ind w:right="80" w:firstLine="243"/>
        <w:spacing w:after="0" w:line="254"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commercial paper, corporate notes, U.S. government securities, and U.S. government agency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deferred compensation plan liabilities are recorded at the value of the amount owed to the plan participants, with changes in value recognized as compensation expense. The calculation of the deferred compensation plan obligation is derived from observable market data by reference to hypothetical investments selected by the participants. There were no transfers into or out of Level 3 from December 31, 2025 to March 31, 2026.</w:t>
      </w:r>
    </w:p>
    <w:p>
      <w:pPr>
        <w:sectPr>
          <w:pgSz w:w="11900" w:h="16838" w:orient="portrait"/>
          <w:cols w:equalWidth="0" w:num="1">
            <w:col w:w="11320"/>
          </w:cols>
          <w:pgMar w:left="320" w:top="11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7" w:right="2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valuation of the Company’s financial assets and liabilities that are measured at fair value on a recurring basis:</w:t>
      </w:r>
    </w:p>
    <w:p>
      <w:pPr>
        <w:sectPr>
          <w:pgSz w:w="11900" w:h="16838" w:orient="portrait"/>
          <w:cols w:equalWidth="0" w:num="1">
            <w:col w:w="11240"/>
          </w:cols>
          <w:pgMar w:left="320" w:top="117" w:right="339" w:bottom="1440" w:gutter="0" w:footer="0" w:header="0"/>
        </w:sectPr>
      </w:pPr>
    </w:p>
    <w:p>
      <w:pPr>
        <w:spacing w:after="0" w:line="29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33655</wp:posOffset>
            </wp:positionV>
            <wp:extent cx="25114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33655</wp:posOffset>
            </wp:positionV>
            <wp:extent cx="25463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33" w:lineRule="exact"/>
        <w:rPr>
          <w:sz w:val="20"/>
          <w:szCs w:val="20"/>
          <w:color w:val="auto"/>
        </w:rPr>
      </w:pPr>
    </w:p>
    <w:p>
      <w:pPr>
        <w:sectPr>
          <w:pgSz w:w="11900" w:h="16838" w:orient="portrait"/>
          <w:cols w:equalWidth="0" w:num="2">
            <w:col w:w="7920" w:space="720"/>
            <w:col w:w="26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1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29"/>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securities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0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firstLine="251"/>
        <w:spacing w:after="0" w:line="302" w:lineRule="auto"/>
        <w:tabs>
          <w:tab w:leader="none" w:pos="383"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$53.3 million of U.S. government securities had an original maturity of 90 days or less and were recorded as a cash equivalent as of March 31, 2026. Approximately $47.8 million of U.S. government securities and $2.0 million of commercial paper had an original maturity of 90 days or less and were recorded as a cash equivalent as of December 31, 2025.</w:t>
      </w:r>
    </w:p>
    <w:p>
      <w:pPr>
        <w:spacing w:after="0" w:line="19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Revolving Credit Agreement</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July 29, 2022, the Company, as borrower, entered into a $150.0 million five-year senior secured revolving credit agreement by and among the Company, the other loan parties thereto, the lenders party thereto, and JPMorgan Chase Bank, N.A., as the administrative agent (the “Revolving Credit Agreement”). The Revolving Credit Agreement includes a $15.0 million sub-facility for the issuance of letters of credit, of which the Company is utilizing approximately $6.0 million. Amounts available under the Revolving Credit Agreement are for the working capital needs and other general corporate purposes of the Company. The Company incurred and capitalized approximately $1.1 million of debt issuance costs related to the Revolving Credit Agreement.</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Outstanding borrowings under the Revolving Credit Agreement bear interest, with pricing based from time to time at the Company’s election at (i) the Secured Overnight Financing Rate (“SOFR”) plus 0.10% plus a spread ranging from 1.25% to 2.50% as determined by the Company’s Total Net Leverage Ratio (as defined in the Revolving Credit Agreement) or (ii) the alternative base rate (as defined in the Revolving Credit Agreement) plus a spread ranging from 0.25% to 1.50% as determined by the Company’s Total Net Leverage Ratio. The Revolving Credit Agreement also includes a commitment fee, which ranges from 0.20% to 0.25% as determined by the Company’s Total Net Leverage Ratio.</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is permitted to voluntarily prepay borrowings under the Revolving Credit Agreement, in whole or in part, without premium or penalty. On any business day on which the total amount of outstanding Revolving Loans (as defined in the Revolving Credit Agreement) and letters of credit exceeds the total Revolving Commitments (as defined in the Revolving Credit Agreement), the Company must prepay the Revolving Loans in an amount equal to such excess. As of March 31, 2026, there are no outstanding borrowings under the Revolving Credit Agreement.</w:t>
      </w:r>
    </w:p>
    <w:p>
      <w:pPr>
        <w:spacing w:after="0" w:line="20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Revolving Credit Agreement contains a number of affirmative, negative, reporting and financial covenants, in each case subject to certain exceptions and materiality thresholds. The Revolving Credit Agreement requires the Company to be in quarterly compliance, measured on a trailing four quarter basis, with a financial covenant. The maximum Total Net Leverage Ratio (as defined in the Revolving Credit Agreement) is 3.50 to 1.00. The Company may elect to increase the maximum Total Net Leverage Ratio to 4.00 to 1.00 for a period of four consecutive quarters in connection with a Permitted Acquisition (as defined in the Revolving Credit Agreement).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Revolving Credit Agreement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20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Obligations under the Revolving Credit Agreement are secured by first priority liens over substantially all of the assets of Vericel Corporation, excluding certain subsidiaries (subject to customary exclusions set forth in the Revolving Credit Agreement and the other transaction documents).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Vericel Corporation 2022 Omnibus Incentive Plan (“2022 Plan”) was approved on April 27, 2022, and the Vericel Corporation Amended and Restated 2022 Omnibus Incentive Plan (“Amended and Restated 2022 Plan”) was approved on April 30, 2025. The Amended and Restated 2022 Plan provides incentives through the grant of stock options, stock appreciation rights, restricted stock awards and restricted stock units. The exercise price of stock options granted under the Amended and Restated 2022 Plan shall not be less than the fair market value of the Company’s common stock on the date of grant. The Amended and Restated 2022 Plan amended and restated the 2022 Plan, which replaced the 1992 Stock Option Plan, the 2001 Stock Option Plan, the Amended and Restated 2004 Equity Incentive Plan, the 2009 Second Amended and Restated Omnibus Incentive Plan, the 2017 Omnibus Incentive Plan and the Amended and Restated 2019 Omnibus Incentive Plan (collectively the “Prior Plans”), and no new grants have been granted under the Prior Plans after approval of the 2022 Plan. However, the expiration or forfeiture of options previously granted under the Prior Plans will increase the number of shares available for issuance under the Amended and Restated 2022 Plan.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Non-cash stock-based compensation expense (service-based stock options, restricted stock units and the employee stock purchase plan) is summarized in the following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Stock Options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granted service-based options to purchase common stock of 525,690 and 502,098, respectively. The weighted-average grant-date fair value of service-based options granted during the three months ended March 31, 2026 and 2025 was $19.92 and $29.93 per option,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granted 551,401 and 468,886 restricted stock units, respectively. The weighted-average grant-date fair value of restricted stock units granted during the three months ended March 31, 2026 and 2025, was $38.11 and $54.30 per unit,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Income (Loss) Per Common Share</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net income (loss) per common share is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8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loss per common share:</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NexoBrid License and Supply Agreements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May 6, 2019, the Company entered into exclusive license and supply agreements with MediWound to commercialize NexoBrid in North America. NexoBrid is a topically-administered biological orphan product containing proteolytic enzymes, for which the FDA approved a BLA in December 2022, permitting the product’s use for the removal of eschar in adults with deep partial-thickness and/or full-thickness thermal burns. Subsequently, in August 2024, the FDA approved a supplemental BLA expanding NexoBrid’s indication to include pediatric patients.</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Pursuant to the terms of the license agreement, following the FDA’s approval of the BLA for NexoBrid, MediWound transferred the BLA to Vericel. NexoBrid is approved in the European Union (“EU”) and other international markets and has been designated as an orphan biologic in the U.S., EU and other international markets.</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May 2019, the Company paid MediWound $17.5 million in consideration for the license, which was recorded as research and development expense during 2019. The FDA’s December 2022 approval of NexoBrid resulted in the achievement of a $7.5 million regulatory milestone payment pursuant to the terms of the license agreement. The Company recorded the $7.5 million milestone for the licensing rights to commercially sell NexoBrid in the U.S. as an intangible asset as of December 31, 2022 (see Note 4, “Selected Balance Sheet Components” for further details). The $7.5 million milestone payment was paid to MediWound in February of 2023.</w:t>
      </w:r>
    </w:p>
    <w:p>
      <w:pPr>
        <w:spacing w:after="0" w:line="21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Additionally, the Company is obligated to pay MediWound up to $125.0 million, which is contingent upon meeting certain sales milestones. The first sales milestone payment of $7.5 million would be triggered when annual net sales of NexoBrid or improvements to NexoBrid in North America exceed $75.0 million. As of March 31, 2026, the sales milestone payments are not yet probable and therefore, not recorded as a liability. The Company pays MediWound tiered royalties on net sales ranging from mid-high single-digit to mid-teen percentages, subject to customary reductions. Pursuant to the terms of the Company’s supply agreement with MediWound, MediWound is manufacturing, and will continue to manufacture, NexoBrid for the Company on a unit price basis, which may be increased pursuant to the terms of the supply agreement. MediWound was obligated to supply the Company with NexoBrid for sale in North America on an exclusive basis for the first five years of the term of the supply agreement. Under the supply agreement, the Company possessed the option to extend the initial term of the agreement by an additional 24 months, which it did in May 2022. After the initial term, the Company may extend the supply agreement on an annual basis for up to 10 additional years, at its sole discretion. In March 2025 and March 2026, the Company exercised the first and second of these annual extensions, respectively, extending the term of the supply agreement through at least May 2028. Under the supply agreement, the Company is permitted to establish an alternate source of supply in certain circumstances, including the event of a supply failure.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From time to 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operates its business primarily in the U.S. in one reportable segment - the research, product development, manufacture and distribution of cellular therapies and specialty biologics for use in the treatment of specific conditions. The Company is managed on a consolidated basis.</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was determined to be the Company’s chief operating decision maker (“CODM”). The CODM reviews and evaluates revenue, expenses and consolidated net income (loss), consistent with what is reported on the consolidated statement of operations, for purposes of assessing performance, making operating decisions, allocating resources, and planning and forecasting for future periods.</w:t>
      </w:r>
    </w:p>
    <w:p>
      <w:pPr>
        <w:spacing w:after="0" w:line="20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addition to the significant expense categories within the Company’s consolidated statements of operations, see below for disaggregated amounts that comprise selling, general and administrative expenses:</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26,546</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22,803</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19,001</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49,226</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41,804</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The BARDA Agreement</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March 31, 2026, the Company entered into a ten-year agreement with the U.S. Biomedical Advanced Research and Development Authority (“BARDA”), part of the Administration for Strategic Preparedness and Response (“ASPR”) within the U.S. Department of Health and Human Services (the “BARDA Agreement”). The BARDA Agreement is valued at up to $196.9 million and details BARDA’s agreement to procure certain quantities of NexoBrid, the establishment of a Vendor Managed Inventory (“VMI”) system for NexoBrid, the potential design and manufacture of a U.S.-based NexoBrid manufacturing facility, and the development of a next generation formulation and additional indication for the product.</w:t>
      </w:r>
    </w:p>
    <w:p>
      <w:pPr>
        <w:spacing w:after="0" w:line="21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BARDA Agreement’s base period encompasses $34.9 million in BARDA funding, which includes approximately $10 million for the initial procurement of NexoBrid for emergency preparedness and VMI establishment, funding for VMI-related services and initial development activities for a potential expanded NexoBrid indication for the treatment of blast trauma injuries. The BARDA Agreement, which became effective on April 1, 2026, also includes optional awards for additional NexoBrid procurement, further clinical development for a potential blast trauma indication, design and validation of a potential U.S.-based manufacturing facility and the development and procurement of a room temperature stable formulation of NexoBrid.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243"/>
        <w:spacing w:after="0"/>
        <w:rPr>
          <w:sz w:val="20"/>
          <w:szCs w:val="20"/>
          <w:color w:val="auto"/>
        </w:rPr>
      </w:pPr>
      <w:r>
        <w:rPr>
          <w:rFonts w:ascii="Times New Roman" w:cs="Times New Roman" w:eastAsia="Times New Roman" w:hAnsi="Times New Roman"/>
          <w:sz w:val="18"/>
          <w:szCs w:val="18"/>
          <w:color w:val="auto"/>
        </w:rPr>
        <w:t>Vericel Corporation is a leading provider of advanced therapies for the sports medicine and severe burn care markets. We have a highly differentiated portfolio of cell therapy and specialty biologic products that combines innovations in biology with medical technologies. We were among the first companies to achieve commercial success in the complex field of cell therapies with treatments that use tissue engineering to regenerate skin and healthy knee cartilage. We currently market two U.S. Food and Drug Administration (“FDA”) approved autologous cell therapy products and one FDA-approved specialty biologic product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autologous cellularized scaffold product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FDA approved a supplemental Biologics License Application (“sBLA”) expanding the MACI indication to add instructions for the arthroscopic delivery of MACI to the product’s approved labeling. MACI Arthro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allows surgeons to evaluate and prepare the cartilage defect site as well as deliver the MACI implant through small incisions using custom-designed arthroscopic instruments developed by the Company (“MACI Arthro instruments”). MACI Arthro became commercially available in the U.S. during the third quarter of 2024 and the Company began selling MACI Arthro instruments at that time.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29" w:lineRule="auto"/>
        <w:rPr>
          <w:sz w:val="20"/>
          <w:szCs w:val="20"/>
          <w:color w:val="auto"/>
        </w:rPr>
      </w:pPr>
      <w:r>
        <w:rPr>
          <w:rFonts w:ascii="Times New Roman" w:cs="Times New Roman" w:eastAsia="Times New Roman" w:hAnsi="Times New Roman"/>
          <w:sz w:val="18"/>
          <w:szCs w:val="18"/>
          <w:color w:val="auto"/>
        </w:rPr>
        <w:t>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permanent skin replacement Humanitarian Use Device (“HUD”) indicated for the treatment of adult and pediatric patients with deep-dermal or full-thickness burns comprising greater than or equal to 30 percent of a patient’s total body surface area (“TBSA”). We also hold an exclusive license from MediWound Ltd. (“MediWound”) for the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(anacaulase-bcdb), a topically-administered biological orphan product containing proteolytic enzymes, which is indicated for the removal of eschar in adult and pediatric patients with deep partial-thickness and/or full-thickness thermal burns.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currently used for U.S. manufacturing and distribution of MACI and Epicel. In January 2022, we entered into a lease agreement (as amended, the “Burlington Lease”) to lease approximately 126,000 square feet of manufacturing, laboratory and office space in Burlington, Massachusetts. The Burlington facility is complete, and we are currently utilizing the facility’s office space. In March 2026, we received FDA approval to begin MACI commercial manufacturing at the Burlington facility and the Company has begun transitioning the facility’s manufacturing component into the primary manufacturing facility for MACI. We intend that the Burlington facility’s manufacturing component will eventually also become the primary manufacturing facility for Epicel, upon FDA qualification for Epicel manufacturing.</w:t>
      </w:r>
    </w:p>
    <w:p>
      <w:pPr>
        <w:spacing w:after="0" w:line="21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current marketed products include two FDA-approved autologous cell therapies and one FDA-approved specialty biologic product. MACI is a third-generation autologous cellularized scaffold product indicated for the repair of symptomatic, single or multiple full-thickness cartilage defects of the knee with or without bone involvement in adults. In connection with our MACI product, we sell MACI biopsy kits, which are used by treating surgeons to obtain a sample of cartilage tissue, which is later sent to us. If a patient decides to move forward with MACI treatment, we subsequently use the cartilage sample to manufacture a MACI implant. When an orthopedic surgeon decides to treat a patient by implanting MACI through an arthroscopic approach the surgeon may choose to use our custom MACI Arthro instruments during the procedure, which we sell by way of a separate transaction.</w:t>
      </w:r>
    </w:p>
    <w:p>
      <w:pPr>
        <w:spacing w:after="0" w:line="21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Epicel is a permanent skin replacement indicated for the treatment of adult and pediatric patients with deep-dermal or full-thickness burns comprising greater than or equal to 30 percent of a patient’s TBSA. Both autologous cell therapy products, MACI and Epicel, are currently manufactured and marketed in the U.S. NexoBrid is a topically-administered biological orphan product containing proteolytic enzymes that is indicated for eschar removal in adult and pediatric patients with deep partial-thickness and/or full-thickness thermal burns. We hold exclusive license and supply agreements with MediWound to commercialize NexoBrid in North America. The Company operates its business primarily in the U.S. in one reportable segment - the research, product development, manufacture and distribution of cellular therapies and specialty biologics for use in the treatment of specific conditions.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MACI is a third-generation autologous chondrocyte implantation (“ACI”) product indicated for the repair of symptomatic, single or multiple full-thickness cartilage defects of the knee with or without bone involvement in adults.</w:t>
      </w:r>
    </w:p>
    <w:p>
      <w:pPr>
        <w:spacing w:after="0" w:line="18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Our target audiences are orthopedic surgeons who self-identify and/or have formal specialty training in sports medicine, and a subpopulation of general orthopedic surgeons who perform a high volume of cartilage repair procedures involving the knee. Our MACI commercial team consists of individual sales representatives that regularly engage with our target audience. The team is divided into geographic regions and is managed by a senior sales leadership team. A vast majority of the largest commercial payers in the U.S. have a formal medical policy that provides benefit coverage for treatment with MACI. With respect to private commercial payers that have not yet approved a medical policy for MACI, we often obtain approval on a case-by-case basis.</w:t>
      </w:r>
    </w:p>
    <w:p>
      <w:pPr>
        <w:spacing w:after="0" w:line="21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MACI consists of autologous cultured chondrocytes, which are human-derived cells that are obtained from the patient’s own cartilage, and which are seeded onto resorbable Type I/III collagen membrane. Since MACI’s commercial launch, the product’s FDA-approved labeling has provided for a treating surgeon to use MACI to treat a patient through an open surgical procedure.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August 2024, the FDA approved a supplemental Biologics License Application (“sBLA”) expanding the MACI indication to add instructions for the arthroscopic delivery of MACI to the product’s approved labeling, permitting the repair of single or multiple full-thickness cartilage defects of the knee up to 4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 size via an arthroscopic approach. MACI Arthro provides a less invasive technique compared to the open arthrotomy approach and allows surgeons to evaluate, prepare and treat the cartilage defect, and deliver the MACI implant, under direct arthroscopic visualization and, should the surgeon so choose, to use specialized and custom-designed instruments (the “MACI Arthro instruments”) through small incisions or portals. The arthroscopic delivery of MACI may increase the ease of MACI’s use for physicians and may reduce both the length of the procedure as well as procedure-induced trauma, which may result in a reduction of a patient’s post-operative pain and accelerate a patient’s recovery. MACI Arthro became commercially available in the U.S. during the third quarter of 2024 and we began selling MACI Arthro instruments at that time. We have experienced strong surgeon interest in the MACI Arthro technique since its launch. To date, more than 900 surgeons have participated in Company-sponsored education and training programs concerning the arthroscopic approach. We believe that the availability of MACI Arthro provides a significant growth opportunity for the overall MACI business, as we have already seen a significant increase in both MACI biopsies and implants from those surgeons who have engaged in MACI Arthro training and education programs. In conjunction with the launch of MACI Arthro, we have expanded our target surgeon base from 5,000 to 7,000 to include orthopedic surgeons that perform high volumes of knee cartilage repair surgeries, predominantly through arthroscopic procedures.</w:t>
      </w:r>
    </w:p>
    <w:p>
      <w:pPr>
        <w:spacing w:after="0" w:line="22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We also are focused on delivering MACI treatment to patients suffering from cartilage damage in the ankle. Following an application to the FDA, we received Investigational New Drug (“IND”) clearance for MACI’s use in the ankle during the second quarter of 2025, and during the fourth quarter of 2025 initiated a Study of MACI in Patients Aged 17 to 65 with Symptomatic Chondral or Osteochondral Defects of the Talus (“MASCOT”). MASCOT is a two-year prospective, multicenter, two-arm, parallel group open-label trial in which a total of 309 subjects, aged 17 to 65 will be randomized using a 2:1 ratio to receive a one-time treatment in the talus with MACI or arthroscopic bone marrow stimulation. MASCOT is the first randomized, controlled clinical trial evaluating MACI for the treatment of Osteochondral Lesion of the Talus (“OLT”). There are approximately 165,000 ankle resurfacing procedures conducted in the U.S. each year. Approximately 66,000 of those patients each year are considered clinically appropriate for MACI by surgeons. We estimate that approximately 18,000 of those patients suffer from larger ankle cartilage lesions, resulting in an increase of MACI’s addressable market. If approved, we believe MACI’s label expansion allowing its use to repair cartilage defects in the ankle will be a significant long-term growth driver for the product in the coming years.</w:t>
      </w:r>
    </w:p>
    <w:p>
      <w:pPr>
        <w:spacing w:after="0" w:line="2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Finally, our Burlington facility, discussed more fully above, is designed to meet both U.S. and global manufacturing requirements, which provides strategic flexibility to potentially commercialize MACI outside the U.S., and we are currently evaluating introducing MACI in additional geographies. We are currently focused on obtaining regulatory and marketing approval for MACI in the United Kingdom through the Medicine and Healthcare products Regulatory Agency (“MHRA”) and, if successful, anticipate commercializing MACI in the United Kingdom in 2027.</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comprising greater than or equal to 30 percent TBSA. Epicel is regulated by the FDA’s Center for Biologics Evaluation and Research (“CBER”) under medical device authorities, and is the only FDA-approved cultured epidermal autograft product available for large total surface area burns in both adult and pediatric patients. Epicel was designated as a HUD in 1998 and a Humanitarian Device Exemption (“HDE”) application for the product was submitted in 1999. HUDs are devices that are intended for diseases or conditions that affect fewer than 8,000 individuals annually in the U.S., and, for certain HUDs, the amount a manufacturer may charge for the product’s use is restricted.</w:t>
      </w:r>
    </w:p>
    <w:p>
      <w:pPr>
        <w:spacing w:after="0" w:line="21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Epicel is not price-restricted in this manner because in 2016, the FDA approved our HDE supplement to revise the labeled indications of use for Epicel to specifically include pediatric patients, thus allowing Epicel to be sold for profit. The product label also specifies that the probable benefit of Epicel, mainly related to survival, was demonstrated in two Epicel clinical experience databases and a physician-sponsored study comparing outcomes in patients with large burns treated with Epicel relative to standard care.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portfolio of commercial-stage products also includes NexoBrid (anacaulase-bcdb), a topically-administered biological orphan product containing proteolytic enzymes, for which the FDA approved a BLA in December 2022. NexoBrid is indicated for the removal of eschar in adults with deep partial-thickness and/or full-thickness thermal burns. Subsequently, in August 2024, the FDA approved an sBLA expanding NexoBrid’s indication to include pediatric patients.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addition to the U.S., 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people that are hospitalized in the U.S. each year for burn-related injuries, the majority, over 30,000, have thermal burns and will likely require some level of eschar removal. NexoBrid’s FDA approval expands our burn care franchise’s total addressable market, which permits us to treat a significantly larger segment of hospitalized burn patients than with Epicel alone. The expansion of our target addressable market supports a broader commercial footprint, and we believe that this may help drive both increased NexoBrid use as well as increased Epicel awareness throughout the burn care space. Both our Epicel and NexoBrid products are serviced by our burn care field force, which consists of individual sales and clinical representatives that regularly engage with our target audience. The team is divided into geographical regions and is managed by a senior sales leadership team.</w:t>
      </w:r>
    </w:p>
    <w:p>
      <w:pPr>
        <w:spacing w:after="0" w:line="21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to commercialize NexoBrid in North America. 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is a summary of our condensed consolidated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34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March 31, 2026 and 2025</w:t>
            </w: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9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Revenue</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Revenue by product is as follows: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4"/>
          </w:tcPr>
          <w:p>
            <w:pPr>
              <w:spacing w:after="0"/>
              <w:rPr>
                <w:sz w:val="2"/>
                <w:szCs w:val="2"/>
                <w:color w:val="auto"/>
              </w:rPr>
            </w:pPr>
          </w:p>
        </w:tc>
        <w:tc>
          <w:tcPr>
            <w:tcW w:w="144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00" w:type="dxa"/>
            <w:vAlign w:val="bottom"/>
            <w:gridSpan w:val="2"/>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32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Total revenue increase for the three months ended March 31, 2026, compared to the same period in 2025, was driven primarily by MACI and Epicel volume and price growth, partially offset by lower NexoBrid volume.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Sales of MACI implants have historically experienced a level of seasonality throughout the year. In the last five years through 2025, MACI sales volumes from the first through the fourth quarter on average represented 21% (20%-22% range), 23% (22%-24% range), 22% (21%-24% range) and 34% (33%-34% range) respectively, of total annual volumes. Historically,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MACI orders are normally stronger in the fourth quarter due to several factors including the satisfaction by patients of insurance deductible limits and the time of year patients prefer to start rehabilitation. Due to the low incidence and variable occurrence of severe burns, Epicel has inherent variability from quarter-to-quarter and does not exhibit significant seasonality.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Gross profit increased for the three months ended March 31, 2026, compared to the same period in 2025, primarily driven by MACI and Epicel revenue growth combined with our primarily fixed manufacturing cost structure, which consists mainly of labor and facility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were $8.1 million, compared to $7.3 million for the same period in 2025. The increase is primarily due to higher headcount and employee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2026 were $49.2 million, compared to $41.8 million for the same period in 2025. The increase in selling, general and administrative expenses is primarily due to higher headcount and employee expenses, including the MACI sales force expansion, and facility costs for the new facility in Burlington, Massachusetts.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increase in total other income for the three months ended March 31, 2026, compared to the same period in 2025 was due to an increase in interest income, which was primarily due to fluctuations in the rates of return on our investments in various marketable debt securities and money market funds.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Non-cash stock-based compensation expense is summarized in the following table:</w:t>
      </w:r>
    </w:p>
    <w:p>
      <w:pPr>
        <w:spacing w:after="0" w:line="28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3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5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center"/>
              <w:ind w:left="474"/>
              <w:spacing w:after="0"/>
              <w:rPr>
                <w:sz w:val="20"/>
                <w:szCs w:val="20"/>
                <w:color w:val="auto"/>
              </w:rPr>
            </w:pPr>
            <w:r>
              <w:rPr>
                <w:rFonts w:ascii="Times New Roman" w:cs="Times New Roman" w:eastAsia="Times New Roman" w:hAnsi="Times New Roman"/>
                <w:sz w:val="18"/>
                <w:szCs w:val="18"/>
                <w:color w:val="auto"/>
                <w:w w:val="96"/>
              </w:rPr>
              <w:t>283</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center"/>
              <w:ind w:left="434"/>
              <w:spacing w:after="0"/>
              <w:rPr>
                <w:sz w:val="20"/>
                <w:szCs w:val="20"/>
                <w:color w:val="auto"/>
              </w:rPr>
            </w:pPr>
            <w:r>
              <w:rPr>
                <w:rFonts w:ascii="Times New Roman" w:cs="Times New Roman" w:eastAsia="Times New Roman" w:hAnsi="Times New Roman"/>
                <w:sz w:val="18"/>
                <w:szCs w:val="18"/>
                <w:color w:val="auto"/>
                <w:w w:val="97"/>
              </w:rPr>
              <w:t>(152)</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7"/>
              </w:rPr>
              <w:t>(342)</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434"/>
              <w:spacing w:after="0"/>
              <w:rPr>
                <w:sz w:val="20"/>
                <w:szCs w:val="20"/>
                <w:color w:val="auto"/>
              </w:rPr>
            </w:pPr>
            <w:r>
              <w:rPr>
                <w:rFonts w:ascii="Times New Roman" w:cs="Times New Roman" w:eastAsia="Times New Roman" w:hAnsi="Times New Roman"/>
                <w:sz w:val="18"/>
                <w:szCs w:val="18"/>
                <w:color w:val="auto"/>
                <w:w w:val="97"/>
              </w:rPr>
              <w:t>(211)</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The decrease in stock-based compensation expense for the three months ended March 31, 2026, compared to the same period in 2025, was due primarily to fluctuations in stock prices and the mix of service-based options and restricted stock units, which impacts the fair value of the options and restricted stock units awarded and the expense recognized in the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40" w:type="dxa"/>
            <w:vAlign w:val="bottom"/>
            <w:gridSpan w:val="4"/>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0" w:type="dxa"/>
            <w:vAlign w:val="bottom"/>
          </w:tcPr>
          <w:p>
            <w:pPr>
              <w:spacing w:after="0"/>
              <w:rPr>
                <w:sz w:val="1"/>
                <w:szCs w:val="1"/>
                <w:color w:val="auto"/>
              </w:rPr>
            </w:pPr>
          </w:p>
        </w:tc>
      </w:tr>
      <w:tr>
        <w:trPr>
          <w:trHeight w:val="223"/>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cash and cash equivalents totaled $109.3 million, short-term investments totaled $36.0 million and long-term investments totaled $65.3 million as of March 31, 2026. The $16.4 million of cash provided by operations during the three months ended March 31, 2026 was primarily the result of non-cash charges of $11.3 million related to stock-based compensation expense, $3.3 million in depreciation and amortization expense, $1.4 million of operating lease amortization and a net increase of $6.5 million related to movements in our working capital accounts, partially offset by a net loss of $6.3 million. The overall increase in cash from our working capital accounts was primarily driven by a decrease in accounts receivable due to cash collections, partially offset by a decrease in accrued expenses due to timing of payments.</w:t>
      </w:r>
    </w:p>
    <w:p>
      <w:pPr>
        <w:spacing w:after="0" w:line="21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cash, cash equivalents and restricted cash totaled $79.7 million, short-term investments totaled $39.4 million and long-term investments totaled $43.3 million as of March 31, 2025. The $6.6 million of cash provided by operations during the three months ended March 31, 2025 was primarily the result of non-cash charges of $11.5 million related to stock-based compensation expense, $2.7 million in depreciation and amortization expense and $1.4 million of operating lease amortization, partially offset by a net loss of $11.2 million and a net increase of $1.4 million related to movements in our working capital accounts. The overall increase in cash from our working capital accounts was primarily driven by a decrease in accounts receivable due to cash collections and receipts of tenant improvement allowances which exceeded payments on operating leases amortization, offset by a decrease in accounts payable and accrued expenses due to timing of payments.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2026 was the result of $17.2 million in investment purchases and $1.3 million of property and equipment purchases primarily for construction in process, partially offset by $14.2 million of investment sales and maturities.</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2025 was the result of $14.2 million of property and equipment purchases primarily for construction in process related to the Burlington Lease and $13.4 million in investment purchases, partially offset by $12.5 million of investment sales and maturities.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Financing Activities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March 31, 2026 was the result of payment of employee withholding taxes related to the vesting of restricted stock units of $4.5 million, partially offset by the net proceeds from the exercise of stock options and the employee stock purchase plan of $1.6 million.</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2025 was the result of net proceeds from the exercise of stock options and the employee stock purchase plan of $9.4 million, partially offset by the payment of employee withholding taxes related to the vesting of restricted stock units of $6.2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Since our acquisition of MACI and Epicel in 2014, our primary focus has been to invest in our existing commercial business with the goal of growing revenue. We have raised significant funds in order to advance and complete our product development and product life-cycle management programs and to market and commercialize our products. To date, we have financed our operations primarily through cash received through MACI, Epicel and NexoBrid sales, debt, and public and private sales of our equity securities. In the future, we may finance our operations through sales of equity securities, revolver borrowings or other debt financings, in addition to cash generated from operations.</w:t>
      </w:r>
    </w:p>
    <w:p>
      <w:pPr>
        <w:spacing w:after="0" w:line="21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believe that our current cash on hand, cash equivalents, investments, and available borrowing capacity will be sufficient to support our current operations through at least 12 months from the issuance of the condensed consolidated financial statements included in this report. Our actual cash requirements may differ from projections and will depend on many factors, including the level and pace of future research and development efforts, the scope and results of ongoing and potential clinical trials, the costs involved in filing, prosecuting and enforcing patents, the need for additional manufacturing capacity, competing technological and market developments, global macroeconomic conditions, costs associated with possible acquisitions or development of complementary business activities, and the cost to market our products.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March 31, 2026, we were not party to any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July 29, 2022, we entered into a $150.0 million five-year senior secured revolving credit agreement by and among the Company, the other loan parties thereto, the lenders party thereto, and JPMorgan Chase Bank, N.A., as the administrative agent (the “Revolving Credit Agreement”). We have no immediate plans to borrow under the Revolving Credit Agreement, but we may use the facility for working capital needs and other general corporate purposes. As of March 31, 2026, there are no outstanding borrowings under the Revolving Credit Agreement, and we are in compliance with all applicable covenant requirements. See Note 8, “Revolving Credit Agreement” in the accompanying condensed consolidated financial statements for further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6"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in the heading “Management’s Discussion and Analysis of Financial Condition and Results of Operations - Contractual Obligations” in our Annual Report on Form 10-K for the year ended December 31, 2025. There have been no other material changes, outside of the ordinary course of business, to our contractual obligations and commitments since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judgments that affect our reported assets, liabilities, revenues, expenses, and related disclosures. Actual results may differ materially from these estimates under different assumptions and conditions.</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in the three months ended March 31, 2026. For further information, refer to our summary of significant accounting policies and estimates in our Annual Report on Form 10-K filed for the year ended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8"/>
          <w:szCs w:val="18"/>
          <w:color w:val="auto"/>
        </w:rPr>
        <w:t>This report,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Among the factors that could cause actual results to differ materially from those set forth in the forward-looking statements include, but are not limited to, uncertainties associated with our expectations regarding future revenue, growth in revenue, market penetration for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MACI Arthro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growth in profit, gross margins and operating margins, the ability to continue to scale our manufacturing operations to meet the demand for our cell therapy products, the ability to sustain profitability, contributions to adjusted EBITDA, the expected target surgeon audience, potential fluctuations in sales and volumes and our results of operations over the course of the year, timing and conduct of clinical trial and product development activities, timing and likelihood of the FDA’s potential approval of the use of MACI to treat cartilage defects in the ankle, the timing and likelihood of obtaining market approval for MACI in the United Kingdom, the estimate of the commercial growth potential of our products and product candidates, competitive developments, changes in third-party coverage and reimbursement, including recent and future healthcare reform measures and private payor initiatives, surgeon adoption of MACI Arthro, physician and burn center adoption of NexoBrid, labor strikes, supply chain disruptions or other events or factors that might affect our ability to manufacture MACI or Epicel or affect MediWound’s ability to manufacture and supply sufficient quantities of NexoBrid to meet customer demand, including but not limited to conflicts in the Middle East region involving Israel or those related to disruptions of land or sea transportation routes or distribution or shipping channels, uncertainties associated with the potential benefits of the Company’s agreement with BARDA for the procurement and development of NexoBrid and the availability of funding from BARDA under that agreement, negative impacts on the global economy and capital markets resulting from the conflicts in Ukraine and Iran and a potential regime change in Iran, as well as other hostilities in the Middle East, changes in trade policies and regulations, including the potential for increases or changes in duties, current and potentially new tariffs or quotas, lingering effects of adverse developments affecting financial institutions, companies in the financial services industry or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services industry generally, changes in governmental monetary and fiscal policies, including, but not limited to, Federal Reserve policies in connection with continued inflationary pressures, the impact from future regulatory, judicial and legislative changes affecting our industry or to the broader market, including those included in the One Big Beautiful Bill Act (the “OBBBA”), and a U.S. government shutdown.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on Form 10-K under “Part I, Item 1A. Risk Factors” and in our subsequent reports filed with the SEC.</w:t>
      </w:r>
    </w:p>
    <w:p>
      <w:pPr>
        <w:spacing w:after="0" w:line="21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on Form 10-K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of our Annual Report on Form 10-K for the year ended December 31, 2025. Our exposures to market risk have not changed materially since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March 31, 2026, the Company’s Certifying Officers concluded that the Company’s disclosure controls and procedures were effective.</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management of the Company, with the participation of its Certifying Officers,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made in our internal control over financial reporting (as such term is defined in Rules 13a-15(f) and 15d-15(f)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are currently not party to any material legal proceedings, although from time to time we may become involved in disputes in connection with the operation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Factors that could cause the Company’s actual results to differ materially from those in this Quarterly Report are any of the risks described in our Annual Report on Form 10-K for the fiscal year ended December 31, 2025, filed with the SEC on February 26, 2026.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on Form 10-Q, there have been no material changes to the risk factors disclosed in our Annual Report on Form 10-K for the fiscal year ended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our Section 16 officers or directors adopted, modified or terminated a “Rule 10b5-1 trading arrangement” (as defined in Item 408 of Regulation S-K of the Exchange Act).</w:t>
      </w:r>
    </w:p>
    <w:p>
      <w:pPr>
        <w:spacing w:after="0" w:line="18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Additionally, there were no “non-Rule 10b5-1 trading arrangements” (as defined in Item 408 of Regulation S-K of the Exchange Act) adopted, modified or terminated during the three months ended March 31, 2026 by our Section 16 officers or directors.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Exhibits listed in the Exhibit Index are filed as a part of this Quarterly Report on Form 10-Q.</w:t>
      </w: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5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3.3</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3.4</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3.5</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4.1</w:t>
      </w:r>
    </w:p>
    <w:p>
      <w:pPr>
        <w:spacing w:after="0" w:line="20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31.1*</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31.2*</w:t>
      </w:r>
    </w:p>
    <w:p>
      <w:pPr>
        <w:spacing w:after="0" w:line="38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32.1*</w:t>
      </w:r>
    </w:p>
    <w:p>
      <w:pPr>
        <w:spacing w:after="0" w:line="2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101.INS*</w:t>
      </w:r>
    </w:p>
    <w:p>
      <w:pPr>
        <w:spacing w:after="0" w:line="23"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101.SCH*</w:t>
      </w:r>
    </w:p>
    <w:p>
      <w:pPr>
        <w:spacing w:after="0" w:line="20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101.CAL*</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101.LAB*</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101.PRE*</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101.DEF*</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20" w:type="dxa"/>
            <w:vAlign w:val="bottom"/>
            <w:gridSpan w:val="10"/>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gridSpan w:val="10"/>
            <w:vMerge w:val="continue"/>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5"/>
        </w:trPr>
        <w:tc>
          <w:tcPr>
            <w:tcW w:w="2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December 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10"/>
          </w:tcPr>
          <w:p>
            <w:pPr>
              <w:spacing w:after="0" w:line="202"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Restated Articles of Incorporation of the Company.</w:t>
              </w:r>
            </w:hyperlink>
          </w:p>
        </w:tc>
        <w:tc>
          <w:tcPr>
            <w:tcW w:w="12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Certificate of Amendment to Restated Articles of</w:t>
              </w:r>
            </w:hyperlink>
          </w:p>
        </w:tc>
        <w:tc>
          <w:tcPr>
            <w:tcW w:w="940" w:type="dxa"/>
            <w:vAlign w:val="bottom"/>
            <w:gridSpan w:val="6"/>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Incorporation of the Company dated February 9,</w:t>
              </w:r>
            </w:hyperlink>
          </w:p>
        </w:tc>
        <w:tc>
          <w:tcPr>
            <w:tcW w:w="400" w:type="dxa"/>
            <w:vAlign w:val="bottom"/>
            <w:tcBorders>
              <w:bottom w:val="single" w:sz="8" w:color="0000FF"/>
            </w:tcBorders>
            <w:gridSpan w:val="4"/>
          </w:tcPr>
          <w:p>
            <w:pPr>
              <w:jc w:val="right"/>
              <w:spacing w:after="0" w:line="136" w:lineRule="exact"/>
              <w:rPr>
                <w:rFonts w:ascii="Times New Roman" w:cs="Times New Roman" w:eastAsia="Times New Roman" w:hAnsi="Times New Roman"/>
                <w:sz w:val="15"/>
                <w:szCs w:val="15"/>
                <w:color w:val="0000FF"/>
              </w:rPr>
            </w:pPr>
            <w:hyperlink r:id="rId48">
              <w:r>
                <w:rPr>
                  <w:rFonts w:ascii="Times New Roman" w:cs="Times New Roman" w:eastAsia="Times New Roman" w:hAnsi="Times New Roman"/>
                  <w:sz w:val="15"/>
                  <w:szCs w:val="15"/>
                  <w:color w:val="0000FF"/>
                </w:rPr>
                <w:t>2010.</w:t>
              </w:r>
            </w:hyperlink>
          </w:p>
        </w:tc>
        <w:tc>
          <w:tcPr>
            <w:tcW w:w="22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120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8"/>
                <w:szCs w:val="18"/>
                <w:color w:val="auto"/>
              </w:rPr>
              <w:t>S-1</w:t>
            </w:r>
          </w:p>
        </w:tc>
        <w:tc>
          <w:tcPr>
            <w:tcW w:w="11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333-160044</w:t>
            </w:r>
          </w:p>
        </w:tc>
        <w:tc>
          <w:tcPr>
            <w:tcW w:w="12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March 31, 2010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Certificate of Amendment to Restated Articles of</w:t>
              </w:r>
            </w:hyperlink>
          </w:p>
        </w:tc>
        <w:tc>
          <w:tcPr>
            <w:tcW w:w="1080" w:type="dxa"/>
            <w:vAlign w:val="bottom"/>
            <w:gridSpan w:val="7"/>
          </w:tcPr>
          <w:p>
            <w:pPr>
              <w:spacing w:after="0"/>
              <w:rPr>
                <w:sz w:val="19"/>
                <w:szCs w:val="19"/>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Pr>
          <w:p>
            <w:pPr>
              <w:spacing w:after="0"/>
              <w:rPr>
                <w:sz w:val="19"/>
                <w:szCs w:val="1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25, 2011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Borders>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Incorporation of the Company dated March 22, 2011.</w:t>
              </w:r>
            </w:hyperlink>
          </w:p>
        </w:tc>
        <w:tc>
          <w:tcPr>
            <w:tcW w:w="780" w:type="dxa"/>
            <w:vAlign w:val="bottom"/>
            <w:gridSpan w:val="4"/>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10"/>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Certificate of Amendment to the Restated Articles of</w:t>
              </w:r>
            </w:hyperlink>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Incorporation of the Company, dated November 21,</w:t>
              </w:r>
            </w:hyperlink>
          </w:p>
        </w:tc>
        <w:tc>
          <w:tcPr>
            <w:tcW w:w="360" w:type="dxa"/>
            <w:vAlign w:val="bottom"/>
            <w:tcBorders>
              <w:bottom w:val="single" w:sz="8" w:color="0000FF"/>
            </w:tcBorders>
            <w:gridSpan w:val="3"/>
          </w:tcPr>
          <w:p>
            <w:pPr>
              <w:jc w:val="right"/>
              <w:spacing w:after="0" w:line="136" w:lineRule="exact"/>
              <w:rPr>
                <w:rFonts w:ascii="Times New Roman" w:cs="Times New Roman" w:eastAsia="Times New Roman" w:hAnsi="Times New Roman"/>
                <w:sz w:val="15"/>
                <w:szCs w:val="15"/>
                <w:color w:val="0000FF"/>
              </w:rPr>
            </w:pPr>
            <w:hyperlink r:id="rId50">
              <w:r>
                <w:rPr>
                  <w:rFonts w:ascii="Times New Roman" w:cs="Times New Roman" w:eastAsia="Times New Roman" w:hAnsi="Times New Roman"/>
                  <w:sz w:val="15"/>
                  <w:szCs w:val="15"/>
                  <w:color w:val="0000FF"/>
                </w:rPr>
                <w:t>2014.</w:t>
              </w:r>
            </w:hyperlink>
          </w:p>
        </w:tc>
        <w:tc>
          <w:tcPr>
            <w:tcW w:w="460" w:type="dxa"/>
            <w:vAlign w:val="bottom"/>
            <w:gridSpan w:val="2"/>
          </w:tcPr>
          <w:p>
            <w:pPr>
              <w:spacing w:after="0"/>
              <w:rPr>
                <w:sz w:val="13"/>
                <w:szCs w:val="13"/>
                <w:color w:val="auto"/>
              </w:rPr>
            </w:pPr>
          </w:p>
        </w:tc>
        <w:tc>
          <w:tcPr>
            <w:tcW w:w="120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001-35280</w:t>
            </w:r>
          </w:p>
        </w:tc>
        <w:tc>
          <w:tcPr>
            <w:tcW w:w="12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tcBorders>
              <w:bottom w:val="single" w:sz="8" w:color="0000FF"/>
            </w:tcBorders>
            <w:gridSpan w:val="2"/>
          </w:tcPr>
          <w:p>
            <w:pPr>
              <w:spacing w:after="0" w:line="202" w:lineRule="exact"/>
              <w:rPr>
                <w:rFonts w:ascii="Times New Roman" w:cs="Times New Roman" w:eastAsia="Times New Roman" w:hAnsi="Times New Roman"/>
                <w:sz w:val="18"/>
                <w:szCs w:val="18"/>
                <w:color w:val="0000FF"/>
                <w:w w:val="98"/>
              </w:rPr>
            </w:pPr>
            <w:hyperlink r:id="rId51">
              <w:r>
                <w:rPr>
                  <w:rFonts w:ascii="Times New Roman" w:cs="Times New Roman" w:eastAsia="Times New Roman" w:hAnsi="Times New Roman"/>
                  <w:sz w:val="18"/>
                  <w:szCs w:val="18"/>
                  <w:color w:val="0000FF"/>
                  <w:w w:val="98"/>
                </w:rPr>
                <w:t>Amended and restated bylaws.</w:t>
              </w:r>
            </w:hyperlink>
          </w:p>
        </w:tc>
        <w:tc>
          <w:tcPr>
            <w:tcW w:w="2420" w:type="dxa"/>
            <w:vAlign w:val="bottom"/>
            <w:gridSpan w:val="8"/>
          </w:tcPr>
          <w:p>
            <w:pPr>
              <w:spacing w:after="0"/>
              <w:rPr>
                <w:sz w:val="17"/>
                <w:szCs w:val="17"/>
                <w:color w:val="auto"/>
              </w:rPr>
            </w:pPr>
          </w:p>
        </w:tc>
        <w:tc>
          <w:tcPr>
            <w:tcW w:w="12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gridSpan w:val="10"/>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Description of Capital Stock.</w:t>
              </w:r>
            </w:hyperlink>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25,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-925195</wp:posOffset>
            </wp:positionV>
            <wp:extent cx="6995160" cy="265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6995160" cy="26543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-393700</wp:posOffset>
            </wp:positionV>
            <wp:extent cx="699516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6995160" cy="26543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-1465580</wp:posOffset>
            </wp:positionV>
            <wp:extent cx="699516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u w:val="single" w:color="auto"/>
          <w:color w:val="0000FF"/>
        </w:rPr>
        <w:t>Section 302 of the Sarbanes-Oxley Act of 2002.</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Section 302 of the Sarbanes-Oxley Act of 2002.</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377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ind w:left="20"/>
        <w:spacing w:after="0" w:line="219" w:lineRule="auto"/>
        <w:rPr>
          <w:sz w:val="20"/>
          <w:szCs w:val="20"/>
          <w:color w:val="auto"/>
        </w:rPr>
      </w:pPr>
      <w:r>
        <w:rPr>
          <w:rFonts w:ascii="Times New Roman" w:cs="Times New Roman" w:eastAsia="Times New Roman" w:hAnsi="Times New Roman"/>
          <w:sz w:val="18"/>
          <w:szCs w:val="18"/>
          <w:u w:val="single" w:color="auto"/>
          <w:color w:val="0000FF"/>
        </w:rPr>
        <w:t>Officer pursuant to Section 906 of the Sarbanes-Oxley Act of</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14605</wp:posOffset>
            </wp:positionV>
            <wp:extent cx="699516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265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Cover Page Interactive Data File (formatted as inline XBRL</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and contained in Exhibit 101)</w:t>
      </w:r>
    </w:p>
    <w:p>
      <w:pPr>
        <w:spacing w:after="0" w:line="200" w:lineRule="exact"/>
        <w:rPr>
          <w:sz w:val="20"/>
          <w:szCs w:val="20"/>
          <w:color w:val="auto"/>
        </w:rPr>
      </w:pPr>
    </w:p>
    <w:p>
      <w:pPr>
        <w:sectPr>
          <w:pgSz w:w="11900" w:h="16838" w:orient="portrait"/>
          <w:cols w:equalWidth="0" w:num="2">
            <w:col w:w="1240" w:space="260"/>
            <w:col w:w="9640"/>
          </w:cols>
          <w:pgMar w:left="320" w:top="117" w:right="43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00" w:lineRule="exact"/>
        <w:rPr>
          <w:sz w:val="20"/>
          <w:szCs w:val="20"/>
          <w:color w:val="auto"/>
        </w:rPr>
      </w:pPr>
    </w:p>
    <w:p>
      <w:pPr>
        <w:spacing w:after="0" w:line="28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20"/>
          </w:cols>
          <w:pgMar w:left="320" w:top="117" w:right="10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5"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jc w:val="both"/>
        <w:ind w:right="260" w:firstLine="8"/>
        <w:spacing w:after="0" w:line="282" w:lineRule="auto"/>
        <w:tabs>
          <w:tab w:leader="none" w:pos="4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4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4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1182"/>
        <w:spacing w:after="0" w:line="266" w:lineRule="auto"/>
        <w:tabs>
          <w:tab w:leader="none" w:pos="141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80" w:firstLine="1182"/>
        <w:spacing w:after="0" w:line="266" w:lineRule="auto"/>
        <w:tabs>
          <w:tab w:leader="none" w:pos="142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1182"/>
        <w:spacing w:after="0" w:line="282" w:lineRule="auto"/>
        <w:tabs>
          <w:tab w:leader="none" w:pos="141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80" w:firstLine="1182"/>
        <w:spacing w:after="0" w:line="266" w:lineRule="auto"/>
        <w:tabs>
          <w:tab w:leader="none" w:pos="142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60" w:firstLine="8"/>
        <w:spacing w:after="0" w:line="282" w:lineRule="auto"/>
        <w:tabs>
          <w:tab w:leader="none" w:pos="4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40" w:firstLine="1182"/>
        <w:spacing w:after="0" w:line="282" w:lineRule="auto"/>
        <w:tabs>
          <w:tab w:leader="none" w:pos="140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1182"/>
        <w:spacing w:after="0" w:line="282" w:lineRule="auto"/>
        <w:tabs>
          <w:tab w:leader="none" w:pos="141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7, 2026</w:t>
      </w:r>
    </w:p>
    <w:p>
      <w:pPr>
        <w:spacing w:after="0" w:line="36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A. Mara, certify that:</w:t>
      </w:r>
    </w:p>
    <w:p>
      <w:pPr>
        <w:spacing w:after="0" w:line="225" w:lineRule="exact"/>
        <w:rPr>
          <w:sz w:val="20"/>
          <w:szCs w:val="20"/>
          <w:color w:val="auto"/>
        </w:rPr>
      </w:pPr>
    </w:p>
    <w:p>
      <w:pPr>
        <w:ind w:left="440" w:hanging="189"/>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ind w:right="260" w:firstLine="251"/>
        <w:spacing w:after="0" w:line="282" w:lineRule="auto"/>
        <w:tabs>
          <w:tab w:leader="none" w:pos="4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00" w:firstLine="251"/>
        <w:spacing w:after="0" w:line="282" w:lineRule="auto"/>
        <w:tabs>
          <w:tab w:leader="none" w:pos="4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251"/>
        <w:spacing w:after="0" w:line="266" w:lineRule="auto"/>
        <w:tabs>
          <w:tab w:leader="none" w:pos="4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34"/>
        <w:spacing w:after="0" w:line="266" w:lineRule="auto"/>
        <w:tabs>
          <w:tab w:leader="none" w:pos="7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34"/>
        <w:spacing w:after="0" w:line="266" w:lineRule="auto"/>
        <w:tabs>
          <w:tab w:leader="none" w:pos="7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34"/>
        <w:spacing w:after="0" w:line="282" w:lineRule="auto"/>
        <w:tabs>
          <w:tab w:leader="none" w:pos="7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34"/>
        <w:spacing w:after="0" w:line="266" w:lineRule="auto"/>
        <w:tabs>
          <w:tab w:leader="none" w:pos="7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251"/>
        <w:spacing w:after="0" w:line="282" w:lineRule="auto"/>
        <w:tabs>
          <w:tab w:leader="none" w:pos="4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60" w:firstLine="534"/>
        <w:spacing w:after="0" w:line="282" w:lineRule="auto"/>
        <w:tabs>
          <w:tab w:leader="none" w:pos="76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34"/>
        <w:spacing w:after="0" w:line="282" w:lineRule="auto"/>
        <w:tabs>
          <w:tab w:leader="none" w:pos="7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7, 2026</w:t>
      </w:r>
    </w:p>
    <w:p>
      <w:pPr>
        <w:spacing w:after="0" w:line="36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8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36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March 31, 2026,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25" w:lineRule="exact"/>
        <w:rPr>
          <w:rFonts w:ascii="Times New Roman" w:cs="Times New Roman" w:eastAsia="Times New Roman" w:hAnsi="Times New Roman"/>
          <w:sz w:val="18"/>
          <w:szCs w:val="18"/>
          <w:color w:val="auto"/>
        </w:rPr>
      </w:pPr>
    </w:p>
    <w:p>
      <w:pPr>
        <w:ind w:right="420" w:firstLine="8"/>
        <w:spacing w:after="0" w:line="532" w:lineRule="auto"/>
        <w:tabs>
          <w:tab w:leader="none" w:pos="3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7, 2026</w:t>
      </w:r>
    </w:p>
    <w:p>
      <w:pPr>
        <w:spacing w:after="0" w:line="8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Joseph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decimal"/>
      <w:start w:val="4"/>
    </w:lvl>
    <w:lvl w:ilvl="1">
      <w:lvlJc w:val="left"/>
      <w:lvlText w:val="%2"/>
      <w:numFmt w:val="lowerLetter"/>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47" Type="http://schemas.openxmlformats.org/officeDocument/2006/relationships/hyperlink" Target="https://www.sec.gov/Archives/edgar/data/887359/000129993309004957/exhibit1.htm" TargetMode="External"/><Relationship Id="rId48" Type="http://schemas.openxmlformats.org/officeDocument/2006/relationships/hyperlink" Target="https://www.sec.gov/Archives/edgar/data/887359/000095012310030777/b80276exv3w2.htm" TargetMode="External"/><Relationship Id="rId49" Type="http://schemas.openxmlformats.org/officeDocument/2006/relationships/hyperlink" Target="https://www.sec.gov/Archives/edgar/data/887359/000095012311029237/a59068exv3w1.htm" TargetMode="External"/><Relationship Id="rId50" Type="http://schemas.openxmlformats.org/officeDocument/2006/relationships/hyperlink" Target="https://www.sec.gov/Archives/edgar/data/887359/000110465914083052/a14-25082_1ex3d1.htm" TargetMode="External"/><Relationship Id="rId51" Type="http://schemas.openxmlformats.org/officeDocument/2006/relationships/hyperlink" Target="https://www.sec.gov/Archives/edgar/data/887359/000129993310004053/exhibit1.htm" TargetMode="External"/><Relationship Id="rId52" Type="http://schemas.openxmlformats.org/officeDocument/2006/relationships/hyperlink" Target="https://www.sec.gov/Archives/edgar/data/887359/000162828020002229/ex45descriptionofcap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2026-05-07T07:57:28Z</dcterms:created>
  <dcterms:modified xsi:type="dcterms:W3CDTF">2026-05-07T07:57:28Z</dcterms:modified>
</cp:coreProperties>
</file>