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Mara Joseph Anthony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 SIDNEY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Vericel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502"/>
        <w:gridCol w:w="675"/>
        <w:gridCol w:w="1174"/>
        <w:gridCol w:w="1006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by an automatic sale pursuant to a Rule 10b5-1 trading plan adopted by the reporting person on December 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include shares acquired pursuant to the Issuer's 2015 Employee Stock Purchase Plan in transactions that were exempt under both Rule 16b-3(d) and Rule 16b-3(c).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Sean Flynn, as Attorney-in-Fact for Joseph Mara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1148" TargetMode="External"/><Relationship Id="rId5" Type="http://schemas.openxmlformats.org/officeDocument/2006/relationships/hyperlink" Target="http://www.sec.gov/cgi-bin/browse-edgar?action=getcompany&amp;CIK=00008873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3345</Characters>
  <CharactersWithSpaces>3906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