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ind w:left="60"/>
        <w:spacing w:after="0"/>
        <w:rPr>
          <w:sz w:val="20"/>
          <w:szCs w:val="20"/>
          <w:color w:val="auto"/>
        </w:rPr>
      </w:pPr>
      <w:r>
        <w:rPr>
          <w:rFonts w:ascii="Arial" w:cs="Arial" w:eastAsia="Arial" w:hAnsi="Arial"/>
          <w:sz w:val="18"/>
          <w:szCs w:val="18"/>
          <w:b w:val="1"/>
          <w:bCs w:val="1"/>
          <w:color w:val="auto"/>
        </w:rPr>
        <w:t>(Mark One)</w:t>
      </w:r>
    </w:p>
    <w:p>
      <w:pPr>
        <w:spacing w:after="0" w:line="115" w:lineRule="exact"/>
        <w:rPr>
          <w:sz w:val="24"/>
          <w:szCs w:val="24"/>
          <w:color w:val="auto"/>
        </w:rPr>
      </w:pPr>
    </w:p>
    <w:p>
      <w:pPr>
        <w:ind w:left="540" w:hanging="208"/>
        <w:spacing w:after="0"/>
        <w:tabs>
          <w:tab w:leader="none" w:pos="540" w:val="left"/>
        </w:tabs>
        <w:numPr>
          <w:ilvl w:val="0"/>
          <w:numId w:val="1"/>
        </w:numPr>
        <w:rPr>
          <w:rFonts w:ascii="Arial" w:cs="Arial" w:eastAsia="Arial" w:hAnsi="Arial"/>
          <w:sz w:val="19"/>
          <w:szCs w:val="19"/>
          <w:color w:val="auto"/>
        </w:rPr>
      </w:pPr>
      <w:r>
        <w:rPr>
          <w:rFonts w:ascii="Arial" w:cs="Arial" w:eastAsia="Arial" w:hAnsi="Arial"/>
          <w:sz w:val="21"/>
          <w:szCs w:val="21"/>
          <w:b w:val="1"/>
          <w:bCs w:val="1"/>
          <w:color w:val="auto"/>
        </w:rPr>
        <w:t>QUARTERLY REPORT PURSUANT TO SECTION 13 OR 15(D) OF THE SECURITIES EXCHANGE ACT OF</w:t>
      </w:r>
    </w:p>
    <w:p>
      <w:pPr>
        <w:spacing w:after="0" w:line="3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b w:val="1"/>
          <w:bCs w:val="1"/>
          <w:color w:val="auto"/>
        </w:rPr>
        <w:t>1934</w:t>
      </w:r>
    </w:p>
    <w:p>
      <w:pPr>
        <w:spacing w:after="0" w:line="1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right="260" w:firstLine="324"/>
        <w:spacing w:after="0" w:line="250" w:lineRule="auto"/>
        <w:rPr>
          <w:sz w:val="20"/>
          <w:szCs w:val="20"/>
          <w:color w:val="auto"/>
        </w:rPr>
      </w:pPr>
      <w:r>
        <w:rPr>
          <w:rFonts w:ascii="Arial" w:cs="Arial" w:eastAsia="Arial" w:hAnsi="Arial"/>
          <w:sz w:val="22"/>
          <w:szCs w:val="22"/>
          <w:b w:val="1"/>
          <w:bCs w:val="1"/>
          <w:color w:val="auto"/>
        </w:rPr>
        <w:t>o TRANSITION REPORT PURSUANT TO SECTION 13 OR 15(D) OF THE SECURITIES EXCHANGE ACT OF 1934</w:t>
      </w:r>
    </w:p>
    <w:p>
      <w:pPr>
        <w:jc w:val="center"/>
        <w:ind w:right="-19"/>
        <w:spacing w:after="0" w:line="197" w:lineRule="auto"/>
        <w:rPr>
          <w:sz w:val="20"/>
          <w:szCs w:val="20"/>
          <w:color w:val="auto"/>
        </w:rPr>
      </w:pPr>
      <w:r>
        <w:rPr>
          <w:rFonts w:ascii="Arial" w:cs="Arial" w:eastAsia="Arial" w:hAnsi="Arial"/>
          <w:sz w:val="18"/>
          <w:szCs w:val="18"/>
          <w:b w:val="1"/>
          <w:bCs w:val="1"/>
          <w:color w:val="auto"/>
        </w:rPr>
        <w:t>Commission file number 001-35280</w:t>
      </w:r>
    </w:p>
    <w:p>
      <w:pPr>
        <w:jc w:val="center"/>
        <w:ind w:right="-19"/>
        <w:spacing w:after="0" w:line="216" w:lineRule="auto"/>
        <w:rPr>
          <w:sz w:val="20"/>
          <w:szCs w:val="20"/>
          <w:color w:val="auto"/>
        </w:rPr>
      </w:pPr>
      <w:r>
        <w:rPr>
          <w:rFonts w:ascii="Arial" w:cs="Arial" w:eastAsia="Arial" w:hAnsi="Arial"/>
          <w:sz w:val="32"/>
          <w:szCs w:val="32"/>
          <w:b w:val="1"/>
          <w:bCs w:val="1"/>
          <w:color w:val="auto"/>
        </w:rPr>
        <w:t>VERICEL CORPORATION</w:t>
      </w: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86" w:right="239" w:bottom="1440" w:gutter="0" w:footer="0" w:header="0"/>
        </w:sectPr>
      </w:pPr>
    </w:p>
    <w:p>
      <w:pPr>
        <w:spacing w:after="0" w:line="300" w:lineRule="exact"/>
        <w:rPr>
          <w:sz w:val="24"/>
          <w:szCs w:val="24"/>
          <w:color w:val="auto"/>
        </w:rPr>
      </w:pPr>
    </w:p>
    <w:p>
      <w:pPr>
        <w:ind w:left="2540"/>
        <w:spacing w:after="0"/>
        <w:rPr>
          <w:sz w:val="20"/>
          <w:szCs w:val="20"/>
          <w:color w:val="auto"/>
        </w:rPr>
      </w:pPr>
      <w:r>
        <w:rPr>
          <w:rFonts w:ascii="Arial" w:cs="Arial" w:eastAsia="Arial" w:hAnsi="Arial"/>
          <w:sz w:val="16"/>
          <w:szCs w:val="16"/>
          <w:b w:val="1"/>
          <w:bCs w:val="1"/>
          <w:color w:val="auto"/>
        </w:rPr>
        <w:t>Michigan</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94-3096597</w:t>
      </w:r>
    </w:p>
    <w:p>
      <w:pPr>
        <w:spacing w:after="0" w:line="90" w:lineRule="exact"/>
        <w:rPr>
          <w:sz w:val="24"/>
          <w:szCs w:val="24"/>
          <w:color w:val="auto"/>
        </w:rPr>
      </w:pPr>
    </w:p>
    <w:p>
      <w:pPr>
        <w:sectPr>
          <w:pgSz w:w="11900" w:h="16838" w:orient="portrait"/>
          <w:cols w:equalWidth="0" w:num="2">
            <w:col w:w="7380" w:space="720"/>
            <w:col w:w="3320"/>
          </w:cols>
          <w:pgMar w:left="240" w:top="786" w:right="239" w:bottom="1440" w:gutter="0" w:footer="0" w:header="0"/>
          <w:type w:val="continuous"/>
        </w:sectPr>
      </w:pPr>
    </w:p>
    <w:p>
      <w:pPr>
        <w:ind w:left="186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w:t>
      </w:r>
    </w:p>
    <w:p>
      <w:pPr>
        <w:spacing w:after="0" w:line="86" w:lineRule="exact"/>
        <w:rPr>
          <w:sz w:val="24"/>
          <w:szCs w:val="24"/>
          <w:color w:val="auto"/>
        </w:rPr>
      </w:pPr>
    </w:p>
    <w:p>
      <w:pPr>
        <w:sectPr>
          <w:pgSz w:w="11900" w:h="16838" w:orient="portrait"/>
          <w:cols w:equalWidth="0" w:num="2">
            <w:col w:w="7220" w:space="720"/>
            <w:col w:w="3480"/>
          </w:cols>
          <w:pgMar w:left="240" w:top="786" w:right="23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2">
            <w:col w:w="7160" w:space="720"/>
            <w:col w:w="3540"/>
          </w:cols>
          <w:pgMar w:left="240" w:top="786" w:right="239" w:bottom="1440" w:gutter="0" w:footer="0" w:header="0"/>
          <w:type w:val="continuous"/>
        </w:sectPr>
      </w:pPr>
    </w:p>
    <w:p>
      <w:pPr>
        <w:spacing w:after="0" w:line="1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64 Sidney Street</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Cambridge, MA 02139</w:t>
      </w:r>
    </w:p>
    <w:p>
      <w:pPr>
        <w:sectPr>
          <w:pgSz w:w="11900" w:h="16838" w:orient="portrait"/>
          <w:cols w:equalWidth="0" w:num="1">
            <w:col w:w="11420"/>
          </w:cols>
          <w:pgMar w:left="240" w:top="786" w:right="239" w:bottom="1440" w:gutter="0" w:footer="0" w:header="0"/>
          <w:type w:val="continuous"/>
        </w:sectPr>
      </w:pP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556-0311</w:t>
      </w:r>
    </w:p>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44" w:lineRule="exact"/>
        <w:rPr>
          <w:sz w:val="24"/>
          <w:szCs w:val="24"/>
          <w:color w:val="auto"/>
        </w:rPr>
      </w:pPr>
    </w:p>
    <w:p>
      <w:pPr>
        <w:ind w:right="140" w:firstLine="324"/>
        <w:spacing w:after="0" w:line="22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x No - o</w:t>
      </w:r>
    </w:p>
    <w:p>
      <w:pPr>
        <w:spacing w:after="0" w:line="123" w:lineRule="exact"/>
        <w:rPr>
          <w:sz w:val="24"/>
          <w:szCs w:val="24"/>
          <w:color w:val="auto"/>
        </w:rPr>
      </w:pPr>
    </w:p>
    <w:p>
      <w:pPr>
        <w:jc w:val="both"/>
        <w:ind w:firstLine="243"/>
        <w:spacing w:after="0" w:line="22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 x No - o</w:t>
      </w:r>
    </w:p>
    <w:p>
      <w:pPr>
        <w:spacing w:after="0" w:line="298" w:lineRule="exact"/>
        <w:rPr>
          <w:sz w:val="24"/>
          <w:szCs w:val="24"/>
          <w:color w:val="auto"/>
        </w:rPr>
      </w:pPr>
    </w:p>
    <w:p>
      <w:pPr>
        <w:ind w:right="80" w:firstLine="243"/>
        <w:spacing w:after="0" w:line="22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o</w:t>
      </w:r>
    </w:p>
    <w:p>
      <w:pPr>
        <w:spacing w:after="0" w:line="123" w:lineRule="exact"/>
        <w:rPr>
          <w:sz w:val="24"/>
          <w:szCs w:val="24"/>
          <w:color w:val="auto"/>
        </w:rPr>
      </w:pPr>
    </w:p>
    <w:tbl>
      <w:tblPr>
        <w:tblLayout w:type="fixed"/>
        <w:tblInd w:w="900" w:type="dxa"/>
        <w:tblCellMar>
          <w:top w:w="0" w:type="dxa"/>
          <w:left w:w="0" w:type="dxa"/>
          <w:bottom w:w="0" w:type="dxa"/>
          <w:right w:w="0" w:type="dxa"/>
        </w:tblCellMar>
      </w:tblPr>
      <w:tr>
        <w:trPr>
          <w:trHeight w:val="230"/>
        </w:trPr>
        <w:tc>
          <w:tcPr>
            <w:tcW w:w="4940" w:type="dxa"/>
            <w:vAlign w:val="bottom"/>
          </w:tcPr>
          <w:p>
            <w:pPr>
              <w:jc w:val="center"/>
              <w:ind w:right="1490"/>
              <w:spacing w:after="0"/>
              <w:rPr>
                <w:sz w:val="20"/>
                <w:szCs w:val="20"/>
                <w:color w:val="auto"/>
              </w:rPr>
            </w:pPr>
            <w:r>
              <w:rPr>
                <w:rFonts w:ascii="Arial" w:cs="Arial" w:eastAsia="Arial" w:hAnsi="Arial"/>
                <w:sz w:val="18"/>
                <w:szCs w:val="18"/>
                <w:color w:val="auto"/>
                <w:w w:val="90"/>
              </w:rPr>
              <w:t>Large accelerated filer - o</w:t>
            </w:r>
          </w:p>
        </w:tc>
        <w:tc>
          <w:tcPr>
            <w:tcW w:w="3780" w:type="dxa"/>
            <w:vAlign w:val="bottom"/>
          </w:tcPr>
          <w:p>
            <w:pPr>
              <w:jc w:val="center"/>
              <w:ind w:left="1490"/>
              <w:spacing w:after="0"/>
              <w:rPr>
                <w:sz w:val="20"/>
                <w:szCs w:val="20"/>
                <w:color w:val="auto"/>
              </w:rPr>
            </w:pPr>
            <w:r>
              <w:rPr>
                <w:rFonts w:ascii="Arial" w:cs="Arial" w:eastAsia="Arial" w:hAnsi="Arial"/>
                <w:sz w:val="18"/>
                <w:szCs w:val="18"/>
                <w:color w:val="auto"/>
                <w:w w:val="93"/>
              </w:rPr>
              <w:t>Accelerated filer - x</w:t>
            </w:r>
          </w:p>
        </w:tc>
      </w:tr>
      <w:tr>
        <w:trPr>
          <w:trHeight w:val="540"/>
        </w:trPr>
        <w:tc>
          <w:tcPr>
            <w:tcW w:w="4940" w:type="dxa"/>
            <w:vAlign w:val="bottom"/>
          </w:tcPr>
          <w:p>
            <w:pPr>
              <w:jc w:val="center"/>
              <w:ind w:right="1490"/>
              <w:spacing w:after="0"/>
              <w:rPr>
                <w:sz w:val="20"/>
                <w:szCs w:val="20"/>
                <w:color w:val="auto"/>
              </w:rPr>
            </w:pPr>
            <w:r>
              <w:rPr>
                <w:rFonts w:ascii="Arial" w:cs="Arial" w:eastAsia="Arial" w:hAnsi="Arial"/>
                <w:sz w:val="18"/>
                <w:szCs w:val="18"/>
                <w:color w:val="auto"/>
                <w:w w:val="91"/>
              </w:rPr>
              <w:t>Non-accelerated filer - o</w:t>
            </w:r>
          </w:p>
        </w:tc>
        <w:tc>
          <w:tcPr>
            <w:tcW w:w="3780" w:type="dxa"/>
            <w:vAlign w:val="bottom"/>
          </w:tcPr>
          <w:p>
            <w:pPr>
              <w:jc w:val="center"/>
              <w:ind w:left="1490"/>
              <w:spacing w:after="0"/>
              <w:rPr>
                <w:sz w:val="20"/>
                <w:szCs w:val="20"/>
                <w:color w:val="auto"/>
              </w:rPr>
            </w:pPr>
            <w:r>
              <w:rPr>
                <w:rFonts w:ascii="Arial" w:cs="Arial" w:eastAsia="Arial" w:hAnsi="Arial"/>
                <w:sz w:val="18"/>
                <w:szCs w:val="18"/>
                <w:color w:val="auto"/>
                <w:w w:val="91"/>
              </w:rPr>
              <w:t>Smaller reporting company - o</w:t>
            </w:r>
          </w:p>
        </w:tc>
      </w:tr>
      <w:tr>
        <w:trPr>
          <w:trHeight w:val="270"/>
        </w:trPr>
        <w:tc>
          <w:tcPr>
            <w:tcW w:w="4940" w:type="dxa"/>
            <w:vAlign w:val="bottom"/>
          </w:tcPr>
          <w:p>
            <w:pPr>
              <w:jc w:val="center"/>
              <w:ind w:right="1490"/>
              <w:spacing w:after="0"/>
              <w:rPr>
                <w:sz w:val="20"/>
                <w:szCs w:val="20"/>
                <w:color w:val="auto"/>
              </w:rPr>
            </w:pPr>
            <w:r>
              <w:rPr>
                <w:rFonts w:ascii="Arial" w:cs="Arial" w:eastAsia="Arial" w:hAnsi="Arial"/>
                <w:sz w:val="18"/>
                <w:szCs w:val="18"/>
                <w:color w:val="auto"/>
                <w:w w:val="92"/>
              </w:rPr>
              <w:t>(Do not check if a smaller reporting company)</w:t>
            </w:r>
          </w:p>
        </w:tc>
        <w:tc>
          <w:tcPr>
            <w:tcW w:w="3780" w:type="dxa"/>
            <w:vAlign w:val="bottom"/>
          </w:tcPr>
          <w:p>
            <w:pPr>
              <w:jc w:val="center"/>
              <w:ind w:left="1490"/>
              <w:spacing w:after="0"/>
              <w:rPr>
                <w:sz w:val="20"/>
                <w:szCs w:val="20"/>
                <w:color w:val="auto"/>
              </w:rPr>
            </w:pPr>
            <w:r>
              <w:rPr>
                <w:rFonts w:ascii="Arial" w:cs="Arial" w:eastAsia="Arial" w:hAnsi="Arial"/>
                <w:sz w:val="18"/>
                <w:szCs w:val="18"/>
                <w:color w:val="auto"/>
                <w:w w:val="91"/>
              </w:rPr>
              <w:t>Emerging growth company - o</w:t>
            </w:r>
          </w:p>
        </w:tc>
      </w:tr>
    </w:tbl>
    <w:p>
      <w:pPr>
        <w:spacing w:after="0" w:line="229" w:lineRule="exact"/>
        <w:rPr>
          <w:sz w:val="24"/>
          <w:szCs w:val="24"/>
          <w:color w:val="auto"/>
        </w:rPr>
      </w:pPr>
    </w:p>
    <w:p>
      <w:pPr>
        <w:ind w:right="100" w:firstLine="243"/>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70" w:lineRule="exact"/>
        <w:rPr>
          <w:sz w:val="24"/>
          <w:szCs w:val="24"/>
          <w:color w:val="auto"/>
        </w:rPr>
      </w:pPr>
    </w:p>
    <w:p>
      <w:pPr>
        <w:ind w:left="2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o No - x</w:t>
      </w:r>
    </w:p>
    <w:p>
      <w:pPr>
        <w:spacing w:after="0" w:line="225" w:lineRule="exact"/>
        <w:rPr>
          <w:sz w:val="24"/>
          <w:szCs w:val="24"/>
          <w:color w:val="auto"/>
        </w:rPr>
      </w:pPr>
    </w:p>
    <w:p>
      <w:pPr>
        <w:ind w:left="2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383" w:lineRule="exact"/>
        <w:rPr>
          <w:sz w:val="24"/>
          <w:szCs w:val="24"/>
          <w:color w:val="auto"/>
        </w:rPr>
      </w:pPr>
    </w:p>
    <w:tbl>
      <w:tblPr>
        <w:tblLayout w:type="fixed"/>
        <w:tblInd w:w="160" w:type="dxa"/>
        <w:tblCellMar>
          <w:top w:w="0" w:type="dxa"/>
          <w:left w:w="0" w:type="dxa"/>
          <w:bottom w:w="0" w:type="dxa"/>
          <w:right w:w="0" w:type="dxa"/>
        </w:tblCellMar>
      </w:tblPr>
      <w:tr>
        <w:trPr>
          <w:trHeight w:val="234"/>
        </w:trPr>
        <w:tc>
          <w:tcPr>
            <w:tcW w:w="5620" w:type="dxa"/>
            <w:vAlign w:val="bottom"/>
          </w:tcPr>
          <w:p>
            <w:pPr>
              <w:jc w:val="center"/>
              <w:ind w:right="530"/>
              <w:spacing w:after="0"/>
              <w:rPr>
                <w:sz w:val="20"/>
                <w:szCs w:val="20"/>
                <w:color w:val="auto"/>
              </w:rPr>
            </w:pPr>
            <w:r>
              <w:rPr>
                <w:rFonts w:ascii="Arial" w:cs="Arial" w:eastAsia="Arial" w:hAnsi="Arial"/>
                <w:sz w:val="18"/>
                <w:szCs w:val="18"/>
                <w:b w:val="1"/>
                <w:bCs w:val="1"/>
                <w:color w:val="auto"/>
                <w:w w:val="99"/>
              </w:rPr>
              <w:t>COMMON STOCK, NO PAR VALUE</w:t>
            </w:r>
          </w:p>
        </w:tc>
        <w:tc>
          <w:tcPr>
            <w:tcW w:w="5500" w:type="dxa"/>
            <w:vAlign w:val="bottom"/>
          </w:tcPr>
          <w:p>
            <w:pPr>
              <w:jc w:val="right"/>
              <w:ind w:right="2350"/>
              <w:spacing w:after="0"/>
              <w:rPr>
                <w:sz w:val="20"/>
                <w:szCs w:val="20"/>
                <w:color w:val="auto"/>
              </w:rPr>
            </w:pPr>
            <w:r>
              <w:rPr>
                <w:rFonts w:ascii="Arial" w:cs="Arial" w:eastAsia="Arial" w:hAnsi="Arial"/>
                <w:sz w:val="18"/>
                <w:szCs w:val="18"/>
                <w:b w:val="1"/>
                <w:bCs w:val="1"/>
                <w:color w:val="auto"/>
              </w:rPr>
              <w:t>32,766,787</w:t>
            </w:r>
          </w:p>
        </w:tc>
      </w:tr>
      <w:tr>
        <w:trPr>
          <w:trHeight w:val="270"/>
        </w:trPr>
        <w:tc>
          <w:tcPr>
            <w:tcW w:w="5620" w:type="dxa"/>
            <w:vAlign w:val="bottom"/>
          </w:tcPr>
          <w:p>
            <w:pPr>
              <w:jc w:val="center"/>
              <w:ind w:right="530"/>
              <w:spacing w:after="0"/>
              <w:rPr>
                <w:sz w:val="20"/>
                <w:szCs w:val="20"/>
                <w:color w:val="auto"/>
              </w:rPr>
            </w:pPr>
            <w:r>
              <w:rPr>
                <w:rFonts w:ascii="Arial" w:cs="Arial" w:eastAsia="Arial" w:hAnsi="Arial"/>
                <w:sz w:val="18"/>
                <w:szCs w:val="18"/>
                <w:color w:val="auto"/>
                <w:w w:val="91"/>
              </w:rPr>
              <w:t>(Class)</w:t>
            </w:r>
          </w:p>
        </w:tc>
        <w:tc>
          <w:tcPr>
            <w:tcW w:w="5500" w:type="dxa"/>
            <w:vAlign w:val="bottom"/>
          </w:tcPr>
          <w:p>
            <w:pPr>
              <w:jc w:val="center"/>
              <w:ind w:right="90"/>
              <w:spacing w:after="0"/>
              <w:rPr>
                <w:sz w:val="20"/>
                <w:szCs w:val="20"/>
                <w:color w:val="auto"/>
              </w:rPr>
            </w:pPr>
            <w:r>
              <w:rPr>
                <w:rFonts w:ascii="Arial" w:cs="Arial" w:eastAsia="Arial" w:hAnsi="Arial"/>
                <w:sz w:val="18"/>
                <w:szCs w:val="18"/>
                <w:color w:val="auto"/>
                <w:w w:val="90"/>
              </w:rPr>
              <w:t>Outstanding at May 4, 2017</w:t>
            </w:r>
          </w:p>
        </w:tc>
      </w:tr>
      <w:tr>
        <w:trPr>
          <w:trHeight w:val="156"/>
        </w:trPr>
        <w:tc>
          <w:tcPr>
            <w:tcW w:w="5620" w:type="dxa"/>
            <w:vAlign w:val="bottom"/>
            <w:tcBorders>
              <w:bottom w:val="single" w:sz="8" w:color="auto"/>
            </w:tcBorders>
          </w:tcPr>
          <w:p>
            <w:pPr>
              <w:spacing w:after="0"/>
              <w:rPr>
                <w:sz w:val="13"/>
                <w:szCs w:val="13"/>
                <w:color w:val="auto"/>
              </w:rPr>
            </w:pPr>
          </w:p>
        </w:tc>
        <w:tc>
          <w:tcPr>
            <w:tcW w:w="5500" w:type="dxa"/>
            <w:vAlign w:val="bottom"/>
            <w:tcBorders>
              <w:bottom w:val="single" w:sz="8" w:color="auto"/>
            </w:tcBorders>
          </w:tcPr>
          <w:p>
            <w:pPr>
              <w:spacing w:after="0"/>
              <w:rPr>
                <w:sz w:val="13"/>
                <w:szCs w:val="13"/>
                <w:color w:val="auto"/>
              </w:rPr>
            </w:pPr>
          </w:p>
        </w:tc>
      </w:tr>
      <w:tr>
        <w:trPr>
          <w:trHeight w:val="169"/>
        </w:trPr>
        <w:tc>
          <w:tcPr>
            <w:tcW w:w="5620" w:type="dxa"/>
            <w:vAlign w:val="bottom"/>
            <w:tcBorders>
              <w:bottom w:val="single" w:sz="8" w:color="auto"/>
            </w:tcBorders>
          </w:tcPr>
          <w:p>
            <w:pPr>
              <w:spacing w:after="0"/>
              <w:rPr>
                <w:sz w:val="14"/>
                <w:szCs w:val="14"/>
                <w:color w:val="auto"/>
              </w:rPr>
            </w:pPr>
          </w:p>
        </w:tc>
        <w:tc>
          <w:tcPr>
            <w:tcW w:w="5500" w:type="dxa"/>
            <w:vAlign w:val="bottom"/>
            <w:tcBorders>
              <w:bottom w:val="single" w:sz="8" w:color="auto"/>
            </w:tcBorders>
          </w:tcPr>
          <w:p>
            <w:pPr>
              <w:spacing w:after="0"/>
              <w:rPr>
                <w:sz w:val="14"/>
                <w:szCs w:val="14"/>
                <w:color w:val="auto"/>
              </w:rPr>
            </w:pPr>
          </w:p>
        </w:tc>
      </w:tr>
    </w:tbl>
    <w:p>
      <w:pPr>
        <w:sectPr>
          <w:pgSz w:w="11900" w:h="16838" w:orient="portrait"/>
          <w:cols w:equalWidth="0" w:num="1">
            <w:col w:w="11420"/>
          </w:cols>
          <w:pgMar w:left="240" w:top="786" w:right="2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20" w:type="dxa"/>
            <w:vAlign w:val="bottom"/>
            <w:gridSpan w:val="1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1"/>
        </w:trPr>
        <w:tc>
          <w:tcPr>
            <w:tcW w:w="4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0" w:type="dxa"/>
            <w:vAlign w:val="bottom"/>
            <w:gridSpan w:val="8"/>
          </w:tcPr>
          <w:p>
            <w:pPr>
              <w:jc w:val="center"/>
              <w:ind w:right="3220"/>
              <w:spacing w:after="0"/>
              <w:rPr>
                <w:sz w:val="20"/>
                <w:szCs w:val="20"/>
                <w:color w:val="auto"/>
              </w:rPr>
            </w:pPr>
            <w:r>
              <w:rPr>
                <w:rFonts w:ascii="Arial" w:cs="Arial" w:eastAsia="Arial" w:hAnsi="Arial"/>
                <w:sz w:val="18"/>
                <w:szCs w:val="18"/>
                <w:b w:val="1"/>
                <w:bCs w:val="1"/>
                <w:color w:val="auto"/>
              </w:rPr>
              <w:t>VERICEL CORPORATION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0" w:type="dxa"/>
            <w:vAlign w:val="bottom"/>
            <w:gridSpan w:val="8"/>
          </w:tcPr>
          <w:p>
            <w:pPr>
              <w:jc w:val="center"/>
              <w:ind w:right="3220"/>
              <w:spacing w:after="0"/>
              <w:rPr>
                <w:sz w:val="20"/>
                <w:szCs w:val="20"/>
                <w:color w:val="auto"/>
              </w:rPr>
            </w:pPr>
            <w:r>
              <w:rPr>
                <w:rFonts w:ascii="Arial" w:cs="Arial" w:eastAsia="Arial" w:hAnsi="Arial"/>
                <w:sz w:val="18"/>
                <w:szCs w:val="18"/>
                <w:b w:val="1"/>
                <w:bCs w:val="1"/>
                <w:color w:val="auto"/>
                <w:w w:val="99"/>
              </w:rPr>
              <w:t>QUARTERLY REPORT ON FORM 10-Q</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0" w:type="dxa"/>
            <w:vAlign w:val="bottom"/>
            <w:gridSpan w:val="8"/>
          </w:tcPr>
          <w:p>
            <w:pPr>
              <w:jc w:val="center"/>
              <w:ind w:right="320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94"/>
        </w:trPr>
        <w:tc>
          <w:tcPr>
            <w:tcW w:w="40" w:type="dxa"/>
            <w:vAlign w:val="bottom"/>
          </w:tcPr>
          <w:p>
            <w:pPr>
              <w:spacing w:after="0"/>
              <w:rPr>
                <w:sz w:val="24"/>
                <w:szCs w:val="24"/>
                <w:color w:val="auto"/>
              </w:rPr>
            </w:pPr>
          </w:p>
        </w:tc>
        <w:tc>
          <w:tcPr>
            <w:tcW w:w="11180" w:type="dxa"/>
            <w:vAlign w:val="bottom"/>
            <w:gridSpan w:val="16"/>
          </w:tcPr>
          <w:p>
            <w:pPr>
              <w:spacing w:after="0"/>
              <w:rPr>
                <w:sz w:val="20"/>
                <w:szCs w:val="20"/>
                <w:color w:val="auto"/>
              </w:rPr>
            </w:pPr>
            <w:r>
              <w:rPr>
                <w:rFonts w:ascii="Arial" w:cs="Arial" w:eastAsia="Arial" w:hAnsi="Arial"/>
                <w:sz w:val="18"/>
                <w:szCs w:val="18"/>
                <w:b w:val="1"/>
                <w:bCs w:val="1"/>
                <w:color w:val="auto"/>
              </w:rPr>
              <w:t>PART I — 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0"/>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20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2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 as of March 31, 2017 and December 31, 2016</w:t>
              </w:r>
            </w:hyperlink>
          </w:p>
        </w:tc>
        <w:tc>
          <w:tcPr>
            <w:tcW w:w="398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520"/>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0" w:type="dxa"/>
            <w:vAlign w:val="bottom"/>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months ended March 31, 2017 and 2016</w:t>
              </w:r>
            </w:hyperlink>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0" w:type="dxa"/>
            <w:vAlign w:val="bottom"/>
            <w:gridSpan w:val="1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three months ended March 31, 2017 and 2016</w:t>
              </w:r>
            </w:hyperlink>
          </w:p>
        </w:tc>
        <w:tc>
          <w:tcPr>
            <w:tcW w:w="18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520"/>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520" w:type="dxa"/>
            <w:vAlign w:val="bottom"/>
            <w:tcBorders>
              <w:top w:val="single" w:sz="8" w:color="0000EE"/>
            </w:tcBorders>
            <w:gridSpan w:val="1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2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r>
      <w:tr>
        <w:trPr>
          <w:trHeight w:val="20"/>
        </w:trPr>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0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Management’s Discussion and Analysis of Financial Condition and Results of Operations</w:t>
              </w:r>
            </w:hyperlink>
          </w:p>
        </w:tc>
        <w:tc>
          <w:tcPr>
            <w:tcW w:w="3800" w:type="dxa"/>
            <w:vAlign w:val="bottom"/>
            <w:gridSpan w:val="3"/>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4">
              <w:r>
                <w:rPr>
                  <w:rFonts w:ascii="Arial" w:cs="Arial" w:eastAsia="Arial" w:hAnsi="Arial"/>
                  <w:sz w:val="18"/>
                  <w:szCs w:val="18"/>
                  <w:color w:val="0000EE"/>
                  <w:w w:val="79"/>
                </w:rPr>
                <w:t>14</w:t>
              </w:r>
            </w:hyperlink>
          </w:p>
        </w:tc>
      </w:tr>
      <w:tr>
        <w:trPr>
          <w:trHeight w:val="520"/>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0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Quantitative and Qualitative Disclosures About Market Risk</w:t>
              </w:r>
            </w:hyperlink>
          </w:p>
        </w:tc>
        <w:tc>
          <w:tcPr>
            <w:tcW w:w="5900" w:type="dxa"/>
            <w:vAlign w:val="bottom"/>
            <w:gridSpan w:val="5"/>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0">
              <w:r>
                <w:rPr>
                  <w:rFonts w:ascii="Arial" w:cs="Arial" w:eastAsia="Arial" w:hAnsi="Arial"/>
                  <w:sz w:val="18"/>
                  <w:szCs w:val="18"/>
                  <w:color w:val="0000EE"/>
                  <w:w w:val="79"/>
                </w:rPr>
                <w:t>20</w:t>
              </w:r>
            </w:hyperlink>
          </w:p>
        </w:tc>
      </w:tr>
      <w:tr>
        <w:trPr>
          <w:trHeight w:val="520"/>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0200" w:type="dxa"/>
            <w:vAlign w:val="bottom"/>
            <w:gridSpan w:val="14"/>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Controls and Procedures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0">
              <w:r>
                <w:rPr>
                  <w:rFonts w:ascii="Arial" w:cs="Arial" w:eastAsia="Arial" w:hAnsi="Arial"/>
                  <w:sz w:val="18"/>
                  <w:szCs w:val="18"/>
                  <w:color w:val="0000EE"/>
                  <w:w w:val="79"/>
                </w:rPr>
                <w:t>20</w:t>
              </w:r>
            </w:hyperlink>
          </w:p>
        </w:tc>
      </w:tr>
      <w:tr>
        <w:trPr>
          <w:trHeight w:val="20"/>
        </w:trPr>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5920" w:type="dxa"/>
            <w:vAlign w:val="bottom"/>
            <w:gridSpan w:val="6"/>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61"/>
        </w:trPr>
        <w:tc>
          <w:tcPr>
            <w:tcW w:w="40" w:type="dxa"/>
            <w:vAlign w:val="bottom"/>
          </w:tcPr>
          <w:p>
            <w:pPr>
              <w:spacing w:after="0"/>
              <w:rPr>
                <w:sz w:val="24"/>
                <w:szCs w:val="24"/>
                <w:color w:val="auto"/>
              </w:rPr>
            </w:pPr>
          </w:p>
        </w:tc>
        <w:tc>
          <w:tcPr>
            <w:tcW w:w="11180" w:type="dxa"/>
            <w:vAlign w:val="bottom"/>
            <w:gridSpan w:val="16"/>
          </w:tcPr>
          <w:p>
            <w:pPr>
              <w:spacing w:after="0"/>
              <w:rPr>
                <w:sz w:val="20"/>
                <w:szCs w:val="20"/>
                <w:color w:val="auto"/>
              </w:rPr>
            </w:pPr>
            <w:r>
              <w:rPr>
                <w:rFonts w:ascii="Arial" w:cs="Arial" w:eastAsia="Arial" w:hAnsi="Arial"/>
                <w:sz w:val="18"/>
                <w:szCs w:val="18"/>
                <w:b w:val="1"/>
                <w:bCs w:val="1"/>
                <w:color w:val="auto"/>
              </w:rPr>
              <w:t>PART II — 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0"/>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200" w:type="dxa"/>
            <w:vAlign w:val="bottom"/>
            <w:gridSpan w:val="14"/>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Legal Proceedings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0">
              <w:r>
                <w:rPr>
                  <w:rFonts w:ascii="Arial" w:cs="Arial" w:eastAsia="Arial" w:hAnsi="Arial"/>
                  <w:sz w:val="18"/>
                  <w:szCs w:val="18"/>
                  <w:color w:val="0000EE"/>
                  <w:w w:val="79"/>
                </w:rPr>
                <w:t>20</w:t>
              </w:r>
            </w:hyperlink>
          </w:p>
        </w:tc>
      </w:tr>
      <w:tr>
        <w:trPr>
          <w:trHeight w:val="520"/>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1"/>
              </w:rPr>
            </w:pPr>
            <w:hyperlink w:anchor="page21">
              <w:r>
                <w:rPr>
                  <w:rFonts w:ascii="Arial" w:cs="Arial" w:eastAsia="Arial" w:hAnsi="Arial"/>
                  <w:sz w:val="18"/>
                  <w:szCs w:val="18"/>
                  <w:color w:val="0000EE"/>
                  <w:w w:val="81"/>
                </w:rPr>
                <w:t>Risk Factors</w:t>
              </w:r>
            </w:hyperlink>
          </w:p>
        </w:tc>
        <w:tc>
          <w:tcPr>
            <w:tcW w:w="420" w:type="dxa"/>
            <w:vAlign w:val="bottom"/>
            <w:tcBorders>
              <w:top w:val="single" w:sz="8" w:color="0000EE"/>
            </w:tcBorders>
          </w:tcPr>
          <w:p>
            <w:pPr>
              <w:spacing w:after="0"/>
              <w:rPr>
                <w:sz w:val="24"/>
                <w:szCs w:val="24"/>
                <w:color w:val="auto"/>
              </w:rPr>
            </w:pPr>
          </w:p>
        </w:tc>
        <w:tc>
          <w:tcPr>
            <w:tcW w:w="8940" w:type="dxa"/>
            <w:vAlign w:val="bottom"/>
            <w:gridSpan w:val="10"/>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21</w:t>
              </w:r>
            </w:hyperlink>
          </w:p>
        </w:tc>
      </w:tr>
      <w:tr>
        <w:trPr>
          <w:trHeight w:val="520"/>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200" w:type="dxa"/>
            <w:vAlign w:val="bottom"/>
            <w:gridSpan w:val="14"/>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23</w:t>
              </w:r>
            </w:hyperlink>
          </w:p>
        </w:tc>
      </w:tr>
      <w:tr>
        <w:trPr>
          <w:trHeight w:val="520"/>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280" w:type="dxa"/>
            <w:vAlign w:val="bottom"/>
            <w:tcBorders>
              <w:top w:val="single" w:sz="8" w:color="0000EE"/>
            </w:tcBorders>
            <w:gridSpan w:val="8"/>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Exhibits</w:t>
              </w:r>
            </w:hyperlink>
          </w:p>
        </w:tc>
        <w:tc>
          <w:tcPr>
            <w:tcW w:w="5920" w:type="dxa"/>
            <w:vAlign w:val="bottom"/>
            <w:gridSpan w:val="6"/>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23</w:t>
              </w:r>
            </w:hyperlink>
          </w:p>
        </w:tc>
      </w:tr>
      <w:tr>
        <w:trPr>
          <w:trHeight w:val="520"/>
        </w:trPr>
        <w:tc>
          <w:tcPr>
            <w:tcW w:w="40" w:type="dxa"/>
            <w:vAlign w:val="bottom"/>
          </w:tcPr>
          <w:p>
            <w:pPr>
              <w:spacing w:after="0"/>
              <w:rPr>
                <w:sz w:val="24"/>
                <w:szCs w:val="24"/>
                <w:color w:val="auto"/>
              </w:rPr>
            </w:pPr>
          </w:p>
        </w:tc>
        <w:tc>
          <w:tcPr>
            <w:tcW w:w="980" w:type="dxa"/>
            <w:vAlign w:val="bottom"/>
            <w:gridSpan w:val="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Signature</w:t>
              </w:r>
            </w:hyperlink>
          </w:p>
        </w:tc>
        <w:tc>
          <w:tcPr>
            <w:tcW w:w="2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24</w:t>
              </w:r>
            </w:hyperlink>
          </w:p>
        </w:tc>
      </w:tr>
      <w:tr>
        <w:trPr>
          <w:trHeight w:val="20"/>
        </w:trPr>
        <w:tc>
          <w:tcPr>
            <w:tcW w:w="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0" w:type="dxa"/>
            <w:vAlign w:val="bottom"/>
            <w:gridSpan w:val="1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1180" w:type="dxa"/>
            <w:vAlign w:val="bottom"/>
            <w:gridSpan w:val="16"/>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Exhibit Index</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25</w:t>
              </w:r>
            </w:hyperlink>
          </w:p>
        </w:tc>
      </w:tr>
      <w:tr>
        <w:trPr>
          <w:trHeight w:val="480"/>
        </w:trPr>
        <w:tc>
          <w:tcPr>
            <w:tcW w:w="4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5"/>
          </w:tcPr>
          <w:p>
            <w:pPr>
              <w:jc w:val="center"/>
              <w:ind w:right="5120"/>
              <w:spacing w:after="0"/>
              <w:rPr>
                <w:sz w:val="20"/>
                <w:szCs w:val="20"/>
                <w:color w:val="auto"/>
              </w:rPr>
            </w:pPr>
            <w:r>
              <w:rPr>
                <w:rFonts w:ascii="Arial" w:cs="Arial" w:eastAsia="Arial" w:hAnsi="Arial"/>
                <w:sz w:val="18"/>
                <w:szCs w:val="18"/>
                <w:color w:val="auto"/>
              </w:rPr>
              <w:t>i</w:t>
            </w: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gridSpan w:val="2"/>
          </w:tcPr>
          <w:p>
            <w:pPr>
              <w:spacing w:after="0"/>
              <w:rPr>
                <w:rFonts w:ascii="Arial" w:cs="Arial" w:eastAsia="Arial" w:hAnsi="Arial"/>
                <w:sz w:val="18"/>
                <w:szCs w:val="18"/>
                <w:color w:val="0000EE"/>
                <w:w w:val="92"/>
              </w:rPr>
            </w:pPr>
            <w:hyperlink w:anchor="page2">
              <w:r>
                <w:rPr>
                  <w:rFonts w:ascii="Arial" w:cs="Arial" w:eastAsia="Arial" w:hAnsi="Arial"/>
                  <w:sz w:val="18"/>
                  <w:szCs w:val="18"/>
                  <w:color w:val="0000EE"/>
                  <w:w w:val="92"/>
                </w:rPr>
                <w:t>Table of Contents</w:t>
              </w:r>
            </w:hyperlink>
          </w:p>
        </w:tc>
        <w:tc>
          <w:tcPr>
            <w:tcW w:w="7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80"/>
        </w:trPr>
        <w:tc>
          <w:tcPr>
            <w:tcW w:w="12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7020" w:type="dxa"/>
            <w:vAlign w:val="bottom"/>
          </w:tcPr>
          <w:p>
            <w:pPr>
              <w:jc w:val="center"/>
              <w:ind w:left="1650"/>
              <w:spacing w:after="0"/>
              <w:rPr>
                <w:sz w:val="20"/>
                <w:szCs w:val="20"/>
                <w:color w:val="auto"/>
              </w:rPr>
            </w:pPr>
            <w:r>
              <w:rPr>
                <w:rFonts w:ascii="Arial" w:cs="Arial" w:eastAsia="Arial" w:hAnsi="Arial"/>
                <w:sz w:val="18"/>
                <w:szCs w:val="18"/>
                <w:b w:val="1"/>
                <w:bCs w:val="1"/>
                <w:color w:val="auto"/>
              </w:rPr>
              <w:t>PART I - FINANCIAL INFORMATION</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0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54"/>
        </w:trPr>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20" w:type="dxa"/>
            <w:vAlign w:val="bottom"/>
          </w:tcPr>
          <w:p>
            <w:pPr>
              <w:jc w:val="center"/>
              <w:ind w:left="1590"/>
              <w:spacing w:after="0"/>
              <w:rPr>
                <w:sz w:val="20"/>
                <w:szCs w:val="20"/>
                <w:color w:val="auto"/>
              </w:rPr>
            </w:pPr>
            <w:r>
              <w:rPr>
                <w:rFonts w:ascii="Arial" w:cs="Arial" w:eastAsia="Arial" w:hAnsi="Arial"/>
                <w:sz w:val="18"/>
                <w:szCs w:val="18"/>
                <w:b w:val="1"/>
                <w:bCs w:val="1"/>
                <w:color w:val="auto"/>
              </w:rPr>
              <w:t>VERICEL CORPORATION</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20" w:type="dxa"/>
            <w:vAlign w:val="bottom"/>
          </w:tcPr>
          <w:p>
            <w:pPr>
              <w:jc w:val="center"/>
              <w:ind w:left="163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20" w:type="dxa"/>
            <w:vAlign w:val="bottom"/>
          </w:tcPr>
          <w:p>
            <w:pPr>
              <w:jc w:val="center"/>
              <w:ind w:left="1630"/>
              <w:spacing w:after="0"/>
              <w:rPr>
                <w:sz w:val="20"/>
                <w:szCs w:val="20"/>
                <w:color w:val="auto"/>
              </w:rPr>
            </w:pPr>
            <w:r>
              <w:rPr>
                <w:rFonts w:ascii="Arial" w:cs="Arial" w:eastAsia="Arial" w:hAnsi="Arial"/>
                <w:sz w:val="18"/>
                <w:szCs w:val="18"/>
                <w:b w:val="1"/>
                <w:bCs w:val="1"/>
                <w:color w:val="auto"/>
                <w:w w:val="89"/>
              </w:rPr>
              <w:t>(Unaudited, amounts in thousands)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609"/>
        </w:trPr>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24"/>
                <w:szCs w:val="24"/>
                <w:color w:val="auto"/>
              </w:rPr>
            </w:pPr>
          </w:p>
        </w:tc>
        <w:tc>
          <w:tcPr>
            <w:tcW w:w="1260" w:type="dxa"/>
            <w:vAlign w:val="bottom"/>
          </w:tcPr>
          <w:p>
            <w:pPr>
              <w:jc w:val="right"/>
              <w:ind w:right="231"/>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30"/>
        </w:trPr>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7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7"/>
        </w:trPr>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7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1340" w:type="dxa"/>
            <w:vAlign w:val="bottom"/>
            <w:gridSpan w:val="2"/>
          </w:tcPr>
          <w:p>
            <w:pPr>
              <w:ind w:left="180"/>
              <w:spacing w:after="0"/>
              <w:rPr>
                <w:sz w:val="20"/>
                <w:szCs w:val="20"/>
                <w:color w:val="auto"/>
              </w:rPr>
            </w:pPr>
            <w:r>
              <w:rPr>
                <w:rFonts w:ascii="Arial" w:cs="Arial" w:eastAsia="Arial" w:hAnsi="Arial"/>
                <w:sz w:val="18"/>
                <w:szCs w:val="18"/>
                <w:color w:val="auto"/>
              </w:rPr>
              <w:t>Cash</w:t>
            </w:r>
          </w:p>
        </w:tc>
        <w:tc>
          <w:tcPr>
            <w:tcW w:w="70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19,847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22,978</w:t>
            </w:r>
          </w:p>
        </w:tc>
      </w:tr>
      <w:tr>
        <w:trPr>
          <w:trHeight w:val="27"/>
        </w:trPr>
        <w:tc>
          <w:tcPr>
            <w:tcW w:w="1280" w:type="dxa"/>
            <w:vAlign w:val="bottom"/>
          </w:tcPr>
          <w:p>
            <w:pPr>
              <w:spacing w:after="0"/>
              <w:rPr>
                <w:sz w:val="2"/>
                <w:szCs w:val="2"/>
                <w:color w:val="auto"/>
              </w:rPr>
            </w:pPr>
          </w:p>
        </w:tc>
        <w:tc>
          <w:tcPr>
            <w:tcW w:w="70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 for doubtful accounts of $249 and $225, 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17,093</w:t>
            </w:r>
          </w:p>
        </w:tc>
      </w:tr>
      <w:tr>
        <w:trPr>
          <w:trHeight w:val="243"/>
        </w:trPr>
        <w:tc>
          <w:tcPr>
            <w:tcW w:w="1340" w:type="dxa"/>
            <w:vAlign w:val="bottom"/>
            <w:gridSpan w:val="2"/>
          </w:tcPr>
          <w:p>
            <w:pPr>
              <w:ind w:left="180"/>
              <w:spacing w:after="0"/>
              <w:rPr>
                <w:sz w:val="20"/>
                <w:szCs w:val="20"/>
                <w:color w:val="auto"/>
              </w:rPr>
            </w:pPr>
            <w:r>
              <w:rPr>
                <w:rFonts w:ascii="Arial" w:cs="Arial" w:eastAsia="Arial" w:hAnsi="Arial"/>
                <w:sz w:val="18"/>
                <w:szCs w:val="18"/>
                <w:color w:val="auto"/>
              </w:rPr>
              <w:t>Inventory</w:t>
            </w:r>
          </w:p>
        </w:tc>
        <w:tc>
          <w:tcPr>
            <w:tcW w:w="7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3,958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3,488</w:t>
            </w:r>
          </w:p>
        </w:tc>
      </w:tr>
      <w:tr>
        <w:trPr>
          <w:trHeight w:val="27"/>
        </w:trPr>
        <w:tc>
          <w:tcPr>
            <w:tcW w:w="1280" w:type="dxa"/>
            <w:vAlign w:val="bottom"/>
          </w:tcPr>
          <w:p>
            <w:pPr>
              <w:spacing w:after="0"/>
              <w:rPr>
                <w:sz w:val="2"/>
                <w:szCs w:val="2"/>
                <w:color w:val="auto"/>
              </w:rPr>
            </w:pPr>
          </w:p>
        </w:tc>
        <w:tc>
          <w:tcPr>
            <w:tcW w:w="70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1,164</w:t>
            </w:r>
          </w:p>
        </w:tc>
      </w:tr>
      <w:tr>
        <w:trPr>
          <w:trHeight w:val="237"/>
        </w:trPr>
        <w:tc>
          <w:tcPr>
            <w:tcW w:w="8360" w:type="dxa"/>
            <w:vAlign w:val="bottom"/>
            <w:gridSpan w:val="3"/>
          </w:tcPr>
          <w:p>
            <w:pPr>
              <w:ind w:left="38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36,950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44,723</w:t>
            </w:r>
          </w:p>
        </w:tc>
      </w:tr>
      <w:tr>
        <w:trPr>
          <w:trHeight w:val="27"/>
        </w:trPr>
        <w:tc>
          <w:tcPr>
            <w:tcW w:w="1280" w:type="dxa"/>
            <w:vAlign w:val="bottom"/>
          </w:tcPr>
          <w:p>
            <w:pPr>
              <w:spacing w:after="0"/>
              <w:rPr>
                <w:sz w:val="2"/>
                <w:szCs w:val="2"/>
                <w:color w:val="auto"/>
              </w:rPr>
            </w:pPr>
          </w:p>
        </w:tc>
        <w:tc>
          <w:tcPr>
            <w:tcW w:w="70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3,875</w:t>
            </w:r>
          </w:p>
        </w:tc>
      </w:tr>
      <w:tr>
        <w:trPr>
          <w:trHeight w:val="237"/>
        </w:trPr>
        <w:tc>
          <w:tcPr>
            <w:tcW w:w="1340" w:type="dxa"/>
            <w:vAlign w:val="bottom"/>
            <w:gridSpan w:val="2"/>
          </w:tcPr>
          <w:p>
            <w:pPr>
              <w:ind w:left="380"/>
              <w:spacing w:after="0"/>
              <w:rPr>
                <w:sz w:val="20"/>
                <w:szCs w:val="20"/>
                <w:color w:val="auto"/>
              </w:rPr>
            </w:pPr>
            <w:r>
              <w:rPr>
                <w:rFonts w:ascii="Arial" w:cs="Arial" w:eastAsia="Arial" w:hAnsi="Arial"/>
                <w:sz w:val="18"/>
                <w:szCs w:val="18"/>
                <w:color w:val="auto"/>
                <w:w w:val="96"/>
              </w:rPr>
              <w:t>Total assets</w:t>
            </w:r>
          </w:p>
        </w:tc>
        <w:tc>
          <w:tcPr>
            <w:tcW w:w="70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40,588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48,598</w:t>
            </w:r>
          </w:p>
        </w:tc>
      </w:tr>
      <w:tr>
        <w:trPr>
          <w:trHeight w:val="67"/>
        </w:trPr>
        <w:tc>
          <w:tcPr>
            <w:tcW w:w="1280" w:type="dxa"/>
            <w:vAlign w:val="bottom"/>
            <w:tcBorders>
              <w:bottom w:val="single" w:sz="8" w:color="CCEEFF"/>
            </w:tcBorders>
          </w:tcPr>
          <w:p>
            <w:pPr>
              <w:spacing w:after="0"/>
              <w:rPr>
                <w:sz w:val="5"/>
                <w:szCs w:val="5"/>
                <w:color w:val="auto"/>
              </w:rPr>
            </w:pPr>
          </w:p>
        </w:tc>
        <w:tc>
          <w:tcPr>
            <w:tcW w:w="7080" w:type="dxa"/>
            <w:vAlign w:val="bottom"/>
            <w:tcBorders>
              <w:bottom w:val="single" w:sz="8" w:color="CCEEFF"/>
            </w:tcBorders>
            <w:gridSpan w:val="2"/>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04"/>
        </w:trPr>
        <w:tc>
          <w:tcPr>
            <w:tcW w:w="836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r>
      <w:tr>
        <w:trPr>
          <w:trHeight w:val="243"/>
        </w:trPr>
        <w:tc>
          <w:tcPr>
            <w:tcW w:w="1340" w:type="dxa"/>
            <w:vAlign w:val="bottom"/>
            <w:gridSpan w:val="2"/>
          </w:tcPr>
          <w:p>
            <w:pPr>
              <w:ind w:left="40"/>
              <w:spacing w:after="0"/>
              <w:rPr>
                <w:sz w:val="20"/>
                <w:szCs w:val="20"/>
                <w:color w:val="auto"/>
              </w:rPr>
            </w:pPr>
            <w:r>
              <w:rPr>
                <w:rFonts w:ascii="Arial" w:cs="Arial" w:eastAsia="Arial" w:hAnsi="Arial"/>
                <w:sz w:val="18"/>
                <w:szCs w:val="18"/>
                <w:color w:val="auto"/>
                <w:w w:val="92"/>
              </w:rPr>
              <w:t>Current liabilities:</w:t>
            </w:r>
          </w:p>
        </w:tc>
        <w:tc>
          <w:tcPr>
            <w:tcW w:w="7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70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6,535</w:t>
            </w:r>
          </w:p>
        </w:tc>
      </w:tr>
      <w:tr>
        <w:trPr>
          <w:trHeight w:val="243"/>
        </w:trPr>
        <w:tc>
          <w:tcPr>
            <w:tcW w:w="8360" w:type="dxa"/>
            <w:vAlign w:val="bottom"/>
            <w:gridSpan w:val="3"/>
          </w:tcPr>
          <w:p>
            <w:pPr>
              <w:ind w:left="18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6,030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4,523</w:t>
            </w:r>
          </w:p>
        </w:tc>
      </w:tr>
      <w:tr>
        <w:trPr>
          <w:trHeight w:val="27"/>
        </w:trPr>
        <w:tc>
          <w:tcPr>
            <w:tcW w:w="1280" w:type="dxa"/>
            <w:vAlign w:val="bottom"/>
          </w:tcPr>
          <w:p>
            <w:pPr>
              <w:spacing w:after="0"/>
              <w:rPr>
                <w:sz w:val="2"/>
                <w:szCs w:val="2"/>
                <w:color w:val="auto"/>
              </w:rPr>
            </w:pPr>
          </w:p>
        </w:tc>
        <w:tc>
          <w:tcPr>
            <w:tcW w:w="70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Current portion of term loan credit agreement, net of deferred costs of $110</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779</w:t>
            </w:r>
          </w:p>
        </w:tc>
      </w:tr>
      <w:tr>
        <w:trPr>
          <w:trHeight w:val="243"/>
        </w:trPr>
        <w:tc>
          <w:tcPr>
            <w:tcW w:w="8360" w:type="dxa"/>
            <w:vAlign w:val="bottom"/>
            <w:gridSpan w:val="3"/>
          </w:tcPr>
          <w:p>
            <w:pPr>
              <w:ind w:left="180"/>
              <w:spacing w:after="0"/>
              <w:rPr>
                <w:sz w:val="20"/>
                <w:szCs w:val="20"/>
                <w:color w:val="auto"/>
              </w:rPr>
            </w:pPr>
            <w:r>
              <w:rPr>
                <w:rFonts w:ascii="Arial" w:cs="Arial" w:eastAsia="Arial" w:hAnsi="Arial"/>
                <w:sz w:val="18"/>
                <w:szCs w:val="18"/>
                <w:color w:val="auto"/>
              </w:rPr>
              <w:t>Warrant liabilities</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757</w:t>
            </w:r>
          </w:p>
        </w:tc>
      </w:tr>
      <w:tr>
        <w:trPr>
          <w:trHeight w:val="27"/>
        </w:trPr>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1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7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w:t>
            </w:r>
          </w:p>
        </w:tc>
      </w:tr>
      <w:tr>
        <w:trPr>
          <w:trHeight w:val="237"/>
        </w:trPr>
        <w:tc>
          <w:tcPr>
            <w:tcW w:w="8360" w:type="dxa"/>
            <w:vAlign w:val="bottom"/>
            <w:gridSpan w:val="3"/>
          </w:tcPr>
          <w:p>
            <w:pPr>
              <w:ind w:left="38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14,752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12,853</w:t>
            </w:r>
          </w:p>
        </w:tc>
      </w:tr>
      <w:tr>
        <w:trPr>
          <w:trHeight w:val="27"/>
        </w:trPr>
        <w:tc>
          <w:tcPr>
            <w:tcW w:w="1280" w:type="dxa"/>
            <w:vAlign w:val="bottom"/>
          </w:tcPr>
          <w:p>
            <w:pPr>
              <w:spacing w:after="0"/>
              <w:rPr>
                <w:sz w:val="2"/>
                <w:szCs w:val="2"/>
                <w:color w:val="auto"/>
              </w:rPr>
            </w:pPr>
          </w:p>
        </w:tc>
        <w:tc>
          <w:tcPr>
            <w:tcW w:w="70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Revolving and term loan credit agreement, net of deferred costs of $265 and $293, 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9,318</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Long term deferred rent</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1,687</w:t>
            </w:r>
          </w:p>
        </w:tc>
      </w:tr>
      <w:tr>
        <w:trPr>
          <w:trHeight w:val="27"/>
        </w:trPr>
        <w:tc>
          <w:tcPr>
            <w:tcW w:w="1280" w:type="dxa"/>
            <w:vAlign w:val="bottom"/>
          </w:tcPr>
          <w:p>
            <w:pPr>
              <w:spacing w:after="0"/>
              <w:rPr>
                <w:sz w:val="2"/>
                <w:szCs w:val="2"/>
                <w:color w:val="auto"/>
              </w:rPr>
            </w:pPr>
          </w:p>
        </w:tc>
        <w:tc>
          <w:tcPr>
            <w:tcW w:w="70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long term debt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r>
      <w:tr>
        <w:trPr>
          <w:trHeight w:val="237"/>
        </w:trPr>
        <w:tc>
          <w:tcPr>
            <w:tcW w:w="8360" w:type="dxa"/>
            <w:vAlign w:val="bottom"/>
            <w:gridSpan w:val="3"/>
          </w:tcPr>
          <w:p>
            <w:pPr>
              <w:ind w:left="50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25,084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23,890</w:t>
            </w:r>
          </w:p>
        </w:tc>
      </w:tr>
      <w:tr>
        <w:trPr>
          <w:trHeight w:val="27"/>
        </w:trPr>
        <w:tc>
          <w:tcPr>
            <w:tcW w:w="1280" w:type="dxa"/>
            <w:vAlign w:val="bottom"/>
          </w:tcPr>
          <w:p>
            <w:pPr>
              <w:spacing w:after="0"/>
              <w:rPr>
                <w:sz w:val="2"/>
                <w:szCs w:val="2"/>
                <w:color w:val="auto"/>
              </w:rPr>
            </w:pPr>
          </w:p>
        </w:tc>
        <w:tc>
          <w:tcPr>
            <w:tcW w:w="70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13)</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70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1"/>
              </w:rPr>
              <w:t>Series B-2 voting convertible preferred stock, no par value: shares authorized and reserved — 39, shares issued</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and outstanding — 0 and12,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38,389</w:t>
            </w:r>
          </w:p>
        </w:tc>
      </w:tr>
      <w:tr>
        <w:trPr>
          <w:trHeight w:val="229"/>
        </w:trPr>
        <w:tc>
          <w:tcPr>
            <w:tcW w:w="8360" w:type="dxa"/>
            <w:vAlign w:val="bottom"/>
            <w:gridSpan w:val="3"/>
          </w:tcPr>
          <w:p>
            <w:pPr>
              <w:ind w:left="180"/>
              <w:spacing w:after="0"/>
              <w:rPr>
                <w:sz w:val="20"/>
                <w:szCs w:val="20"/>
                <w:color w:val="auto"/>
              </w:rPr>
            </w:pPr>
            <w:r>
              <w:rPr>
                <w:rFonts w:ascii="Arial" w:cs="Arial" w:eastAsia="Arial" w:hAnsi="Arial"/>
                <w:sz w:val="18"/>
                <w:szCs w:val="18"/>
                <w:color w:val="auto"/>
                <w:w w:val="97"/>
              </w:rPr>
              <w:t>Common stock, no par value; shares authorized — 75,000; shares issued and outstanding — 32,724 and</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360" w:type="dxa"/>
            <w:vAlign w:val="bottom"/>
            <w:gridSpan w:val="3"/>
          </w:tcPr>
          <w:p>
            <w:pPr>
              <w:ind w:left="180"/>
              <w:spacing w:after="0"/>
              <w:rPr>
                <w:sz w:val="20"/>
                <w:szCs w:val="20"/>
                <w:color w:val="auto"/>
              </w:rPr>
            </w:pPr>
            <w:r>
              <w:rPr>
                <w:rFonts w:ascii="Arial" w:cs="Arial" w:eastAsia="Arial" w:hAnsi="Arial"/>
                <w:sz w:val="18"/>
                <w:szCs w:val="18"/>
                <w:color w:val="auto"/>
              </w:rPr>
              <w:t>31,595, respectively</w:t>
            </w:r>
          </w:p>
        </w:tc>
        <w:tc>
          <w:tcPr>
            <w:tcW w:w="26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368,683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329,720</w:t>
            </w:r>
          </w:p>
        </w:tc>
      </w:tr>
      <w:tr>
        <w:trPr>
          <w:trHeight w:val="27"/>
        </w:trPr>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Warrants</w:t>
            </w:r>
          </w:p>
        </w:tc>
        <w:tc>
          <w:tcPr>
            <w:tcW w:w="7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w:t>
            </w:r>
          </w:p>
        </w:tc>
      </w:tr>
      <w:tr>
        <w:trPr>
          <w:trHeight w:val="243"/>
        </w:trPr>
        <w:tc>
          <w:tcPr>
            <w:tcW w:w="8360" w:type="dxa"/>
            <w:vAlign w:val="bottom"/>
            <w:gridSpan w:val="3"/>
          </w:tcPr>
          <w:p>
            <w:pPr>
              <w:ind w:left="18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(353,369)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(343,591)</w:t>
            </w:r>
          </w:p>
        </w:tc>
      </w:tr>
      <w:tr>
        <w:trPr>
          <w:trHeight w:val="27"/>
        </w:trPr>
        <w:tc>
          <w:tcPr>
            <w:tcW w:w="128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24,708</w:t>
            </w:r>
          </w:p>
        </w:tc>
      </w:tr>
      <w:tr>
        <w:trPr>
          <w:trHeight w:val="237"/>
        </w:trPr>
        <w:tc>
          <w:tcPr>
            <w:tcW w:w="8360" w:type="dxa"/>
            <w:vAlign w:val="bottom"/>
            <w:gridSpan w:val="3"/>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40,588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48,598</w:t>
            </w:r>
          </w:p>
        </w:tc>
      </w:tr>
      <w:tr>
        <w:trPr>
          <w:trHeight w:val="27"/>
        </w:trPr>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08"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 except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14"/>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 net</w:t>
            </w:r>
          </w:p>
        </w:tc>
        <w:tc>
          <w:tcPr>
            <w:tcW w:w="1060" w:type="dxa"/>
            <w:vAlign w:val="bottom"/>
            <w:tcBorders>
              <w:bottom w:val="single" w:sz="8" w:color="CCEEFF"/>
            </w:tcBorders>
            <w:shd w:val="clear" w:color="auto" w:fill="CCEEFF"/>
          </w:tcPr>
          <w:p>
            <w:pPr>
              <w:jc w:val="right"/>
              <w:ind w:right="857"/>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9,361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14,108</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Cost of product sales</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7,109</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6,560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10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2,252</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7,548</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0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3,467</w:t>
            </w: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3,536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8,408</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6,004</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10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4"/>
              </w:rPr>
              <w:t>11,875</w:t>
            </w: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9,540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10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(9,623)</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23"/>
        </w:trPr>
        <w:tc>
          <w:tcPr>
            <w:tcW w:w="790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10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Decrease (increase) in fair value of warrants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Foreign currency translation loss</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w:t>
            </w:r>
          </w:p>
        </w:tc>
        <w:tc>
          <w:tcPr>
            <w:tcW w:w="10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color w:val="auto"/>
              </w:rPr>
              <w:t>Total other income (expense)</w:t>
            </w:r>
          </w:p>
        </w:tc>
        <w:tc>
          <w:tcPr>
            <w:tcW w:w="10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060" w:type="dxa"/>
            <w:vAlign w:val="bottom"/>
            <w:tcBorders>
              <w:bottom w:val="single" w:sz="8" w:color="CCEEFF"/>
            </w:tcBorders>
            <w:shd w:val="clear" w:color="auto" w:fill="CCEEFF"/>
          </w:tcPr>
          <w:p>
            <w:pPr>
              <w:jc w:val="right"/>
              <w:ind w:right="857"/>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(9,778)</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9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share attributable to common shareholders (Basic and Diluted) (see note 12)</w:t>
            </w:r>
          </w:p>
        </w:tc>
        <w:tc>
          <w:tcPr>
            <w:tcW w:w="1060" w:type="dxa"/>
            <w:vAlign w:val="bottom"/>
            <w:tcBorders>
              <w:bottom w:val="single" w:sz="8" w:color="CCEEFF"/>
            </w:tcBorders>
            <w:shd w:val="clear" w:color="auto" w:fill="CCEEFF"/>
          </w:tcPr>
          <w:p>
            <w:pPr>
              <w:jc w:val="right"/>
              <w:ind w:right="857"/>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number of common shares outstanding (Basic and Diluted)</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00" w:type="dxa"/>
            <w:vAlign w:val="bottom"/>
            <w:vMerge w:val="continue"/>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31,896</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22,604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3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(9,778)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(3,650)</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for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445</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Change in fair value of warrants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1,640</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 provision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Deferred rent expense</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loss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Inventory</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w:t>
            </w:r>
          </w:p>
        </w:tc>
      </w:tr>
      <w:tr>
        <w:trPr>
          <w:trHeight w:val="243"/>
        </w:trPr>
        <w:tc>
          <w:tcPr>
            <w:tcW w:w="8360" w:type="dxa"/>
            <w:vAlign w:val="bottom"/>
          </w:tcPr>
          <w:p>
            <w:pPr>
              <w:ind w:left="60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4,966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1,250</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43"/>
        </w:trPr>
        <w:tc>
          <w:tcPr>
            <w:tcW w:w="8360" w:type="dxa"/>
            <w:vAlign w:val="bottom"/>
          </w:tcPr>
          <w:p>
            <w:pPr>
              <w:ind w:left="60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(1,976)</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Accrued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1,340</w:t>
            </w:r>
          </w:p>
        </w:tc>
      </w:tr>
      <w:tr>
        <w:trPr>
          <w:trHeight w:val="243"/>
        </w:trPr>
        <w:tc>
          <w:tcPr>
            <w:tcW w:w="8360" w:type="dxa"/>
            <w:vAlign w:val="bottom"/>
          </w:tcPr>
          <w:p>
            <w:pPr>
              <w:ind w:left="600"/>
              <w:spacing w:after="0"/>
              <w:rPr>
                <w:sz w:val="20"/>
                <w:szCs w:val="20"/>
                <w:color w:val="auto"/>
              </w:rPr>
            </w:pPr>
            <w:r>
              <w:rPr>
                <w:rFonts w:ascii="Arial" w:cs="Arial" w:eastAsia="Arial" w:hAnsi="Arial"/>
                <w:sz w:val="18"/>
                <w:szCs w:val="18"/>
                <w:color w:val="auto"/>
              </w:rPr>
              <w:t>Other non-current assets and liabilities,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for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(1,269)</w:t>
            </w:r>
          </w:p>
        </w:tc>
      </w:tr>
      <w:tr>
        <w:trPr>
          <w:trHeight w:val="223"/>
        </w:trPr>
        <w:tc>
          <w:tcPr>
            <w:tcW w:w="836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Expenditures for property, plant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93</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provided by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r>
      <w:tr>
        <w:trPr>
          <w:trHeight w:val="223"/>
        </w:trPr>
        <w:tc>
          <w:tcPr>
            <w:tcW w:w="836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proceeds from issuance of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Deferred financing costs</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on long-term debt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Cash at beginning of period</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22,978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14,581</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at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19,847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13,544</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8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cash flow information (non-cash):</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Additions to equipment in process included in accounts payable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706</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exchanged between common and preferred stock</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Supplementary cash flows information:</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paid, net of interest capitalized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7"/>
        </w:trPr>
        <w:tc>
          <w:tcPr>
            <w:tcW w:w="83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2017 (UNAUDITED)</w:t>
      </w:r>
    </w:p>
    <w:p>
      <w:pPr>
        <w:spacing w:after="0" w:line="207"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6"/>
          <w:szCs w:val="16"/>
          <w:color w:val="auto"/>
        </w:rPr>
        <w:t>Vericel Corporation, a Michigan corporation (the Company, Vericel, we, us or our), was incorporated in March 1989 and began employee-based operations in 1991. On May 30, 2014, Vericel completed the acquisition of certain assets and assumed certain liabilities of Sanofi, a French société anonyme (Sanofi), including all of the outstanding equity interests of Genzyme Biosurgery ApS (Genzyme Denmark or the Danish subsidiary) (now known as Vericel Denmark ApS), a wholly-owned subsidiary of Sanofi, and over 250 patent applications of Sanofi and certain of its subsidiaries for purposes of acquiring the portion of the cell therapy and regenerative medicine business (the CTRM Business), which researches, develops, manufactures, markets and sells the Carticel</w:t>
      </w:r>
      <w:r>
        <w:rPr>
          <w:rFonts w:ascii="Arial" w:cs="Arial" w:eastAsia="Arial" w:hAnsi="Arial"/>
          <w:sz w:val="22"/>
          <w:szCs w:val="22"/>
          <w:color w:val="auto"/>
          <w:vertAlign w:val="superscript"/>
        </w:rPr>
        <w:t>®</w:t>
      </w:r>
      <w:r>
        <w:rPr>
          <w:rFonts w:ascii="Arial" w:cs="Arial" w:eastAsia="Arial" w:hAnsi="Arial"/>
          <w:sz w:val="16"/>
          <w:szCs w:val="16"/>
          <w:color w:val="auto"/>
        </w:rPr>
        <w:t>, MACI</w:t>
      </w:r>
      <w:r>
        <w:rPr>
          <w:rFonts w:ascii="Arial" w:cs="Arial" w:eastAsia="Arial" w:hAnsi="Arial"/>
          <w:sz w:val="22"/>
          <w:szCs w:val="22"/>
          <w:color w:val="auto"/>
          <w:vertAlign w:val="superscript"/>
        </w:rPr>
        <w:t>®</w:t>
      </w:r>
      <w:r>
        <w:rPr>
          <w:rFonts w:ascii="Arial" w:cs="Arial" w:eastAsia="Arial" w:hAnsi="Arial"/>
          <w:sz w:val="16"/>
          <w:szCs w:val="16"/>
          <w:color w:val="auto"/>
        </w:rPr>
        <w:t>, and Epicel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The Company is a fully integrated, commercial-stage biopharmaceutical company dedicated to the identification, development and commercialization of innovative therapies that enable the body to repair and regenerate damaged tissues and organs to restore normal structure and function. Vericel has marketed products and developmental stage product candidates, and the Company’s goal is to become the leader in cell therapy and regenerative medicine by developing, manufacturing and marketing best-in-class therapies for patients with significant unmet medical needs.</w:t>
      </w:r>
    </w:p>
    <w:p>
      <w:pPr>
        <w:spacing w:after="0" w:line="18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operates its business primarily in the U.S. in one reportable segment — the research, product development, manufacture and distribution of patient-specific, expanded cellular therapies for use in the treatment of specific diseases.</w:t>
      </w:r>
    </w:p>
    <w:p>
      <w:pPr>
        <w:spacing w:after="0" w:line="170" w:lineRule="exact"/>
        <w:rPr>
          <w:sz w:val="20"/>
          <w:szCs w:val="20"/>
          <w:color w:val="auto"/>
        </w:rPr>
      </w:pPr>
    </w:p>
    <w:p>
      <w:pPr>
        <w:jc w:val="both"/>
        <w:ind w:firstLine="243"/>
        <w:spacing w:after="0" w:line="267" w:lineRule="auto"/>
        <w:rPr>
          <w:sz w:val="20"/>
          <w:szCs w:val="20"/>
          <w:color w:val="auto"/>
        </w:rPr>
      </w:pPr>
      <w:r>
        <w:rPr>
          <w:rFonts w:ascii="Arial" w:cs="Arial" w:eastAsia="Arial" w:hAnsi="Arial"/>
          <w:sz w:val="17"/>
          <w:szCs w:val="17"/>
          <w:color w:val="222222"/>
        </w:rPr>
        <w:t xml:space="preserve">The accompanying consolidated financial statements have been prepared on a basis which assumes that the Company will continue as a going concern and contemplates the realization of assets and satisfaction of liabilities and commitments in the normal course of business. As of March 31, 2017, the Company has an accumulated deficit of $353.4 million and had a net loss of $9.8 million during the quarter ended March 31, 2017. The Company had cash of $19.8 million as of March 31, 2017. The Company expects that existing cash together with its </w:t>
      </w:r>
      <w:r>
        <w:rPr>
          <w:rFonts w:ascii="Arial" w:cs="Arial" w:eastAsia="Arial" w:hAnsi="Arial"/>
          <w:sz w:val="17"/>
          <w:szCs w:val="17"/>
          <w:color w:val="000000"/>
        </w:rPr>
        <w:t>term loan and revolving line of credit agreement with Silicon Valley</w:t>
      </w:r>
      <w:r>
        <w:rPr>
          <w:rFonts w:ascii="Arial" w:cs="Arial" w:eastAsia="Arial" w:hAnsi="Arial"/>
          <w:sz w:val="17"/>
          <w:szCs w:val="17"/>
          <w:color w:val="222222"/>
        </w:rPr>
        <w:t xml:space="preserve"> </w:t>
      </w:r>
      <w:r>
        <w:rPr>
          <w:rFonts w:ascii="Arial" w:cs="Arial" w:eastAsia="Arial" w:hAnsi="Arial"/>
          <w:sz w:val="17"/>
          <w:szCs w:val="17"/>
          <w:color w:val="000000"/>
        </w:rPr>
        <w:t xml:space="preserve">Bank (SVB) and MidCap Financial Services (MidCap) (the </w:t>
      </w:r>
      <w:r>
        <w:rPr>
          <w:rFonts w:ascii="Arial" w:cs="Arial" w:eastAsia="Arial" w:hAnsi="Arial"/>
          <w:sz w:val="17"/>
          <w:szCs w:val="17"/>
          <w:color w:val="222222"/>
        </w:rPr>
        <w:t>SVB-MidCap facility), will be sufficient to support the Company's current operations through at</w:t>
      </w:r>
      <w:r>
        <w:rPr>
          <w:rFonts w:ascii="Arial" w:cs="Arial" w:eastAsia="Arial" w:hAnsi="Arial"/>
          <w:sz w:val="17"/>
          <w:szCs w:val="17"/>
          <w:color w:val="000000"/>
        </w:rPr>
        <w:t xml:space="preserve"> </w:t>
      </w:r>
      <w:r>
        <w:rPr>
          <w:rFonts w:ascii="Arial" w:cs="Arial" w:eastAsia="Arial" w:hAnsi="Arial"/>
          <w:sz w:val="17"/>
          <w:szCs w:val="17"/>
          <w:color w:val="222222"/>
        </w:rPr>
        <w:t xml:space="preserve">least May 2018. In connection with the SVB-MidCap facility, </w:t>
      </w:r>
      <w:r>
        <w:rPr>
          <w:rFonts w:ascii="Arial" w:cs="Arial" w:eastAsia="Arial" w:hAnsi="Arial"/>
          <w:sz w:val="17"/>
          <w:szCs w:val="17"/>
          <w:color w:val="000000"/>
        </w:rPr>
        <w:t>the Company must remain in compliance with minimum monthly net revenue covenants</w:t>
      </w:r>
      <w:r>
        <w:rPr>
          <w:rFonts w:ascii="Arial" w:cs="Arial" w:eastAsia="Arial" w:hAnsi="Arial"/>
          <w:sz w:val="17"/>
          <w:szCs w:val="17"/>
          <w:color w:val="222222"/>
        </w:rPr>
        <w:t xml:space="preserve"> </w:t>
      </w:r>
      <w:r>
        <w:rPr>
          <w:rFonts w:ascii="Arial" w:cs="Arial" w:eastAsia="Arial" w:hAnsi="Arial"/>
          <w:sz w:val="17"/>
          <w:szCs w:val="17"/>
          <w:color w:val="000000"/>
        </w:rPr>
        <w:t xml:space="preserve">(determined in accordance with GAAP), measured on a trailing twelve month basis. </w:t>
      </w:r>
      <w:r>
        <w:rPr>
          <w:rFonts w:ascii="Arial" w:cs="Arial" w:eastAsia="Arial" w:hAnsi="Arial"/>
          <w:sz w:val="17"/>
          <w:szCs w:val="17"/>
          <w:color w:val="222222"/>
        </w:rPr>
        <w:t>SVB and MidCap also have the ability to call debt based on material</w:t>
      </w:r>
      <w:r>
        <w:rPr>
          <w:rFonts w:ascii="Arial" w:cs="Arial" w:eastAsia="Arial" w:hAnsi="Arial"/>
          <w:sz w:val="17"/>
          <w:szCs w:val="17"/>
          <w:color w:val="000000"/>
        </w:rPr>
        <w:t xml:space="preserve"> </w:t>
      </w:r>
      <w:r>
        <w:rPr>
          <w:rFonts w:ascii="Arial" w:cs="Arial" w:eastAsia="Arial" w:hAnsi="Arial"/>
          <w:sz w:val="17"/>
          <w:szCs w:val="17"/>
          <w:color w:val="222222"/>
        </w:rPr>
        <w:t xml:space="preserve">adverse change clauses which are subjectively determinable and result in a </w:t>
      </w:r>
      <w:r>
        <w:rPr>
          <w:rFonts w:ascii="Arial" w:cs="Arial" w:eastAsia="Arial" w:hAnsi="Arial"/>
          <w:sz w:val="17"/>
          <w:szCs w:val="17"/>
          <w:color w:val="000000"/>
        </w:rPr>
        <w:t>subjective acceleration clause.</w:t>
      </w:r>
      <w:r>
        <w:rPr>
          <w:rFonts w:ascii="Arial" w:cs="Arial" w:eastAsia="Arial" w:hAnsi="Arial"/>
          <w:sz w:val="17"/>
          <w:szCs w:val="17"/>
          <w:color w:val="222222"/>
        </w:rPr>
        <w:t xml:space="preserve"> If the Company's cash requirements exceed its current expectations, or if it is not in compliance with the monthly net revenue covenants or the subjective acceleration clauses are triggered under the SVB-MidCap facility, then SVB may call the debt resulting in the Company immediately needing additional funds. As of March 31, 2017, the Company was not in compliance with the minimum revenue covenant. On May 9, 2017, the Company entered into an amendment to the SVB-MidCap Facility to enable compliance with the net revenue covenants. See additional discussion in note7 regarding the amendment and change in covenants. The Company may seek additional funding through debt or equity financings including the at-the-market sales agreement in place with Cowen. However, the Company may not be able to obtain financing on acceptable terms or at all. The terms of any financing may adversely affect the holdings or the rights of the Company's shareholders. If the Company needs additional funds and is unable to obtain funding on a timely basis, the Company may need to significantly curtail its operations including its research and development programs in an effort to provide sufficient funds to continue its operations, which could adversely affect its business prospects.</w:t>
      </w:r>
    </w:p>
    <w:p>
      <w:pPr>
        <w:spacing w:after="0" w:line="189"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 condensed consolidated financial statements included herein have been prepared in accordance with the rules and regulations of the U.S. Securities and Exchange Commission (SEC). The preparation of condensed consolidated financial statements in conformity with generally accepted accounting principles in the United States of America (U.S. GAAP) requires management to make estimates, judgments, and assumptions that may affect the reported amounts of assets, liabilities, equity, revenues and expenses. Certain information and footnote disclosures normally included in financial statements prepared in accordance with U.S. GAAP have been omitted pursuant to such rules and regulations. The financial statements reflect, in the opinion of management, all adjustments (consisting only of normal, recurring adjustments) necessary to state fairly the financial position and results of operations as of and for the periods indicated. The results of operations for the three months ended March 31, 2017, are not necessarily indicative of the results to be expected for the full year or for any other period. The March 31, 2017 condensed consolidated balance sheet data was derived from the Company’s audited consolidated financial statements, but does not include all disclosures required by U.S. GAAP.</w:t>
      </w:r>
    </w:p>
    <w:p>
      <w:pPr>
        <w:spacing w:after="0" w:line="182"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color w:val="auto"/>
        </w:rPr>
        <w:t>These condensed consolidated financial statements should be read in conjunction with the audited consolidated financial statements and the notes thereto included in our Annual Report on Form 10-K for the year ended December 31, 2016, as filed with the SEC on March 13, 2017 (Annual Report).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240" w:right="8300" w:hanging="232"/>
        <w:spacing w:after="0" w:line="604" w:lineRule="auto"/>
        <w:tabs>
          <w:tab w:leader="none" w:pos="335"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Recent Accounting Pronouncements Revenue Recognition</w:t>
      </w:r>
    </w:p>
    <w:p>
      <w:pPr>
        <w:jc w:val="both"/>
        <w:ind w:firstLine="230"/>
        <w:spacing w:after="0" w:line="273" w:lineRule="auto"/>
        <w:rPr>
          <w:sz w:val="20"/>
          <w:szCs w:val="20"/>
          <w:color w:val="auto"/>
        </w:rPr>
      </w:pPr>
      <w:r>
        <w:rPr>
          <w:rFonts w:ascii="Arial" w:cs="Arial" w:eastAsia="Arial" w:hAnsi="Arial"/>
          <w:sz w:val="17"/>
          <w:szCs w:val="17"/>
          <w:color w:val="auto"/>
        </w:rPr>
        <w:t>In May 2014, the Financial Accounting Standards Board (FASB) issued authoritative guidance requiring entities to apply a new model for recognizing revenue from contracts with customers and the reporting of principal versus agent considerations. The guidance will supersede the current revenue recognition guidance and require entities to evaluate their revenue recognition arrangements using a five step model to determine when a customer obtains control of a transferred good or service. The guidance is currently effective for annual reporting periods beginning after December 15, 2017 and may be adopted using a full or modified retrospective application. The Company is currently in the process of evaluating its revenue arrangements under the issued guidance and has not yet determined the impact to its consolidated financial statements.</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Accounting for Leases</w:t>
      </w:r>
    </w:p>
    <w:p>
      <w:pPr>
        <w:spacing w:after="0" w:line="22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FASB issued guidance to increase transparency and comparability among organizations by recognizing lease assets and lease liabilities on the balance sheet and disclosing key information about leasing arrangements. In accordance with the updated guidance, lessees are required to recognize the assets and liabilities arising from operating leases on the balance sheet. The guidance is effective for annual reporting periods beginning after December 15, 2018, including interim periods within 2018. The Company is currently reviewing the potential impact of adopting the new guidance.</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Share-based Payment Accounting</w:t>
      </w:r>
    </w:p>
    <w:p>
      <w:pPr>
        <w:spacing w:after="0" w:line="22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The FASB issued guidance to simplify the accounting for share-based payment transactions, including the income tax consequences, classification of awards as either equity or liabilities, and classification on the statement of cash flows. The new standard was effective for the Company on January 1, 2017 and was implemented for the period ended March 31, 2017 and did not have an impact on the Company's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 Recognition and Net Product Sales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Total revenues are comprised of product sales of Carticel, Epicel, MACI, bone marrow and surgical kits. Revenue is recognized when persuasive evidence of an arrangement exists, the goods are shipped or delivered, depending on shipping terms, title and risk of loss pass to the customer and collectability is reasonably assured. Shipping and handling costs are included as a component of revenue.</w:t>
      </w:r>
    </w:p>
    <w:p>
      <w:pPr>
        <w:spacing w:after="0" w:line="181" w:lineRule="exact"/>
        <w:rPr>
          <w:sz w:val="20"/>
          <w:szCs w:val="20"/>
          <w:color w:val="auto"/>
        </w:rPr>
      </w:pPr>
    </w:p>
    <w:p>
      <w:pPr>
        <w:jc w:val="both"/>
        <w:ind w:firstLine="320"/>
        <w:spacing w:after="0" w:line="254" w:lineRule="auto"/>
        <w:rPr>
          <w:sz w:val="20"/>
          <w:szCs w:val="20"/>
          <w:color w:val="auto"/>
        </w:rPr>
      </w:pPr>
      <w:r>
        <w:rPr>
          <w:rFonts w:ascii="Arial" w:cs="Arial" w:eastAsia="Arial" w:hAnsi="Arial"/>
          <w:sz w:val="18"/>
          <w:szCs w:val="18"/>
          <w:color w:val="auto"/>
        </w:rPr>
        <w:t>On June 30, 2016, the Company reduced the scope of the agreement with its exclusive distributor by terminating their services with respect to a significant portion of its Carticel sales. Prior to June 30, 2016, the distributor purchased and took title to Carticel upon shipment of the product and assumed credit and collection risk. The distributor worked with the payers on behalf of patients and surgeons to ensure medical coverage and to obtain reimbursement for Carticel implantation procedures. The Company retained all responsibility for shipment of the product to the surgical suite. In addition, revenue for Carticel was recorded net of a provision for rebates and cash discounts. These rebates and cash discounts were established by the Company at the time of sale, based on historical experience adjusted to reflect known changes in the factors that impact such reserves. For instance, the distributor of Carticel was entitled to chargeback incentives for services that are provided for based on the selling price to the end customer, under specific contractual arrangements. Cash discounts could also be granted for prompt payment.</w:t>
      </w:r>
    </w:p>
    <w:p>
      <w:pPr>
        <w:spacing w:after="0" w:line="19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Effective as of July 1, 2016, the Company transitioned to a direct sales model whereby the Company retains credit and collection risk from the end customer. The Company currently utilizes Dohmen Life Science Services, LLC (DLSS) to provide patient support services and reimbursement services, but this provider does not purchase and take title to Carticel or MACI.</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Company - also utilizes Vital Care, Inc. to provide data reporting services and to purchase, bill and collect from certain payers for Carticel and MACI.</w:t>
      </w:r>
    </w:p>
    <w:p>
      <w:pPr>
        <w:spacing w:after="0" w:line="248"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The Company recognizes product revenues from sales of Carticel and MACI upon delivery to patients as long as (i) there is persuasive evidence that an arrangement exists between ourselves and the customer, (ii) collectability is reasonably assured and (iii) the price is fixed or determinable. Prior authorization or confirmation of coverage level by the patient’s private insurance plan, hospital or government payer is a prerequisite to the shipment of product to a patient. The Company's net product revenues are calculated by estimating expected payments for insurance, hospital or patient payments at the time it recognizes the gross revenue. The estimates are updated prospectively as new information becomes available.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222222"/>
        </w:rPr>
        <w:t xml:space="preserve">In April 2017, the Company received notification from one of our services providers, Vital Care, Inc., of a contractual dispute between Vital Care, Inc. and the third-party payer related to certain of its insurance reimbursement claims associated with Carticel and MACI surgeries performed in 2016 and the first quarter of 2017. Vital Care, Inc. is attempting to resolve this matter with the payer, which may include appealing or resubmitting the claims. While the Company believes reimbursement will be obtained, the ultimate amount of reimbursement may be lower than initially estimated. During the </w:t>
      </w:r>
      <w:r>
        <w:rPr>
          <w:rFonts w:ascii="Arial" w:cs="Arial" w:eastAsia="Arial" w:hAnsi="Arial"/>
          <w:sz w:val="18"/>
          <w:szCs w:val="18"/>
          <w:color w:val="000000"/>
        </w:rPr>
        <w:t>three months</w:t>
      </w:r>
      <w:r>
        <w:rPr>
          <w:rFonts w:ascii="Arial" w:cs="Arial" w:eastAsia="Arial" w:hAnsi="Arial"/>
          <w:sz w:val="18"/>
          <w:szCs w:val="18"/>
          <w:color w:val="222222"/>
        </w:rPr>
        <w:t xml:space="preserve"> </w:t>
      </w:r>
      <w:r>
        <w:rPr>
          <w:rFonts w:ascii="Arial" w:cs="Arial" w:eastAsia="Arial" w:hAnsi="Arial"/>
          <w:sz w:val="18"/>
          <w:szCs w:val="18"/>
          <w:color w:val="000000"/>
        </w:rPr>
        <w:t>ended March 31, 2017</w:t>
      </w:r>
      <w:r>
        <w:rPr>
          <w:rFonts w:ascii="Arial" w:cs="Arial" w:eastAsia="Arial" w:hAnsi="Arial"/>
          <w:sz w:val="18"/>
          <w:szCs w:val="18"/>
          <w:color w:val="222222"/>
        </w:rPr>
        <w:t>, the Company recorded a change in estimate for revenue reserves of $2.1 million related to 2016 sales and $0.7 million related to 2017</w:t>
      </w:r>
      <w:r>
        <w:rPr>
          <w:rFonts w:ascii="Arial" w:cs="Arial" w:eastAsia="Arial" w:hAnsi="Arial"/>
          <w:sz w:val="18"/>
          <w:szCs w:val="18"/>
          <w:color w:val="000000"/>
        </w:rPr>
        <w:t xml:space="preserve"> </w:t>
      </w:r>
      <w:r>
        <w:rPr>
          <w:rFonts w:ascii="Arial" w:cs="Arial" w:eastAsia="Arial" w:hAnsi="Arial"/>
          <w:sz w:val="18"/>
          <w:szCs w:val="18"/>
          <w:color w:val="222222"/>
        </w:rPr>
        <w:t xml:space="preserve">sales to reflect the lower reimbursement that would be obtained if the claims are ultimately required to be treated as out-of-network. In addition, the contractual dispute could impact amounts previously collected and certain amounts may need to be repaid while the matter is being resolved; therefore our liquidity may be negatively impacted. </w:t>
      </w:r>
      <w:r>
        <w:rPr>
          <w:rFonts w:ascii="Arial" w:cs="Arial" w:eastAsia="Arial" w:hAnsi="Arial"/>
          <w:sz w:val="18"/>
          <w:szCs w:val="18"/>
          <w:color w:val="000000"/>
        </w:rPr>
        <w:t>As a result of the continuing evaluation and assessment of these expected payments, our estimates for expected</w:t>
      </w:r>
      <w:r>
        <w:rPr>
          <w:rFonts w:ascii="Arial" w:cs="Arial" w:eastAsia="Arial" w:hAnsi="Arial"/>
          <w:sz w:val="18"/>
          <w:szCs w:val="18"/>
          <w:color w:val="222222"/>
        </w:rPr>
        <w:t xml:space="preserve"> </w:t>
      </w:r>
      <w:r>
        <w:rPr>
          <w:rFonts w:ascii="Arial" w:cs="Arial" w:eastAsia="Arial" w:hAnsi="Arial"/>
          <w:sz w:val="18"/>
          <w:szCs w:val="18"/>
          <w:color w:val="000000"/>
        </w:rPr>
        <w:t>payments could change.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Revenue from one customer, the distributor in the U.S., represented approximately 63% of total revenue during the three months ended March 31, 2016. The next largest customer represented 16% and 13% total revenue during the three months ended March 31, 2017 and 2016, respectively. No other customer accounted for more than 10% of revenue or accounts receivable in 2017 or as of December 31, 2016.</w:t>
      </w:r>
    </w:p>
    <w:p>
      <w:pPr>
        <w:spacing w:after="0" w:line="17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Selected Balance Sheet Components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Inventory as of March 31, 2017 and December 31,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2017</w:t>
            </w:r>
          </w:p>
        </w:tc>
        <w:tc>
          <w:tcPr>
            <w:tcW w:w="180" w:type="dxa"/>
            <w:vAlign w:val="bottom"/>
          </w:tcPr>
          <w:p>
            <w:pPr>
              <w:spacing w:after="0"/>
              <w:rPr>
                <w:sz w:val="16"/>
                <w:szCs w:val="16"/>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3,214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Inventory</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3,958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3,488</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260"/>
              <w:spacing w:after="0"/>
              <w:rPr>
                <w:sz w:val="20"/>
                <w:szCs w:val="20"/>
                <w:color w:val="auto"/>
              </w:rPr>
            </w:pPr>
            <w:r>
              <w:rPr>
                <w:rFonts w:ascii="Arial" w:cs="Arial" w:eastAsia="Arial" w:hAnsi="Arial"/>
                <w:sz w:val="18"/>
                <w:szCs w:val="18"/>
                <w:color w:val="auto"/>
              </w:rPr>
              <w:t>Property and equipment, net as of March 31, 2017 and December 31, 2016:</w:t>
            </w: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2017</w:t>
            </w:r>
          </w:p>
        </w:tc>
        <w:tc>
          <w:tcPr>
            <w:tcW w:w="180" w:type="dxa"/>
            <w:vAlign w:val="bottom"/>
          </w:tcPr>
          <w:p>
            <w:pPr>
              <w:spacing w:after="0"/>
              <w:rPr>
                <w:sz w:val="24"/>
                <w:szCs w:val="24"/>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3,150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Furniture, fixtures and office equipment</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3,147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3,332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3,332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process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property and equipment, gross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11,140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10,968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(7,093)</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3,638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3,875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Depreciation expense for the three months ended March 31, 2017 and 2016 was $0.4 million and $0.4 million, respectively.</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Accrued expenses as of March 31, 2017 and December 31,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March 31, 2017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Bonus related compensation</w:t>
            </w:r>
          </w:p>
        </w:tc>
        <w:tc>
          <w:tcPr>
            <w:tcW w:w="4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2,433</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Employee related accruals</w:t>
            </w:r>
          </w:p>
        </w:tc>
        <w:tc>
          <w:tcPr>
            <w:tcW w:w="4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1,967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Clinical trial related accruals</w:t>
            </w:r>
          </w:p>
        </w:tc>
        <w:tc>
          <w:tcPr>
            <w:tcW w:w="4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Other</w:t>
            </w:r>
          </w:p>
        </w:tc>
        <w:tc>
          <w:tcPr>
            <w:tcW w:w="4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8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4,523</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bottom w:val="single" w:sz="8" w:color="CCEEFF"/>
            </w:tcBorders>
            <w:vMerge w:val="restart"/>
          </w:tcPr>
          <w:p>
            <w:pPr>
              <w:jc w:val="right"/>
              <w:ind w:right="2270"/>
              <w:spacing w:after="0"/>
              <w:rPr>
                <w:sz w:val="20"/>
                <w:szCs w:val="20"/>
                <w:color w:val="auto"/>
              </w:rPr>
            </w:pPr>
            <w:r>
              <w:rPr>
                <w:rFonts w:ascii="Arial" w:cs="Arial" w:eastAsia="Arial" w:hAnsi="Arial"/>
                <w:sz w:val="18"/>
                <w:szCs w:val="18"/>
                <w:color w:val="auto"/>
              </w:rPr>
              <w:t>8</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88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Stock Purchase Warrants</w:t>
      </w:r>
    </w:p>
    <w:p>
      <w:pPr>
        <w:spacing w:after="0" w:line="229" w:lineRule="exact"/>
        <w:rPr>
          <w:sz w:val="20"/>
          <w:szCs w:val="20"/>
          <w:color w:val="auto"/>
        </w:rPr>
      </w:pPr>
    </w:p>
    <w:p>
      <w:pPr>
        <w:ind w:firstLine="243"/>
        <w:spacing w:after="0" w:line="291" w:lineRule="auto"/>
        <w:rPr>
          <w:sz w:val="20"/>
          <w:szCs w:val="20"/>
          <w:color w:val="auto"/>
        </w:rPr>
      </w:pPr>
      <w:r>
        <w:rPr>
          <w:rFonts w:ascii="Arial" w:cs="Arial" w:eastAsia="Arial" w:hAnsi="Arial"/>
          <w:sz w:val="16"/>
          <w:szCs w:val="16"/>
          <w:color w:val="auto"/>
        </w:rPr>
        <w:t>The Company has historically issued warrants to purchase shares of the Company’s common stock in connection with certain of its common stock offerings and in September 2016 the Company issued warrants in connection with the updated debt agreement (September 2016 Warrants) discussed in note</w:t>
      </w:r>
    </w:p>
    <w:p>
      <w:pPr>
        <w:jc w:val="both"/>
        <w:ind w:right="20" w:firstLine="8"/>
        <w:spacing w:after="0" w:line="273" w:lineRule="auto"/>
        <w:tabs>
          <w:tab w:leader="none" w:pos="261"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warrants issued in August 2013 (August 2013 Warrants) include anti-dilution price protection provisions that could require cash settlement of the warrants and accordingly requiring the warrants to be recorded as liabilities of the Company at the estimated fair value at the date of issuance, with changes in estimated fair value recorded as income or expense (non-cash) in the Company’s statement of operations in each subsequent period. The September 2016 Warrants meet the requirements for equity classification. The following table describes the outstanding warrants:</w:t>
      </w:r>
    </w:p>
    <w:p>
      <w:pPr>
        <w:spacing w:after="0" w:line="102"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1"/>
              </w:rPr>
              <w:t>August 2013</w:t>
            </w:r>
          </w:p>
        </w:tc>
        <w:tc>
          <w:tcPr>
            <w:tcW w:w="2200" w:type="dxa"/>
            <w:vAlign w:val="bottom"/>
            <w:vMerge w:val="restart"/>
          </w:tcPr>
          <w:p>
            <w:pPr>
              <w:jc w:val="center"/>
              <w:ind w:left="74"/>
              <w:spacing w:after="0"/>
              <w:rPr>
                <w:sz w:val="20"/>
                <w:szCs w:val="20"/>
                <w:color w:val="auto"/>
              </w:rPr>
            </w:pPr>
            <w:r>
              <w:rPr>
                <w:rFonts w:ascii="Arial" w:cs="Arial" w:eastAsia="Arial" w:hAnsi="Arial"/>
                <w:sz w:val="14"/>
                <w:szCs w:val="14"/>
                <w:b w:val="1"/>
                <w:bCs w:val="1"/>
                <w:color w:val="auto"/>
                <w:w w:val="93"/>
              </w:rPr>
              <w:t>September 2016 Warrants</w:t>
            </w:r>
          </w:p>
        </w:tc>
        <w:tc>
          <w:tcPr>
            <w:tcW w:w="0" w:type="dxa"/>
            <w:vAlign w:val="bottom"/>
          </w:tcPr>
          <w:p>
            <w:pPr>
              <w:spacing w:after="0"/>
              <w:rPr>
                <w:sz w:val="1"/>
                <w:szCs w:val="1"/>
                <w:color w:val="auto"/>
              </w:rPr>
            </w:pPr>
          </w:p>
        </w:tc>
      </w:tr>
      <w:tr>
        <w:trPr>
          <w:trHeight w:val="192"/>
        </w:trPr>
        <w:tc>
          <w:tcPr>
            <w:tcW w:w="3700" w:type="dxa"/>
            <w:vAlign w:val="bottom"/>
            <w:tcBorders>
              <w:bottom w:val="single" w:sz="8" w:color="CCEEFF"/>
            </w:tcBorders>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Warrants</w:t>
            </w:r>
          </w:p>
        </w:tc>
        <w:tc>
          <w:tcPr>
            <w:tcW w:w="2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price</w:t>
            </w:r>
          </w:p>
        </w:tc>
        <w:tc>
          <w:tcPr>
            <w:tcW w:w="2000" w:type="dxa"/>
            <w:vAlign w:val="bottom"/>
            <w:tcBorders>
              <w:bottom w:val="single" w:sz="8" w:color="CCEEFF"/>
            </w:tcBorders>
            <w:shd w:val="clear" w:color="auto" w:fill="CCEEFF"/>
          </w:tcPr>
          <w:p>
            <w:pPr>
              <w:jc w:val="right"/>
              <w:ind w:right="697"/>
              <w:spacing w:after="0"/>
              <w:rPr>
                <w:sz w:val="20"/>
                <w:szCs w:val="20"/>
                <w:color w:val="auto"/>
              </w:rPr>
            </w:pPr>
            <w:r>
              <w:rPr>
                <w:rFonts w:ascii="Arial" w:cs="Arial" w:eastAsia="Arial" w:hAnsi="Arial"/>
                <w:sz w:val="18"/>
                <w:szCs w:val="18"/>
                <w:color w:val="auto"/>
              </w:rPr>
              <w:t>$4.80</w:t>
            </w:r>
          </w:p>
        </w:tc>
        <w:tc>
          <w:tcPr>
            <w:tcW w:w="220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Expiration date</w:t>
            </w:r>
          </w:p>
        </w:tc>
        <w:tc>
          <w:tcPr>
            <w:tcW w:w="2000" w:type="dxa"/>
            <w:vAlign w:val="bottom"/>
          </w:tcPr>
          <w:p>
            <w:pPr>
              <w:jc w:val="center"/>
              <w:spacing w:after="0"/>
              <w:rPr>
                <w:sz w:val="20"/>
                <w:szCs w:val="20"/>
                <w:color w:val="auto"/>
              </w:rPr>
            </w:pPr>
            <w:r>
              <w:rPr>
                <w:rFonts w:ascii="Arial" w:cs="Arial" w:eastAsia="Arial" w:hAnsi="Arial"/>
                <w:sz w:val="18"/>
                <w:szCs w:val="18"/>
                <w:color w:val="auto"/>
                <w:w w:val="91"/>
              </w:rPr>
              <w:t>August 16, 2018</w:t>
            </w:r>
          </w:p>
        </w:tc>
        <w:tc>
          <w:tcPr>
            <w:tcW w:w="2200" w:type="dxa"/>
            <w:vAlign w:val="bottom"/>
          </w:tcPr>
          <w:p>
            <w:pPr>
              <w:jc w:val="center"/>
              <w:ind w:left="74"/>
              <w:spacing w:after="0"/>
              <w:rPr>
                <w:sz w:val="20"/>
                <w:szCs w:val="20"/>
                <w:color w:val="auto"/>
              </w:rPr>
            </w:pPr>
            <w:r>
              <w:rPr>
                <w:rFonts w:ascii="Arial" w:cs="Arial" w:eastAsia="Arial" w:hAnsi="Arial"/>
                <w:sz w:val="18"/>
                <w:szCs w:val="18"/>
                <w:color w:val="auto"/>
                <w:w w:val="88"/>
              </w:rPr>
              <w:t>September 9, 2022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shares issuable on exercise</w:t>
            </w:r>
          </w:p>
        </w:tc>
        <w:tc>
          <w:tcPr>
            <w:tcW w:w="2000" w:type="dxa"/>
            <w:vAlign w:val="bottom"/>
            <w:shd w:val="clear" w:color="auto" w:fill="CCEEFF"/>
          </w:tcPr>
          <w:p>
            <w:pPr>
              <w:jc w:val="right"/>
              <w:ind w:right="597"/>
              <w:spacing w:after="0"/>
              <w:rPr>
                <w:sz w:val="20"/>
                <w:szCs w:val="20"/>
                <w:color w:val="auto"/>
              </w:rPr>
            </w:pPr>
            <w:r>
              <w:rPr>
                <w:rFonts w:ascii="Arial" w:cs="Arial" w:eastAsia="Arial" w:hAnsi="Arial"/>
                <w:sz w:val="18"/>
                <w:szCs w:val="18"/>
                <w:color w:val="auto"/>
              </w:rPr>
              <w:t>724,950</w:t>
            </w:r>
          </w:p>
        </w:tc>
        <w:tc>
          <w:tcPr>
            <w:tcW w:w="220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rPr>
              <w:t>117,074</w:t>
            </w:r>
          </w:p>
        </w:tc>
        <w:tc>
          <w:tcPr>
            <w:tcW w:w="0" w:type="dxa"/>
            <w:vAlign w:val="bottom"/>
          </w:tcPr>
          <w:p>
            <w:pPr>
              <w:spacing w:after="0"/>
              <w:rPr>
                <w:sz w:val="1"/>
                <w:szCs w:val="1"/>
                <w:color w:val="auto"/>
              </w:rPr>
            </w:pPr>
          </w:p>
        </w:tc>
      </w:tr>
      <w:tr>
        <w:trPr>
          <w:trHeight w:val="27"/>
        </w:trPr>
        <w:tc>
          <w:tcPr>
            <w:tcW w:w="370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On September 9, 2016, the Company issued 117,074 warrants to two holders in conjunction with the loan agreement described in note 7. The initial valuation of the September 2016 Warrants was recorded as debt issuance costs and is being amortized over the remaining life of the loan agreement to interest expense. The September 2016 Warrants are treated as equity instruments recorded at fair value with no subsequent remeasurement. Pursuant to the warrants, the holders may exercise their warrants for an aggregate of 117,074 shares of the Company’s common stock.</w:t>
      </w:r>
    </w:p>
    <w:p>
      <w:pPr>
        <w:spacing w:after="0" w:line="171"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fair value of the warrants described in the table above is measured using the Black-Scholes valuation model. Inherent in the Black-Scholes valuation model are assumptions related to expected stock-price volatility, expected life, risk-free interest rate and dividend yield. The Company estimates the volatility of its common stock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to remain at zero. See further detail in note 9 of the condensed consolidated financial statements.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assumptions used by the Company are summarized in the following tables: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August 2013 Warrants</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March 31, 2017</w:t>
            </w:r>
          </w:p>
        </w:tc>
        <w:tc>
          <w:tcPr>
            <w:tcW w:w="120" w:type="dxa"/>
            <w:vAlign w:val="bottom"/>
            <w:tcBorders>
              <w:bottom w:val="single" w:sz="8" w:color="CCEEFF"/>
            </w:tcBorders>
            <w:gridSpan w:val="2"/>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8"/>
              </w:rPr>
              <w:t>December 31, 2016</w:t>
            </w: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Closing stock price</w:t>
            </w:r>
          </w:p>
        </w:tc>
        <w:tc>
          <w:tcPr>
            <w:tcW w:w="4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3.00</w:t>
            </w: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Expected dividend rate</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gridSpan w:val="3"/>
          </w:tcPr>
          <w:p>
            <w:pPr>
              <w:ind w:left="1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stock price volatility</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w:t>
            </w: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Risk-free interest rate</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7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life (years)</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1.62</w:t>
            </w:r>
          </w:p>
        </w:tc>
      </w:tr>
      <w:tr>
        <w:trPr>
          <w:trHeight w:val="615"/>
        </w:trPr>
        <w:tc>
          <w:tcPr>
            <w:tcW w:w="7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September 2016 Warrants</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September 9, 2016</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Closing stock price</w:t>
            </w:r>
          </w:p>
        </w:tc>
        <w:tc>
          <w:tcPr>
            <w:tcW w:w="4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Expected dividend rate</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gridSpan w:val="3"/>
          </w:tcPr>
          <w:p>
            <w:pPr>
              <w:ind w:left="1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stock price volatility</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89.8%</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Risk-free interest rate</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7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Expected life (years)</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3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bl>
    <w:p>
      <w:pPr>
        <w:spacing w:after="0" w:line="198"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On March 8, 2016, the Company entered into a $15.0 million debt financing with SVB which on September 9, 2016, was replaced by an expanded term loan and revolving line of credit agreement with SVB and MidCap, which together provide access to up to $20 million. The updated debt financing consists of a $4.0 million term loan which was drawn at the closing, a $4.0 million term loan which was drawn upon in November 2016, a $2.0 million term loan available upon the FDA's approval of the MACI BLA which is no longer available as it was not drawn on upon by April 12, 2017 and up to $10.0 million of a revolving line of credit. The term loans are interest only (indexed to Wall Street Journal (WSJ) Prime plus 5.00%) until September 1, 2017 followed by 36 equal monthly payments of principal plus interest maturing September 9, 2020. The revolving credit is limited to a borrowing base calculated using eligible accounts receivable and maturing September 9, 2020 with an interest rate indexed to WSJ Prime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plus 1.25%. </w:t>
      </w:r>
      <w:r>
        <w:rPr>
          <w:rFonts w:ascii="Arial" w:cs="Arial" w:eastAsia="Arial" w:hAnsi="Arial"/>
          <w:sz w:val="18"/>
          <w:szCs w:val="18"/>
          <w:color w:val="222222"/>
        </w:rPr>
        <w:t>The Company is subject to various financial and nonfinancial covenants including but not limited to monthly minimum net revenue covenants</w:t>
      </w:r>
      <w:r>
        <w:rPr>
          <w:rFonts w:ascii="Arial" w:cs="Arial" w:eastAsia="Arial" w:hAnsi="Arial"/>
          <w:sz w:val="18"/>
          <w:szCs w:val="18"/>
          <w:color w:val="auto"/>
        </w:rPr>
        <w:t xml:space="preserve"> (determined in accordance with GAAP), measured on a trailing twelve month basis</w:t>
      </w:r>
      <w:r>
        <w:rPr>
          <w:rFonts w:ascii="Arial" w:cs="Arial" w:eastAsia="Arial" w:hAnsi="Arial"/>
          <w:sz w:val="18"/>
          <w:szCs w:val="18"/>
          <w:color w:val="222222"/>
        </w:rPr>
        <w:t>. SVB and MidCap have the ability to call debt based on material adverse</w:t>
      </w:r>
      <w:r>
        <w:rPr>
          <w:rFonts w:ascii="Arial" w:cs="Arial" w:eastAsia="Arial" w:hAnsi="Arial"/>
          <w:sz w:val="18"/>
          <w:szCs w:val="18"/>
          <w:color w:val="auto"/>
        </w:rPr>
        <w:t xml:space="preserve"> </w:t>
      </w:r>
      <w:r>
        <w:rPr>
          <w:rFonts w:ascii="Arial" w:cs="Arial" w:eastAsia="Arial" w:hAnsi="Arial"/>
          <w:sz w:val="18"/>
          <w:szCs w:val="18"/>
          <w:color w:val="222222"/>
        </w:rPr>
        <w:t xml:space="preserve">change clauses which are subjectively determinable and result in a </w:t>
      </w:r>
      <w:r>
        <w:rPr>
          <w:rFonts w:ascii="Arial" w:cs="Arial" w:eastAsia="Arial" w:hAnsi="Arial"/>
          <w:sz w:val="18"/>
          <w:szCs w:val="18"/>
          <w:color w:val="000000"/>
        </w:rPr>
        <w:t>subjective acceleration clause. SVB and MidCap have a shared first priority perfected</w:t>
      </w:r>
      <w:r>
        <w:rPr>
          <w:rFonts w:ascii="Arial" w:cs="Arial" w:eastAsia="Arial" w:hAnsi="Arial"/>
          <w:sz w:val="18"/>
          <w:szCs w:val="18"/>
          <w:color w:val="222222"/>
        </w:rPr>
        <w:t xml:space="preserve"> </w:t>
      </w:r>
      <w:r>
        <w:rPr>
          <w:rFonts w:ascii="Arial" w:cs="Arial" w:eastAsia="Arial" w:hAnsi="Arial"/>
          <w:sz w:val="18"/>
          <w:szCs w:val="18"/>
          <w:color w:val="000000"/>
        </w:rPr>
        <w:t>security interest in all assets of the Company other than intellectual property. As of March 31, 2017, there was an outstanding balance of $8.0 million under the term loan and $2.5 million under the revolving line of credit. The weighted average interest rate on the outstanding term and revolving credit loans as of March 31, 2017 was 7.8%.</w:t>
      </w:r>
    </w:p>
    <w:p>
      <w:pPr>
        <w:spacing w:after="0" w:line="193"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222222"/>
        </w:rPr>
        <w:t xml:space="preserve">As of March 31, 2017, the Company was not in compliance with the minimum revenue covenant. On May 9, 2017, the Company entered into an amendment to the SVB-MidCap Facility to enable compliance with the monthly net revenue requirement covenants, </w:t>
      </w:r>
      <w:r>
        <w:rPr>
          <w:rFonts w:ascii="Arial" w:cs="Arial" w:eastAsia="Arial" w:hAnsi="Arial"/>
          <w:sz w:val="17"/>
          <w:szCs w:val="17"/>
          <w:color w:val="000000"/>
        </w:rPr>
        <w:t>measured on a trailing twelve month</w:t>
      </w:r>
      <w:r>
        <w:rPr>
          <w:rFonts w:ascii="Arial" w:cs="Arial" w:eastAsia="Arial" w:hAnsi="Arial"/>
          <w:sz w:val="17"/>
          <w:szCs w:val="17"/>
          <w:color w:val="222222"/>
        </w:rPr>
        <w:t xml:space="preserve"> </w:t>
      </w:r>
      <w:r>
        <w:rPr>
          <w:rFonts w:ascii="Arial" w:cs="Arial" w:eastAsia="Arial" w:hAnsi="Arial"/>
          <w:sz w:val="17"/>
          <w:szCs w:val="17"/>
          <w:color w:val="000000"/>
        </w:rPr>
        <w:t xml:space="preserve">basis </w:t>
      </w:r>
      <w:r>
        <w:rPr>
          <w:rFonts w:ascii="Arial" w:cs="Arial" w:eastAsia="Arial" w:hAnsi="Arial"/>
          <w:sz w:val="17"/>
          <w:szCs w:val="17"/>
          <w:color w:val="222222"/>
        </w:rPr>
        <w:t>as of</w:t>
      </w:r>
      <w:r>
        <w:rPr>
          <w:rFonts w:ascii="Arial" w:cs="Arial" w:eastAsia="Arial" w:hAnsi="Arial"/>
          <w:sz w:val="17"/>
          <w:szCs w:val="17"/>
          <w:color w:val="000000"/>
        </w:rPr>
        <w:t xml:space="preserve"> March 31, 2017</w:t>
      </w:r>
      <w:r>
        <w:rPr>
          <w:rFonts w:ascii="Arial" w:cs="Arial" w:eastAsia="Arial" w:hAnsi="Arial"/>
          <w:sz w:val="17"/>
          <w:szCs w:val="17"/>
          <w:color w:val="222222"/>
        </w:rPr>
        <w:t>. The amendment</w:t>
      </w:r>
      <w:r>
        <w:rPr>
          <w:rFonts w:ascii="Arial" w:cs="Arial" w:eastAsia="Arial" w:hAnsi="Arial"/>
          <w:sz w:val="17"/>
          <w:szCs w:val="17"/>
          <w:color w:val="000000"/>
        </w:rPr>
        <w:t xml:space="preserve"> decreased the 12 month trailing minimum revenue covenant </w:t>
      </w:r>
      <w:r>
        <w:rPr>
          <w:rFonts w:ascii="Arial" w:cs="Arial" w:eastAsia="Arial" w:hAnsi="Arial"/>
          <w:sz w:val="17"/>
          <w:szCs w:val="17"/>
          <w:color w:val="222222"/>
        </w:rPr>
        <w:t>as of March 31, 2017 and revised the</w:t>
      </w:r>
      <w:r>
        <w:rPr>
          <w:rFonts w:ascii="Arial" w:cs="Arial" w:eastAsia="Arial" w:hAnsi="Arial"/>
          <w:sz w:val="17"/>
          <w:szCs w:val="17"/>
          <w:color w:val="000000"/>
        </w:rPr>
        <w:t xml:space="preserve"> December 31, 2017 minimum revenue covenant to $51.7 million. </w:t>
      </w:r>
      <w:r>
        <w:rPr>
          <w:rFonts w:ascii="Arial" w:cs="Arial" w:eastAsia="Arial" w:hAnsi="Arial"/>
          <w:sz w:val="17"/>
          <w:szCs w:val="17"/>
          <w:color w:val="222222"/>
        </w:rPr>
        <w:t>The amount of eligible account receivables used to calculate the availability under the revolving line of</w:t>
      </w:r>
      <w:r>
        <w:rPr>
          <w:rFonts w:ascii="Arial" w:cs="Arial" w:eastAsia="Arial" w:hAnsi="Arial"/>
          <w:sz w:val="17"/>
          <w:szCs w:val="17"/>
          <w:color w:val="000000"/>
        </w:rPr>
        <w:t xml:space="preserve"> </w:t>
      </w:r>
      <w:r>
        <w:rPr>
          <w:rFonts w:ascii="Arial" w:cs="Arial" w:eastAsia="Arial" w:hAnsi="Arial"/>
          <w:sz w:val="17"/>
          <w:szCs w:val="17"/>
          <w:color w:val="222222"/>
        </w:rPr>
        <w:t xml:space="preserve">credit was reduced. As of </w:t>
      </w:r>
      <w:r>
        <w:rPr>
          <w:rFonts w:ascii="Arial" w:cs="Arial" w:eastAsia="Arial" w:hAnsi="Arial"/>
          <w:sz w:val="17"/>
          <w:szCs w:val="17"/>
          <w:color w:val="000000"/>
        </w:rPr>
        <w:t>March 31, 2017</w:t>
      </w:r>
      <w:r>
        <w:rPr>
          <w:rFonts w:ascii="Arial" w:cs="Arial" w:eastAsia="Arial" w:hAnsi="Arial"/>
          <w:sz w:val="17"/>
          <w:szCs w:val="17"/>
          <w:color w:val="222222"/>
        </w:rPr>
        <w:t xml:space="preserve">, there was </w:t>
      </w:r>
      <w:r>
        <w:rPr>
          <w:rFonts w:ascii="Arial" w:cs="Arial" w:eastAsia="Arial" w:hAnsi="Arial"/>
          <w:sz w:val="17"/>
          <w:szCs w:val="17"/>
          <w:color w:val="000000"/>
        </w:rPr>
        <w:t>$0.3 million remaining capacity under the revolving line of credit.</w:t>
      </w:r>
    </w:p>
    <w:p>
      <w:pPr>
        <w:spacing w:after="0" w:line="169"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 and Equity Incentive Plans</w:t>
      </w:r>
    </w:p>
    <w:p>
      <w:pPr>
        <w:spacing w:after="0" w:line="225"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The Company can issue nonqualified and incentive stock options as well as other equity awards pursuant to its Second Amended and Restated 2009 Omnibus Incentive Plan (Option Plan). Such awards pursuant to the Option Plan may be granted by the Company’s Board of Directors to certain of the Company’s employees, directors and consultants.</w:t>
      </w:r>
    </w:p>
    <w:p>
      <w:pPr>
        <w:spacing w:after="0" w:line="18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During the three months ended March 31, 2017, the Company granted 892,390 service-based options to purchase common stock. The options were granted with exercise prices equal to the fair market value of the Company’s stock at the grant date, and other than those granted to non-employee directors, vest over four years, under a graded-vesting methodology, following the date of grant, and expire after ten years. The Company issues new shares upon the exercise of stock options. The weighted average grant-date fair value of service-based options granted under the Option Plan during the three month periods ended March 31, 2017 and 2016 was $2.00 and $2.19, respectively.</w:t>
      </w:r>
    </w:p>
    <w:p>
      <w:pPr>
        <w:spacing w:after="0" w:line="18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net compensation expense recorded for the service-based stock options related to employees and directors was $0.5 million and $0.5 million for the three months ended March 31, 2017 and 2016, respectively. The compensation cost includes forfeiture adjustments.</w:t>
      </w:r>
    </w:p>
    <w:p>
      <w:pPr>
        <w:spacing w:after="0" w:line="170"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fair value of each service-based stock option grant for the reported periods is estimated on the date of the grant using the Black-Scholes option-pricing model using the weighted average assumptions noted in the following table.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40" w:type="dxa"/>
            <w:vAlign w:val="bottom"/>
            <w:tcBorders>
              <w:bottom w:val="single" w:sz="8" w:color="auto"/>
            </w:tcBorders>
            <w:gridSpan w:val="3"/>
          </w:tcPr>
          <w:p>
            <w:pPr>
              <w:jc w:val="right"/>
              <w:ind w:right="73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Service-Based Stock Options</w:t>
            </w:r>
          </w:p>
        </w:tc>
        <w:tc>
          <w:tcPr>
            <w:tcW w:w="3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2016</w:t>
            </w: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rate</w:t>
            </w:r>
          </w:p>
        </w:tc>
        <w:tc>
          <w:tcPr>
            <w:tcW w:w="3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Expected stock price volatility</w:t>
            </w:r>
          </w:p>
        </w:tc>
        <w:tc>
          <w:tcPr>
            <w:tcW w:w="3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gridSpan w:val="2"/>
          </w:tcPr>
          <w:p>
            <w:pPr>
              <w:jc w:val="right"/>
              <w:ind w:right="300"/>
              <w:spacing w:after="0"/>
              <w:rPr>
                <w:sz w:val="20"/>
                <w:szCs w:val="20"/>
                <w:color w:val="auto"/>
              </w:rPr>
            </w:pPr>
            <w:r>
              <w:rPr>
                <w:rFonts w:ascii="Arial" w:cs="Arial" w:eastAsia="Arial" w:hAnsi="Arial"/>
                <w:sz w:val="18"/>
                <w:szCs w:val="18"/>
                <w:color w:val="auto"/>
              </w:rPr>
              <w:t>81.3 – 88.2%</w:t>
            </w:r>
          </w:p>
        </w:tc>
        <w:tc>
          <w:tcPr>
            <w:tcW w:w="1760" w:type="dxa"/>
            <w:vAlign w:val="bottom"/>
          </w:tcPr>
          <w:p>
            <w:pPr>
              <w:jc w:val="right"/>
              <w:ind w:right="94"/>
              <w:spacing w:after="0"/>
              <w:rPr>
                <w:sz w:val="20"/>
                <w:szCs w:val="20"/>
                <w:color w:val="auto"/>
              </w:rPr>
            </w:pPr>
            <w:r>
              <w:rPr>
                <w:rFonts w:ascii="Arial" w:cs="Arial" w:eastAsia="Arial" w:hAnsi="Arial"/>
                <w:sz w:val="18"/>
                <w:szCs w:val="18"/>
                <w:color w:val="auto"/>
              </w:rPr>
              <w:t>78.7 – 85.5%</w:t>
            </w:r>
          </w:p>
        </w:tc>
      </w:tr>
      <w:tr>
        <w:trPr>
          <w:trHeight w:val="27"/>
        </w:trPr>
        <w:tc>
          <w:tcPr>
            <w:tcW w:w="39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3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 – 2.3%</w:t>
            </w:r>
          </w:p>
        </w:tc>
        <w:tc>
          <w:tcPr>
            <w:tcW w:w="17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1.3 – 1.8%</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Expected life (years)</w:t>
            </w:r>
          </w:p>
        </w:tc>
        <w:tc>
          <w:tcPr>
            <w:tcW w:w="3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gridSpan w:val="2"/>
          </w:tcPr>
          <w:p>
            <w:pPr>
              <w:jc w:val="right"/>
              <w:ind w:right="300"/>
              <w:spacing w:after="0"/>
              <w:rPr>
                <w:sz w:val="20"/>
                <w:szCs w:val="20"/>
                <w:color w:val="auto"/>
              </w:rPr>
            </w:pPr>
            <w:r>
              <w:rPr>
                <w:rFonts w:ascii="Arial" w:cs="Arial" w:eastAsia="Arial" w:hAnsi="Arial"/>
                <w:sz w:val="18"/>
                <w:szCs w:val="18"/>
                <w:color w:val="auto"/>
              </w:rPr>
              <w:t>6.1 – 6.3</w:t>
            </w:r>
          </w:p>
        </w:tc>
        <w:tc>
          <w:tcPr>
            <w:tcW w:w="1760" w:type="dxa"/>
            <w:vAlign w:val="bottom"/>
          </w:tcPr>
          <w:p>
            <w:pPr>
              <w:jc w:val="right"/>
              <w:ind w:right="94"/>
              <w:spacing w:after="0"/>
              <w:rPr>
                <w:sz w:val="20"/>
                <w:szCs w:val="20"/>
                <w:color w:val="auto"/>
              </w:rPr>
            </w:pPr>
            <w:r>
              <w:rPr>
                <w:rFonts w:ascii="Arial" w:cs="Arial" w:eastAsia="Arial" w:hAnsi="Arial"/>
                <w:sz w:val="18"/>
                <w:szCs w:val="18"/>
                <w:color w:val="auto"/>
              </w:rPr>
              <w:t>6.1 – 6.3</w:t>
            </w:r>
          </w:p>
        </w:tc>
      </w:tr>
      <w:tr>
        <w:trPr>
          <w:trHeight w:val="918"/>
        </w:trPr>
        <w:tc>
          <w:tcPr>
            <w:tcW w:w="3920" w:type="dxa"/>
            <w:vAlign w:val="bottom"/>
          </w:tcPr>
          <w:p>
            <w:pPr>
              <w:spacing w:after="0"/>
              <w:rPr>
                <w:sz w:val="24"/>
                <w:szCs w:val="24"/>
                <w:color w:val="auto"/>
              </w:rPr>
            </w:pPr>
          </w:p>
        </w:tc>
        <w:tc>
          <w:tcPr>
            <w:tcW w:w="3740" w:type="dxa"/>
            <w:vAlign w:val="bottom"/>
          </w:tcPr>
          <w:p>
            <w:pPr>
              <w:jc w:val="right"/>
              <w:ind w:right="177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activity for service-based stock options for the indicated periods: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restart"/>
          </w:tcPr>
          <w:p>
            <w:pPr>
              <w:jc w:val="center"/>
              <w:ind w:left="375"/>
              <w:spacing w:after="0"/>
              <w:rPr>
                <w:sz w:val="20"/>
                <w:szCs w:val="20"/>
                <w:color w:val="auto"/>
              </w:rPr>
            </w:pPr>
            <w:r>
              <w:rPr>
                <w:rFonts w:ascii="Arial" w:cs="Arial" w:eastAsia="Arial" w:hAnsi="Arial"/>
                <w:sz w:val="14"/>
                <w:szCs w:val="14"/>
                <w:b w:val="1"/>
                <w:bCs w:val="1"/>
                <w:color w:val="auto"/>
                <w:w w:val="95"/>
              </w:rPr>
              <w:t>Weighted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ind w:left="208"/>
              <w:spacing w:after="0"/>
              <w:rPr>
                <w:sz w:val="20"/>
                <w:szCs w:val="20"/>
                <w:color w:val="auto"/>
              </w:rPr>
            </w:pPr>
            <w:r>
              <w:rPr>
                <w:rFonts w:ascii="Arial" w:cs="Arial" w:eastAsia="Arial" w:hAnsi="Arial"/>
                <w:sz w:val="14"/>
                <w:szCs w:val="14"/>
                <w:b w:val="1"/>
                <w:bCs w:val="1"/>
                <w:color w:val="auto"/>
                <w:w w:val="91"/>
              </w:rPr>
              <w:t>Weighted Average</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Service-Based Stock Options</w:t>
            </w:r>
          </w:p>
        </w:tc>
        <w:tc>
          <w:tcPr>
            <w:tcW w:w="120" w:type="dxa"/>
            <w:vAlign w:val="bottom"/>
            <w:vMerge w:val="restart"/>
          </w:tcPr>
          <w:p>
            <w:pPr>
              <w:spacing w:after="0"/>
              <w:rPr>
                <w:sz w:val="12"/>
                <w:szCs w:val="12"/>
                <w:color w:val="auto"/>
              </w:rPr>
            </w:pPr>
          </w:p>
        </w:tc>
        <w:tc>
          <w:tcPr>
            <w:tcW w:w="174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Options</w:t>
            </w:r>
          </w:p>
        </w:tc>
        <w:tc>
          <w:tcPr>
            <w:tcW w:w="100" w:type="dxa"/>
            <w:vAlign w:val="bottom"/>
            <w:vMerge w:val="restart"/>
          </w:tcPr>
          <w:p>
            <w:pPr>
              <w:spacing w:after="0"/>
              <w:rPr>
                <w:sz w:val="12"/>
                <w:szCs w:val="12"/>
                <w:color w:val="auto"/>
              </w:rPr>
            </w:pPr>
          </w:p>
        </w:tc>
        <w:tc>
          <w:tcPr>
            <w:tcW w:w="1140" w:type="dxa"/>
            <w:vAlign w:val="bottom"/>
          </w:tcPr>
          <w:p>
            <w:pPr>
              <w:jc w:val="center"/>
              <w:ind w:left="355"/>
              <w:spacing w:after="0" w:line="149" w:lineRule="exact"/>
              <w:rPr>
                <w:sz w:val="20"/>
                <w:szCs w:val="20"/>
                <w:color w:val="auto"/>
              </w:rPr>
            </w:pPr>
            <w:r>
              <w:rPr>
                <w:rFonts w:ascii="Arial" w:cs="Arial" w:eastAsia="Arial" w:hAnsi="Arial"/>
                <w:sz w:val="14"/>
                <w:szCs w:val="14"/>
                <w:b w:val="1"/>
                <w:bCs w:val="1"/>
                <w:color w:val="auto"/>
                <w:w w:val="90"/>
              </w:rPr>
              <w:t>Average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auto"/>
                <w:w w:val="92"/>
              </w:rPr>
              <w:t>(Years)</w:t>
            </w: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3,355,692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5"/>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ind w:right="32"/>
              <w:spacing w:after="0"/>
              <w:rPr>
                <w:sz w:val="20"/>
                <w:szCs w:val="20"/>
                <w:color w:val="auto"/>
              </w:rPr>
            </w:pPr>
            <w:r>
              <w:rPr>
                <w:rFonts w:ascii="Arial" w:cs="Arial" w:eastAsia="Arial" w:hAnsi="Arial"/>
                <w:sz w:val="18"/>
                <w:szCs w:val="18"/>
                <w:color w:val="auto"/>
              </w:rPr>
              <w:t>892,390</w:t>
            </w:r>
          </w:p>
        </w:tc>
        <w:tc>
          <w:tcPr>
            <w:tcW w:w="100" w:type="dxa"/>
            <w:vAlign w:val="bottom"/>
          </w:tcPr>
          <w:p>
            <w:pPr>
              <w:spacing w:after="0"/>
              <w:rPr>
                <w:sz w:val="21"/>
                <w:szCs w:val="21"/>
                <w:color w:val="auto"/>
              </w:rPr>
            </w:pPr>
          </w:p>
        </w:tc>
        <w:tc>
          <w:tcPr>
            <w:tcW w:w="1140" w:type="dxa"/>
            <w:vAlign w:val="bottom"/>
          </w:tcPr>
          <w:p>
            <w:pPr>
              <w:jc w:val="right"/>
              <w:ind w:right="935"/>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w w:val="91"/>
              </w:rPr>
              <w:t>2.83</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5"/>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Expired</w:t>
            </w:r>
          </w:p>
        </w:tc>
        <w:tc>
          <w:tcPr>
            <w:tcW w:w="1740" w:type="dxa"/>
            <w:vAlign w:val="bottom"/>
          </w:tcPr>
          <w:p>
            <w:pPr>
              <w:jc w:val="right"/>
              <w:ind w:right="32"/>
              <w:spacing w:after="0"/>
              <w:rPr>
                <w:sz w:val="20"/>
                <w:szCs w:val="20"/>
                <w:color w:val="auto"/>
              </w:rPr>
            </w:pPr>
            <w:r>
              <w:rPr>
                <w:rFonts w:ascii="Arial" w:cs="Arial" w:eastAsia="Arial" w:hAnsi="Arial"/>
                <w:sz w:val="18"/>
                <w:szCs w:val="18"/>
                <w:color w:val="auto"/>
              </w:rPr>
              <w:t>5,274</w:t>
            </w:r>
          </w:p>
        </w:tc>
        <w:tc>
          <w:tcPr>
            <w:tcW w:w="100" w:type="dxa"/>
            <w:vAlign w:val="bottom"/>
          </w:tcPr>
          <w:p>
            <w:pPr>
              <w:spacing w:after="0"/>
              <w:rPr>
                <w:sz w:val="21"/>
                <w:szCs w:val="21"/>
                <w:color w:val="auto"/>
              </w:rPr>
            </w:pPr>
          </w:p>
        </w:tc>
        <w:tc>
          <w:tcPr>
            <w:tcW w:w="1140" w:type="dxa"/>
            <w:vAlign w:val="bottom"/>
          </w:tcPr>
          <w:p>
            <w:pPr>
              <w:jc w:val="right"/>
              <w:ind w:right="935"/>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w w:val="91"/>
              </w:rPr>
              <w:t>3.03</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75,828</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35"/>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3.46</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Outstanding at March 31, 2017</w:t>
            </w:r>
          </w:p>
        </w:tc>
        <w:tc>
          <w:tcPr>
            <w:tcW w:w="1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4,166,590</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935"/>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1"/>
              </w:rPr>
              <w:t>4.29</w:t>
            </w:r>
          </w:p>
        </w:tc>
        <w:tc>
          <w:tcPr>
            <w:tcW w:w="100" w:type="dxa"/>
            <w:vAlign w:val="bottom"/>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8.3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67"/>
        </w:trPr>
        <w:tc>
          <w:tcPr>
            <w:tcW w:w="43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4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Exercisable at March 31, 2017</w:t>
            </w:r>
          </w:p>
        </w:tc>
        <w:tc>
          <w:tcPr>
            <w:tcW w:w="1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1,548,762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5"/>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As of March 31, 2017 there was approximately $3.5 million of total unrecognized compensation cost related to non-vested service-based stock options granted under the Option Plan. That cost is expected to be recognized over a weighted-average period of 3.2 years.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total fair value of options vested during the three months ended March 31, 2017 and 2016 was $0.5 million and $0.5 million,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Employees are able to purchase stock under the Vericel Corporation Employee Stock Purchase Plan (ESPP), which was implemented effective October 1, 2015. Participation in this plan is available to substantially all employees. Compensation expense is recorded based on the fair market value of the purchase options at the grant date, which corresponds to the first day of each purchase period and is amortized over the purchase period. On April 3, 2017, employees purchased 43,141 shares resulting in proceeds from the sale of common stock of $0.1 million under the ESPP. The total share-based compensation expense for the ESPP for the three months ended March 31, 2017 was less than $0.1 million.</w:t>
      </w:r>
    </w:p>
    <w:p>
      <w:pPr>
        <w:spacing w:after="0" w:line="169"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Company’s fair value measurements are classified and disclosed in one of the following three categories:</w:t>
      </w:r>
    </w:p>
    <w:p>
      <w:pPr>
        <w:spacing w:after="0" w:line="225"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Level 1: Unadjusted quoted prices in active markets that are accessible at the measurement date for identical, unrestricted assets or liabilities;</w:t>
      </w:r>
    </w:p>
    <w:p>
      <w:pPr>
        <w:spacing w:after="0" w:line="46" w:lineRule="exact"/>
        <w:rPr>
          <w:rFonts w:ascii="Arial" w:cs="Arial" w:eastAsia="Arial" w:hAnsi="Arial"/>
          <w:sz w:val="16"/>
          <w:szCs w:val="16"/>
          <w:color w:val="auto"/>
        </w:rPr>
      </w:pPr>
    </w:p>
    <w:p>
      <w:pPr>
        <w:ind w:left="980" w:hanging="324"/>
        <w:spacing w:after="0" w:line="250"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 and</w:t>
      </w:r>
    </w:p>
    <w:p>
      <w:pPr>
        <w:ind w:left="980" w:hanging="324"/>
        <w:spacing w:after="0" w:line="261"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the valuation of the Company’s investments and financial instruments that are measured at fair value on a recurring basis: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9" w:lineRule="exact"/>
        <w:rPr>
          <w:sz w:val="20"/>
          <w:szCs w:val="20"/>
          <w:color w:val="auto"/>
        </w:rPr>
      </w:pPr>
    </w:p>
    <w:p>
      <w:pPr>
        <w:ind w:left="4200"/>
        <w:spacing w:after="0"/>
        <w:rPr>
          <w:sz w:val="20"/>
          <w:szCs w:val="20"/>
          <w:color w:val="auto"/>
        </w:rPr>
      </w:pPr>
      <w:r>
        <w:rPr>
          <w:rFonts w:ascii="Arial" w:cs="Arial" w:eastAsia="Arial" w:hAnsi="Arial"/>
          <w:sz w:val="14"/>
          <w:szCs w:val="14"/>
          <w:b w:val="1"/>
          <w:bCs w:val="1"/>
          <w:color w:val="auto"/>
        </w:rPr>
        <w:t>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23495</wp:posOffset>
            </wp:positionV>
            <wp:extent cx="28301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03" w:lineRule="exact"/>
        <w:rPr>
          <w:sz w:val="20"/>
          <w:szCs w:val="20"/>
          <w:color w:val="auto"/>
        </w:rPr>
      </w:pPr>
    </w:p>
    <w:p>
      <w:pPr>
        <w:ind w:left="4220"/>
        <w:spacing w:after="0"/>
        <w:rPr>
          <w:sz w:val="20"/>
          <w:szCs w:val="20"/>
          <w:color w:val="auto"/>
        </w:rPr>
      </w:pPr>
      <w:r>
        <w:rPr>
          <w:rFonts w:ascii="Arial" w:cs="Arial" w:eastAsia="Arial" w:hAnsi="Arial"/>
          <w:sz w:val="12"/>
          <w:szCs w:val="12"/>
          <w:b w:val="1"/>
          <w:bCs w:val="1"/>
          <w:color w:val="auto"/>
        </w:rPr>
        <w:t>Fair value measurement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38100</wp:posOffset>
            </wp:positionV>
            <wp:extent cx="20923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-1047115</wp:posOffset>
            </wp:positionH>
            <wp:positionV relativeFrom="paragraph">
              <wp:posOffset>23495</wp:posOffset>
            </wp:positionV>
            <wp:extent cx="28130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Fair value measurement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38100</wp:posOffset>
            </wp:positionV>
            <wp:extent cx="20923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46" w:lineRule="exact"/>
        <w:rPr>
          <w:sz w:val="20"/>
          <w:szCs w:val="20"/>
          <w:color w:val="auto"/>
        </w:rPr>
      </w:pPr>
    </w:p>
    <w:p>
      <w:pPr>
        <w:sectPr>
          <w:pgSz w:w="11900" w:h="16838" w:orient="portrait"/>
          <w:cols w:equalWidth="0" w:num="2">
            <w:col w:w="7920" w:space="720"/>
            <w:col w:w="27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Warrant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9"/>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ind w:left="520"/>
              <w:spacing w:after="0"/>
              <w:rPr>
                <w:sz w:val="20"/>
                <w:szCs w:val="20"/>
                <w:color w:val="auto"/>
              </w:rPr>
            </w:pPr>
            <w:r>
              <w:rPr>
                <w:rFonts w:ascii="Arial" w:cs="Arial" w:eastAsia="Arial" w:hAnsi="Arial"/>
                <w:sz w:val="18"/>
                <w:szCs w:val="18"/>
                <w:color w:val="auto"/>
              </w:rPr>
              <w:t>—   $</w:t>
            </w:r>
          </w:p>
        </w:tc>
        <w:tc>
          <w:tcPr>
            <w:tcW w:w="820" w:type="dxa"/>
            <w:vAlign w:val="bottom"/>
          </w:tcPr>
          <w:p>
            <w:pPr>
              <w:jc w:val="right"/>
              <w:ind w:right="19"/>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21"/>
                <w:szCs w:val="21"/>
                <w:color w:val="auto"/>
              </w:rPr>
            </w:pPr>
          </w:p>
        </w:tc>
        <w:tc>
          <w:tcPr>
            <w:tcW w:w="740" w:type="dxa"/>
            <w:vAlign w:val="bottom"/>
          </w:tcPr>
          <w:p>
            <w:pPr>
              <w:jc w:val="right"/>
              <w:ind w:right="539"/>
              <w:spacing w:after="0"/>
              <w:rPr>
                <w:sz w:val="20"/>
                <w:szCs w:val="20"/>
                <w:color w:val="auto"/>
              </w:rPr>
            </w:pPr>
            <w:r>
              <w:rPr>
                <w:rFonts w:ascii="Arial" w:cs="Arial" w:eastAsia="Arial" w:hAnsi="Arial"/>
                <w:sz w:val="18"/>
                <w:szCs w:val="18"/>
                <w:color w:val="auto"/>
                <w:w w:val="99"/>
              </w:rPr>
              <w:t>$</w:t>
            </w:r>
          </w:p>
        </w:tc>
        <w:tc>
          <w:tcPr>
            <w:tcW w:w="620" w:type="dxa"/>
            <w:vAlign w:val="bottom"/>
            <w:gridSpan w:val="3"/>
          </w:tcPr>
          <w:p>
            <w:pPr>
              <w:spacing w:after="0"/>
              <w:rPr>
                <w:sz w:val="20"/>
                <w:szCs w:val="20"/>
                <w:color w:val="auto"/>
              </w:rPr>
            </w:pPr>
            <w:r>
              <w:rPr>
                <w:rFonts w:ascii="Arial" w:cs="Arial" w:eastAsia="Arial" w:hAnsi="Arial"/>
                <w:sz w:val="18"/>
                <w:szCs w:val="18"/>
                <w:color w:val="auto"/>
              </w:rPr>
              <w:t>—   $</w:t>
            </w:r>
          </w:p>
        </w:tc>
        <w:tc>
          <w:tcPr>
            <w:tcW w:w="800" w:type="dxa"/>
            <w:vAlign w:val="bottom"/>
          </w:tcPr>
          <w:p>
            <w:pPr>
              <w:jc w:val="right"/>
              <w:ind w:right="39"/>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3"/>
          </w:tcPr>
          <w:p>
            <w:pPr>
              <w:ind w:left="540"/>
              <w:spacing w:after="0"/>
              <w:rPr>
                <w:sz w:val="20"/>
                <w:szCs w:val="20"/>
                <w:color w:val="auto"/>
              </w:rPr>
            </w:pPr>
            <w:r>
              <w:rPr>
                <w:rFonts w:ascii="Arial" w:cs="Arial" w:eastAsia="Arial" w:hAnsi="Arial"/>
                <w:sz w:val="18"/>
                <w:szCs w:val="18"/>
                <w:color w:val="auto"/>
              </w:rPr>
              <w:t>—   $</w:t>
            </w:r>
          </w:p>
        </w:tc>
        <w:tc>
          <w:tcPr>
            <w:tcW w:w="820" w:type="dxa"/>
            <w:vAlign w:val="bottom"/>
          </w:tcPr>
          <w:p>
            <w:pPr>
              <w:jc w:val="right"/>
              <w:ind w:right="19"/>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change in the estimated fair value of the Company’s warrant liabilities: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Warrant Liabilities (In thousands)</w:t>
            </w:r>
          </w:p>
        </w:tc>
        <w:tc>
          <w:tcPr>
            <w:tcW w:w="5880" w:type="dxa"/>
            <w:vAlign w:val="bottom"/>
            <w:tcBorders>
              <w:bottom w:val="single" w:sz="8" w:color="auto"/>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652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Decrease in fair value</w:t>
            </w:r>
          </w:p>
        </w:tc>
        <w:tc>
          <w:tcPr>
            <w:tcW w:w="58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58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2017</w:t>
            </w:r>
          </w:p>
        </w:tc>
        <w:tc>
          <w:tcPr>
            <w:tcW w:w="652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5880" w:type="dxa"/>
            <w:vAlign w:val="bottom"/>
            <w:tcBorders>
              <w:top w:val="single" w:sz="8" w:color="CCEEFF"/>
              <w:bottom w:val="single" w:sz="8" w:color="CCEEFF"/>
            </w:tcBorders>
            <w:vMerge w:val="restart"/>
          </w:tcPr>
          <w:p>
            <w:pPr>
              <w:jc w:val="right"/>
              <w:ind w:right="3930"/>
              <w:spacing w:after="0"/>
              <w:rPr>
                <w:sz w:val="20"/>
                <w:szCs w:val="20"/>
                <w:color w:val="auto"/>
              </w:rPr>
            </w:pPr>
            <w:r>
              <w:rPr>
                <w:rFonts w:ascii="Arial" w:cs="Arial" w:eastAsia="Arial" w:hAnsi="Arial"/>
                <w:sz w:val="18"/>
                <w:szCs w:val="18"/>
                <w:color w:val="auto"/>
              </w:rPr>
              <w:t>11</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94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Shareholders' Equity</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At-the-Market Sales Agreement</w:t>
      </w: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On October 10, 2016, we entered into our at-the-market sales agreement with Cowen (ATM Agreement), pursuant to which we may sell shares of our common stock through Cowen and Company, LLC (Cowen), as sales agent, in registered transactions from our shelf registration statement filed in June 2015, for aggregate proceeds of up to $25.0 million. Shares of common stock sold under the ATM are to be sold at market prices. We will pay up to 3% of the gross proceeds to Cowen as a commission. 357,856shares of common stock have been sold to date under the ATM Agreement for net proceeds of $0.8 million and as of March 31, 2017 had remaining capacity of approximately $24.2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Preferred Stock</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Series B Convertible Preferred Stock</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February 10, 2017, the Company sent notice to Eastern Capital Limited (Eastern), an existing holder of shares of the Company’s Series B-1 Non-Voting Convertible Preferred Stock or Series B-2 Voting Convertible Preferred Stock (Preferred Stock), informing Eastern of the Company's election to convert all 12,308 of the outstanding shares of Preferred Stock held by Eastern, plus 9,570 shares of Preferred Stock in accumulated but undeclared dividends thereon, into 1,093,892 shares of the Company's common stock pursuant to the terms of the Amended and Restated Certificate of Designations, Preferences and Rights of Series B-1 Non-Voting Preferred Stock and Series B-2 Voting Preferred Stock of the Company (Mandatory Conversion). After the Mandatory Conversion on March 9, 2017, no shares of Preferred Stock of the Company remain outstanding as of March 31, 2017.</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12.Net Loss Per Common Share</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Basic earnings (loss) per share is calculated using the two-class method, which is an earnings allocation formula that determines earnings (loss) per share for the holders of the Company’s common shares and holders of the Series B preferred stock. The Series B preferred stock shares contain participation rights in undistributed earnings, but do not share in the losses of the Company. The dividends on the Series B preferred stock were treated as a reduction of earnings attributable to common shareholders.</w:t>
      </w:r>
    </w:p>
    <w:p>
      <w:pPr>
        <w:spacing w:after="0" w:line="187"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following reflects the net loss attributable to common shareholders and share data used in the basic and diluted earnings per share computations using the two class method: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4"/>
                <w:szCs w:val="14"/>
                <w:b w:val="1"/>
                <w:bCs w:val="1"/>
                <w:color w:val="auto"/>
                <w:w w:val="97"/>
              </w:rPr>
              <w:t>Three months ended March 31,</w:t>
            </w:r>
          </w:p>
        </w:tc>
      </w:tr>
      <w:tr>
        <w:trPr>
          <w:trHeight w:val="26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 except per share amounts)</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(9,778)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(3,650)</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Dividends accumulated on convertible preferred stock</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(1,804)</w:t>
            </w:r>
          </w:p>
        </w:tc>
      </w:tr>
      <w:tr>
        <w:trPr>
          <w:trHeight w:val="237"/>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Net loss attributable to common shareholders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(9,778)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(5,454)</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Denominator for basic and diluted EPS: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31,896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22,604</w:t>
            </w:r>
          </w:p>
        </w:tc>
      </w:tr>
      <w:tr>
        <w:trPr>
          <w:trHeight w:val="264"/>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Net loss per share attributable to common shareholders (basic and diluted)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Common equivalent shares are not included in the diluted per share calculation where the effect of their inclusion would be anti-dilutive. The aggregate number of common equivalent shares (related to options, warrants and preferred stock) that have been excluded from the computations of diluted net loss per common share at March 31, 2017 and 2016 were 5.0 million and 6.2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The Company leases facilities in Ann Arbor, Michigan and Cambridge, Massachusetts. In March 2016, the Company amended its current lease in Cambridge to, among other provisions, extend the terms until February 2022. Under the amendment, the landlord will contribute approximately $2.0 million toward the cost of tenant improvements. The </w:t>
      </w:r>
      <w:r>
        <w:rPr>
          <w:rFonts w:ascii="Arial" w:cs="Arial" w:eastAsia="Arial" w:hAnsi="Arial"/>
          <w:sz w:val="18"/>
          <w:szCs w:val="18"/>
          <w:color w:val="222222"/>
        </w:rPr>
        <w:t>contribution toward the cost of tenant improvements is recorded as deferred rent on the Company's consolidated</w:t>
      </w:r>
      <w:r>
        <w:rPr>
          <w:rFonts w:ascii="Arial" w:cs="Arial" w:eastAsia="Arial" w:hAnsi="Arial"/>
          <w:sz w:val="18"/>
          <w:szCs w:val="18"/>
          <w:color w:val="auto"/>
        </w:rPr>
        <w:t xml:space="preserve"> </w:t>
      </w:r>
      <w:r>
        <w:rPr>
          <w:rFonts w:ascii="Arial" w:cs="Arial" w:eastAsia="Arial" w:hAnsi="Arial"/>
          <w:sz w:val="18"/>
          <w:szCs w:val="18"/>
          <w:color w:val="222222"/>
        </w:rPr>
        <w:t>balance sheet and is amortized to our consolidated statement of operations as reductions to rent expense over the lease term. As of March 31, 2017, the Company has recorded a tenant improvement of $0.9 million.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addition to the property leases, the Company also leases an offsite warehouse, various vehicles and computer equipment. The Company's purchase commitments consists of minimum purchase amounts of material in manufacturing in addition to fees payable under the DLSS contract which provides a patient support services program for Carticel and MACI.</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March 31, 2017, future minimum payments related to leases and other contractual obligations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7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More than 5</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22,766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Purchase commitments</w:t>
            </w:r>
          </w:p>
        </w:tc>
        <w:tc>
          <w:tcPr>
            <w:tcW w:w="22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7,170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1,668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2,268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5,679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7,000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5,791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5,023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5,146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Rent expense for the three months ended March 31, 2017 and 2016 was $1.3 million and $1.2 million,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29" w:lineRule="exact"/>
        <w:rPr>
          <w:sz w:val="20"/>
          <w:szCs w:val="20"/>
          <w:color w:val="auto"/>
        </w:rPr>
      </w:pPr>
    </w:p>
    <w:p>
      <w:pPr>
        <w:jc w:val="both"/>
        <w:ind w:firstLine="230"/>
        <w:spacing w:after="0" w:line="268" w:lineRule="auto"/>
        <w:rPr>
          <w:sz w:val="20"/>
          <w:szCs w:val="20"/>
          <w:color w:val="auto"/>
        </w:rPr>
      </w:pPr>
      <w:r>
        <w:rPr>
          <w:rFonts w:ascii="Arial" w:cs="Arial" w:eastAsia="Arial" w:hAnsi="Arial"/>
          <w:sz w:val="17"/>
          <w:szCs w:val="17"/>
          <w:color w:val="auto"/>
        </w:rPr>
        <w:t xml:space="preserve">On May 10, 2017, </w:t>
      </w:r>
      <w:r>
        <w:rPr>
          <w:rFonts w:ascii="Arial" w:cs="Arial" w:eastAsia="Arial" w:hAnsi="Arial"/>
          <w:sz w:val="17"/>
          <w:szCs w:val="17"/>
          <w:color w:val="333333"/>
        </w:rPr>
        <w:t>the Company announced that it has entered into a License Agreement (License Agreement) with Innovative Cellular Therapeutics Co.</w:t>
      </w:r>
      <w:r>
        <w:rPr>
          <w:rFonts w:ascii="Arial" w:cs="Arial" w:eastAsia="Arial" w:hAnsi="Arial"/>
          <w:sz w:val="17"/>
          <w:szCs w:val="17"/>
          <w:color w:val="auto"/>
        </w:rPr>
        <w:t xml:space="preserve"> </w:t>
      </w:r>
      <w:r>
        <w:rPr>
          <w:rFonts w:ascii="Arial" w:cs="Arial" w:eastAsia="Arial" w:hAnsi="Arial"/>
          <w:sz w:val="17"/>
          <w:szCs w:val="17"/>
          <w:color w:val="333333"/>
        </w:rPr>
        <w:t>Ltd, (ICT), a leading cell therapy company and developer of CAR-T cell therapy for cancer treatment, for the development and distribution of the Vericel product portfolio in Greater China, South Korea, Singapore, and other countries in Asia. ICT will acquire an exclusive license to certain patent rights, know-how and intellectual property relating to Carticel, MACI, Ixmyelocel-T, and Epicel as well as enter into a warrant purchase agreement. As part of the license and warrant purchase agreements, the Company will receive an upfront payment of $6.0 million, less any applicable taxes, within 60 days of the effective date of the License Agreement. The initiation of the technology transfer, the license grants in the License Agreement and the warrant purchase are contingent upon Vericel’s receipt of the upfront payment. Vericel is eligible to receive approximately $8.0 million in development and commercial milestones. ICT has also agreed to pay tiered royalties to Vericel equal to a percentage of net sales of each Licensed Product in the low double digits for the commercial life of the applicable Licensed Product. ICT will be responsible for funding the development of the programs and manufacturing of the products for commercialization in China and the rest of the territory. As partial consideration for an amount included in the upfront payment Vericel will issue to ICT a warrant, exercisable for the number of shares of Vericel’s Common Stock equal to $5.0 million less the withholding tax payable thereon divided by $2.55, with a strike price of $0.01 per share. The funding transfer is subject to approval by the State Administration of Foreign Exchange of the People's Republic of China and is expected to be effectuated in the third quarter of 2017.</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243"/>
        <w:spacing w:after="0" w:line="249" w:lineRule="auto"/>
        <w:rPr>
          <w:sz w:val="20"/>
          <w:szCs w:val="20"/>
          <w:color w:val="auto"/>
        </w:rPr>
      </w:pPr>
      <w:r>
        <w:rPr>
          <w:rFonts w:ascii="Arial" w:cs="Arial" w:eastAsia="Arial" w:hAnsi="Arial"/>
          <w:sz w:val="17"/>
          <w:szCs w:val="17"/>
          <w:color w:val="auto"/>
        </w:rPr>
        <w:t>Vericel Corporation is a leading developer of patient-specific expanded cell therapies for use in the treatment of patients with severe diseases and conditions. We currently have three U.S. Food and Drug Administration (FDA) approved autologous cell therapy products in the United States. Carticel® (autologous cultured chondrocytes), is an autologous chondrocyte implant indicated for the repair of symptomatic cartilage defects of the femoral condyle (medial, lateral or trochlea), caused by acute or repetitive trauma, in patients who have had an inadequate response to a prior arthroscopic or other surgical repair procedure (e.g., debridement, microfracture, drilling/abrasion arthroplasty, or osteochondral allograft/autograft. Carticel will eventually be replaced by MACI</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(autologous cultured chondrocytes on porcine collagen membrane), an autologous cellularized scaffold product indicated for the repair of symptomatic, single or multiple full-thickness cartilage defects of the knee with or without bone involvement in adults approved by the FDA on December 13, 2016. The first shipment and implantation of MACI occurred on January 31, 2017. We also market Epicel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(cultured epidermal autografts), a permanent skin replacement Humanitarian Use Device (HUD) for the treatment of patients with deep-dermal or full-thickness burns comprising greater than or equal to 30 percent of total body surface area (TBSA). Our development stage portfolio includes ixmyelocel-T, a patient-specific multicellular therapy for the treatment of advanced heart failure due to ischemic dilated cardiomyopathy (DCM).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have a cell-manufacturing facility in Cambridge, Massachusetts which is used for U.S. manufacturing and distribution of Carticel, Epicel manufacturing and also manufactured MACI for the SUMMIT study conducted for approval in Europe and the U.S. Throughout 2016, we also operated a centralized cell manufacturing facility in Ann Arbor, Michigan. The Ann Arbor facility continues to support the current open label extension portion of the ixCELL-DCM clinical trial being conducted in the United States and Canada and we believe we have sufficient capacity, with minor modifications, to supply our early commercialization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Portfolio</w:t>
      </w:r>
    </w:p>
    <w:p>
      <w:pPr>
        <w:spacing w:after="0" w:line="22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Our approved and marketed products include three approved autologous cell therapy products: Carticel (autologous cultured chondrocytes), a first-generation product for autologous chondrocyte implantation (ACI) currently marketed in the U.S., which will be replaced by MACI (autologous cultured chondrocytes on a porcine collagen membrane), a third generation autologous implant for the repair of symptomatic, full-thickness cartilage defects of the knee in adult patients and Epicel (cultured epidermal autografts), a permanent skin replacement for full thickness burns in adults and pediatrics with greater than or equal to 30% of total body surface area (TBSA) also currently marketed in the U.S. Our product candidate portfolio also includes ixmyelocel-T, a patient-specific multicellular therapy currently in development for the treatment of advanced heart failure due to ischemic dilated cardiomyopathy (DCM). We completed enrolling and treating patients in our Phase 2b ixCELL-DCM study in February 2015 and on March 10, 2016 announced the trial had met its primary endpoint of reduction in clinical cardiac events and that incidence of adverse events, including serious adverse events, in patients treated with ixmyelocel-T was comparable to patients in the placebo group.</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Carticel and MACI</w:t>
      </w:r>
    </w:p>
    <w:p>
      <w:pPr>
        <w:spacing w:after="0" w:line="229"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Carticel, a first-generation ACI product for the treatment and repair of cartilage defects in the knee, is the first FDA-approved autologous cartilage repair product. Carticel is indicated for the repair of symptomatic cartilage defects of the femoral condyle (medial, lateral or trochlea) caused by acute or repetitive trauma, in patients who have had an inadequate response to a prior arthroscopic or other surgical repair procedure such as debridement, microfracture, drilling/abrasion arthroplasty, or osteochondral allograft/autograft. Carticel received a Biologics License Application (BLA) approval in 1997 and is currently marketed in the U.S. It is generally used on patients with larger lesions (greater than 3 cm</w:t>
      </w:r>
      <w:r>
        <w:rPr>
          <w:rFonts w:ascii="Arial" w:cs="Arial" w:eastAsia="Arial" w:hAnsi="Arial"/>
          <w:sz w:val="11"/>
          <w:szCs w:val="11"/>
          <w:color w:val="auto"/>
        </w:rPr>
        <w:t>2</w:t>
      </w:r>
      <w:r>
        <w:rPr>
          <w:rFonts w:ascii="Arial" w:cs="Arial" w:eastAsia="Arial" w:hAnsi="Arial"/>
          <w:sz w:val="16"/>
          <w:szCs w:val="16"/>
          <w:color w:val="auto"/>
        </w:rPr>
        <w:t>). Carticel will be replaced by MACI, which was approved on December 13, 2016 by the U.S. Food and Drug Administration. MACI is a third generation autologous implant for the repair of symptomatic, single or multiple full-thickness cartilage defects of the knee with or without bone involvement in adults. The first shipment and implantation of MACI occurred on January 31, 2017 and we plan to stop manufacturing and marketing Carticel as soon as practicable, and potentially as early as the second quarter in 2017.</w:t>
      </w:r>
    </w:p>
    <w:p>
      <w:pPr>
        <w:spacing w:after="0" w:line="16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the U.S., the orthopedic physician target audience is very concentrated, with 60% of our 2016 Carticel business originating from approximately 110 physicians. Our target Carticel and MACI audience is a group of physicians who self-identify as or have the formal specialty of sports medicine physicians. We believe this target audience is approximately 450 physicians. At the end of 2016 we expanded our field force from 21 to 28 representatives. Most private payers have a medical policy that allows treatment with Carticel and we are actively working with payers to ensure reimbursement for MACI. The 15 largest payers have a formal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medical policy for Carticel, representing approximately 132 million covered lives. In the quarter ended March 31, 2017, net revenues were $5.0 million for Carticel and MACI.</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Epicel</w:t>
      </w:r>
    </w:p>
    <w:p>
      <w:pPr>
        <w:spacing w:after="0" w:line="22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Epicel (cultured epidermal autografts) is a permanent skin replacement for full thickness burns greater than or equal to 30% of TBSA. Epicel is regulated by the CBER under medical device authorities, and is the only FDA-approved autologous epidermal product available for large total surface area burns. Epicel was designated as a HUD in 1998 and an HDE application for the product was submitted in 1999. HUDs are devices that are intended for diseases or conditions that affect fewer than 4,000 individuals annually in the United States. Under an HDE approval, a HUD cannot be sold for an amount that exceeds the cost of research and development, fabrication and distribution unless certain conditions are met. Currently, fewer than 100 patients are treated with Epicel in the U.S. each year. In the quarter ended March 31, 2017, net revenues were $4.4 million for Epicel.</w:t>
      </w:r>
    </w:p>
    <w:p>
      <w:pPr>
        <w:spacing w:after="0" w:line="17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 HUD is eligible to be sold for profit after receiving HDE approval if the device meets certain eligibility criteria, including where the device is intended for the treatment of a disease or condition that occurs in pediatric patients and such device is labeled for use in pediatric patients. If the FDA determines that a HUD meets the eligibility criteria, the HUD is permitted to be sold for profit as long as the number of devices distributed in any calendar year does not exceed the annual distribution number (ADN). The ADN is defined as the number of devices reasonably needed to treat a population of 4,000 individuals per year in the United States.</w:t>
      </w:r>
    </w:p>
    <w:p>
      <w:pPr>
        <w:spacing w:after="0" w:line="188"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On February 18, 2016, the FDA approved our HDE supplement to revise the labeled indications of use to specifically include pediatric patients and to add pediatric labeling. The revised product label also now specifies that the probable benefit of Epicel, mainly related to survival, was demonstrated in two Epicel clinical experience databases and a physician-sponsored study comparing outcomes in patients with massive burns treated with Epicel relative to standard care. Due to the change in the label to include use in pediatric patients, Epicel is no longer subject to the HDE profit restrictions. In conjunction with meeting the pediatric eligibility criteria, the FDA has determined the ADN number for Epicel is 360,400 which is approximately 50 times larger than the volume of grafts sold in 2016. We currently have a 4-person field force.</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Ixmyelocel-T</w:t>
      </w:r>
    </w:p>
    <w:p>
      <w:pPr>
        <w:spacing w:after="0" w:line="229"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Our preapproval stage portfolio includes ixmyelocel-T, a unique patient-specific multicellular therapy derived from an adult patient’s own bone marrow which utilizes our proprietary, highly automated and scalable manufacturing system. Our proprietary cell manufacturing process significantly expands the mesenchymal stromal cells, or MSCs and M2-like anti-inflammatory macrophages in the patient’s bone marrow mononuclear cells while retaining many of the hematopoietic cells. These cell types are known to regulate the immune response and play a key role in tissue repair and regeneration by resolving pathologic inflammation, promoting angiogenesis, and remodeling ischemic tissue. We believe the novelty and advantage of using ixmyelocel-T is the expansion of a unique combination of cell populations, including MSCs and M2-like macrophages, which secrete a distinct combination of angiogenic and regenerative factors, and possess the ability to remain anti-inflammatory in the face of inflammatory challenge.</w:t>
      </w:r>
    </w:p>
    <w:p>
      <w:pPr>
        <w:spacing w:after="0" w:line="178"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Our lead clinical development program for ixmyelocel-T is focused on addressing severe, chronic ischemic cardiovascular diseases. We are currently conducting the open label extension portion of the Phase 2b ixCELL-DCM study, which is a randomized, double-blind, placebo-controlled clinical trial for patients with advanced heart failure due to ischemic DCM. Ixmyelocel-T has been granted a U.S. Orphan Drug designation by the FDA for the treatment of DCM. An ixmyelocel-T investigator-initiated clinical study was conducted for the treatment of craniofacial reconstruction, and we have conducted clinical studies for the treatment of critical limb ischemia.</w:t>
      </w:r>
    </w:p>
    <w:p>
      <w:pPr>
        <w:spacing w:after="0" w:line="188" w:lineRule="exact"/>
        <w:rPr>
          <w:sz w:val="20"/>
          <w:szCs w:val="20"/>
          <w:color w:val="auto"/>
        </w:rPr>
      </w:pPr>
    </w:p>
    <w:p>
      <w:pPr>
        <w:jc w:val="both"/>
        <w:ind w:firstLine="230"/>
        <w:spacing w:after="0" w:line="293" w:lineRule="auto"/>
        <w:rPr>
          <w:sz w:val="20"/>
          <w:szCs w:val="20"/>
          <w:color w:val="auto"/>
        </w:rPr>
      </w:pPr>
      <w:r>
        <w:rPr>
          <w:rFonts w:ascii="Arial" w:cs="Arial" w:eastAsia="Arial" w:hAnsi="Arial"/>
          <w:sz w:val="16"/>
          <w:szCs w:val="16"/>
          <w:color w:val="auto"/>
        </w:rPr>
        <w:t>We completed enrolling and treating patients in our completed Phase 2b ixCELL-DCM study in February, 2015. Patients were followed for 12 months for the primary efficacy endpoint of MACE. On March 10, 2016, we announced the trial had met its primary endpoint of reduction in clinical cardiac events and that the incidence of adverse events, including serious adverse events, in patients treated with ixmyelocel-T was comparable to patients in the placebo group. Patients are now being followed for an additional 12 months for safety. Because the trial met the primary endpoint, patients who received placebo or were randomized to ixmyelocel-T in the double-blind portion of the trial but did not receive ixmyelocel-T have been offered the option to receive ixmyelocel-T. We successfully treated the last patients in February, 2017, and the last follow-up visit will occur approximately one year later.</w:t>
      </w:r>
    </w:p>
    <w:p>
      <w:pPr>
        <w:spacing w:after="0" w:line="16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Given the expense required to conduct further development and our focus on growing our existing commercial products and becoming profitable, at this time we have no current plans to initiate or fund a Phase 3 trial on our own. We are assessing all strategic options, including non-dilutive sources of financing, such as a strategic partner, to fund the trial. On February 16, 2017,</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investigation of ixmyelocel-T for reduction in the risk of death and cardiovascular hospitalization in patients with chronic advanced heart failure due to ischemic dilated cardiomyopathy was designated a Fast Track Program.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Our net loss for the three months ended March 31, 2017 totaled $9.8 million or $0.31 per share. Our net loss for the three months ended March 31, 2016 totaled $3.7 million or $0.24 per share.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2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 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9,361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14,108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product sales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7,109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6,560</w:t>
            </w: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2,252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7,548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11,875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9,540</w:t>
            </w: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Loss from operations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(9,623)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expense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(1,658)</w:t>
            </w:r>
          </w:p>
        </w:tc>
      </w:tr>
      <w:tr>
        <w:trPr>
          <w:trHeight w:val="25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(3,650)</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jc w:val="both"/>
        <w:ind w:firstLine="299"/>
        <w:spacing w:after="0" w:line="270" w:lineRule="auto"/>
        <w:rPr>
          <w:sz w:val="20"/>
          <w:szCs w:val="20"/>
          <w:color w:val="auto"/>
        </w:rPr>
      </w:pPr>
      <w:r>
        <w:rPr>
          <w:rFonts w:ascii="Arial" w:cs="Arial" w:eastAsia="Arial" w:hAnsi="Arial"/>
          <w:sz w:val="17"/>
          <w:szCs w:val="17"/>
          <w:color w:val="auto"/>
        </w:rPr>
        <w:t xml:space="preserve">Net revenues decreased for the three months ended March 31, 2017 compared to the same period the previous year primarily due to lower Carticel and MACI implants and lower average number of grafts per Epicel order resulting in lower sales in the current quarter. </w:t>
      </w:r>
      <w:r>
        <w:rPr>
          <w:rFonts w:ascii="Arial" w:cs="Arial" w:eastAsia="Arial" w:hAnsi="Arial"/>
          <w:sz w:val="17"/>
          <w:szCs w:val="17"/>
          <w:color w:val="222222"/>
        </w:rPr>
        <w:t>In April 2017, we received notification</w:t>
      </w:r>
      <w:r>
        <w:rPr>
          <w:rFonts w:ascii="Arial" w:cs="Arial" w:eastAsia="Arial" w:hAnsi="Arial"/>
          <w:sz w:val="17"/>
          <w:szCs w:val="17"/>
          <w:color w:val="auto"/>
        </w:rPr>
        <w:t xml:space="preserve"> </w:t>
      </w:r>
      <w:r>
        <w:rPr>
          <w:rFonts w:ascii="Arial" w:cs="Arial" w:eastAsia="Arial" w:hAnsi="Arial"/>
          <w:sz w:val="17"/>
          <w:szCs w:val="17"/>
          <w:color w:val="222222"/>
        </w:rPr>
        <w:t xml:space="preserve">from one of our services providers, Vital Care, Inc., of a contractual dispute between Vital Care, Inc. and the third-party payer related to certain of its insurance reimbursement claims associated with Carticel and MACI surgeries performed in 2016 and the first quarter of 2017. Vital Care, Inc. is attempting to resolve this matter with the payer, which may include appealing or resubmitting the claims. While we believe reimbursement will be obtained, the ultimate amount of reimbursement may be lower than initially estimated. During the </w:t>
      </w:r>
      <w:r>
        <w:rPr>
          <w:rFonts w:ascii="Arial" w:cs="Arial" w:eastAsia="Arial" w:hAnsi="Arial"/>
          <w:sz w:val="17"/>
          <w:szCs w:val="17"/>
          <w:color w:val="000000"/>
        </w:rPr>
        <w:t>three months ended March 31, 2017</w:t>
      </w:r>
      <w:r>
        <w:rPr>
          <w:rFonts w:ascii="Arial" w:cs="Arial" w:eastAsia="Arial" w:hAnsi="Arial"/>
          <w:sz w:val="17"/>
          <w:szCs w:val="17"/>
          <w:color w:val="222222"/>
        </w:rPr>
        <w:t>, we recorded a change in estimate for revenue reserves of $2.1 million related to 2016 sales and $0.7 million related to 2017 sales to reflect the lower reimbursement that would be obtained if the claims are ultimately required to be treated as out-of-network. In addition, the contractual dispute could impact amounts previously collected and certain amounts may need to be repaid while the matter is being resolved; therefore our liquidity may be negatively impacted. As a result of the continuing evaluation and assessment of these expected payments, our estimates for expected payments could change.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Revenue by product (in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Carticel and MACI</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5,007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8,811</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Epicel</w:t>
            </w:r>
          </w:p>
        </w:tc>
        <w:tc>
          <w:tcPr>
            <w:tcW w:w="34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4,354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5,297</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9,361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14,108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78"/>
        <w:spacing w:after="0" w:line="287" w:lineRule="auto"/>
        <w:rPr>
          <w:sz w:val="20"/>
          <w:szCs w:val="20"/>
          <w:color w:val="auto"/>
        </w:rPr>
      </w:pPr>
      <w:r>
        <w:rPr>
          <w:rFonts w:ascii="Arial" w:cs="Arial" w:eastAsia="Arial" w:hAnsi="Arial"/>
          <w:sz w:val="16"/>
          <w:szCs w:val="16"/>
          <w:i w:val="1"/>
          <w:iCs w:val="1"/>
          <w:color w:val="auto"/>
        </w:rPr>
        <w:t xml:space="preserve">Seasonality. </w:t>
      </w:r>
      <w:r>
        <w:rPr>
          <w:rFonts w:ascii="Arial" w:cs="Arial" w:eastAsia="Arial" w:hAnsi="Arial"/>
          <w:sz w:val="16"/>
          <w:szCs w:val="16"/>
          <w:color w:val="auto"/>
        </w:rPr>
        <w:t>Carticel revenue is subject to seasonal fluctuations with stronger sales occurring in the fourth quarter and second quarter due to a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factors including insurance copay limits and the time of year patients prefer to start rehabilitation. Over the last five years, the percentage of annual sales by quarter has ranged as follows: first quarter, 20% to 24%; second quarter, 24% to 26%; third quarter, 20% to 23%; and fourth quarter, 28% to 33%. During 2016, the percentage of annual sales by quarter was as follows: 24% in the first quarter; 24% in the second quarter; 20% in the third quarter; and 32% in the fourth quarter. Epicel revenue is also subject to seasonal fluctuations mostly associated with the use of heating elements during the colder months, with stronger sales occurring in the winter months of the first and fourth quarters, and weaker sales occurring in the hot summer months of the third quarter. However, in any single year, this trend can be absent due to the extreme variability inherent with Epicel’s low patient volume of fewer than 100 patients per year. Over the last five years, the percentage of annual sales by quarter has ranged as follows: first quarter, 22% to 35%; second quarter, 22% to 28%; third quarter, 17% to 24%; and fourth quarter, 23% to 30%. The variability between the same quarters in consecutive years has been as high as 11% of the annual volume. While the number of patients treated per year remains low, we expect these large swings in revenue in some quarters to continue. These seasonal trends have caused and will likely continue to cause, fluctuations in our quarterly results, including fluctuations in sequential revenue growth rates.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Gross Profit Ratio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2016</w:t>
            </w: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2,252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7,548</w:t>
            </w: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Gross profit %</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w:t>
            </w:r>
          </w:p>
        </w:tc>
      </w:tr>
    </w:tbl>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Gross profit ratio decreased for the three months ended March 31, 2017 compared to the same period in 2016 due to a decrease in average order size for Epicel, decrease in Carticel sales and an increase in certain material usage and increased facility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r>
      <w:tr>
        <w:trPr>
          <w:trHeight w:val="243"/>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Research and development costs</w:t>
            </w:r>
          </w:p>
        </w:tc>
        <w:tc>
          <w:tcPr>
            <w:tcW w:w="920" w:type="dxa"/>
            <w:vAlign w:val="bottom"/>
            <w:shd w:val="clear" w:color="auto" w:fill="CCEEFF"/>
          </w:tcPr>
          <w:p>
            <w:pPr>
              <w:jc w:val="right"/>
              <w:ind w:right="722"/>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3,467</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3,536</w:t>
            </w:r>
          </w:p>
        </w:tc>
      </w:tr>
      <w:tr>
        <w:trPr>
          <w:trHeight w:val="27"/>
        </w:trPr>
        <w:tc>
          <w:tcPr>
            <w:tcW w:w="8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Research and development expenses for the three months ended March 31, 2017 were $3.5 million versus $3.5 million for the same period a year ago. The amount of trial expenses for the ixCELL-DCM clinical trial were consistent for both periods. Because the trial met the primary endpoint, patients who received placebo or were randomized to ixmyelocel-T in the double-blind portion of the trial but did not receive ixmyelocel-T were offered the option to receive ixmyelocel-T beginning in 2016. We successfully treated the last patients in February 2017. MACI research and development costs increased related to activity incurred as a result of the FDA approval received in December 2016.</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Dilated Cardiomyopathy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1,819</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MACI</w:t>
            </w:r>
          </w:p>
        </w:tc>
        <w:tc>
          <w:tcPr>
            <w:tcW w:w="34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861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Carticel</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Epicel</w:t>
            </w:r>
          </w:p>
        </w:tc>
        <w:tc>
          <w:tcPr>
            <w:tcW w:w="34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research and development expenses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3,467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3,536</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Selling, General and Administrative Costs</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43"/>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costs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8,408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6,004</w:t>
            </w:r>
          </w:p>
        </w:tc>
        <w:tc>
          <w:tcPr>
            <w:tcW w:w="0" w:type="dxa"/>
            <w:vAlign w:val="bottom"/>
          </w:tcPr>
          <w:p>
            <w:pPr>
              <w:spacing w:after="0"/>
              <w:rPr>
                <w:sz w:val="1"/>
                <w:szCs w:val="1"/>
                <w:color w:val="auto"/>
              </w:rPr>
            </w:pPr>
          </w:p>
        </w:tc>
      </w:tr>
      <w:tr>
        <w:trPr>
          <w:trHeight w:val="27"/>
        </w:trPr>
        <w:tc>
          <w:tcPr>
            <w:tcW w:w="8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Selling, general and administrative expenses for the three months ended March 31, 2017 were $8.4 million compared to $6.0 million for the same period a year ago. The increase in selling, general and administrative expenses in 2017 is due primarily to an increase in consulting expenses for marketing initiatives of $0.8 million related to the launch of MACI, an increase in personnel costs of $0.8 million primarily related to an increase in the MACI sales force, costs associated with our reimbursement and patient support services for Carticel and MACI of $0.5 million and an increase in audit, tax and information technology expenses of $0.3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Decrease (increase) in fair value of warrants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(1,640)</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Foreign currency translation loss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Net interest (expense) income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other income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change in other income and expense for the three months ended March 31, 2017 compared to 2016 is due primarily to the change in warrant value as a result of the fluctuations in our stock price and the reduction in the time to maturity. Fluctuations in the fair value of the warrants in future periods could result in significant non-cash adjustments to the condensed consolidated financial statements; however, any income or expense recorded will not impact our cash, operating expenses or cash flow.</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Compensation</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Non-cash stock-based compensation expense included in cost of goods sold, research and development expenses and selling, general and administrative expenses is summarized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326</w:t>
            </w:r>
          </w:p>
        </w:tc>
      </w:tr>
      <w:tr>
        <w:trPr>
          <w:trHeight w:val="237"/>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Total non-cash stock-based compensation expense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488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changes in stock-based compensation expense are due primarily to fluctuations in the fair value of the options granted in 2017 compared to 2016.</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currently focused on utilizing our technology to identify, develop and commercialize innovative therapies that enable the body to repair and regenerate damaged tissues and organs to restore normal structure and function. Since the acquisition in 2014 of the CTRM Business of Sanofi, the sales of Carticel and Epicel therapies have constituted nearly all of our product sales revenues. With the approval of MACI and planned replacement of Carticel with MACI, we expect the sales of MACI and Epicel therapies will constitute nearly all of our product sales revenues. Additionally, we are focusing significant resources to grow our commercial business.</w:t>
      </w:r>
    </w:p>
    <w:p>
      <w:pPr>
        <w:spacing w:after="0" w:line="188" w:lineRule="exact"/>
        <w:rPr>
          <w:sz w:val="20"/>
          <w:szCs w:val="20"/>
          <w:color w:val="auto"/>
        </w:rPr>
      </w:pPr>
    </w:p>
    <w:p>
      <w:pPr>
        <w:jc w:val="both"/>
        <w:ind w:firstLine="336"/>
        <w:spacing w:after="0" w:line="257" w:lineRule="auto"/>
        <w:rPr>
          <w:sz w:val="20"/>
          <w:szCs w:val="20"/>
          <w:color w:val="auto"/>
        </w:rPr>
      </w:pPr>
      <w:r>
        <w:rPr>
          <w:rFonts w:ascii="Arial" w:cs="Arial" w:eastAsia="Arial" w:hAnsi="Arial"/>
          <w:sz w:val="18"/>
          <w:szCs w:val="18"/>
          <w:color w:val="auto"/>
        </w:rPr>
        <w:t>We have raised significant funds in order to complete our product development programs, and complete clinical trials needed to market and commercialize our products. To date, we have financed our operations primarily through public and private sales of our equity securities including the net proceeds of approximately $18.0 million we received from our December 2016 public offering and the availability of funds under the SVB-Mid-Cap Facility. While we believe that, based on our current cash on hand, we are in a position to sustain operations twelve months beyond May 2017, if actual results differ from our projections, we may need to access additional capital.</w:t>
      </w:r>
    </w:p>
    <w:p>
      <w:pPr>
        <w:spacing w:after="0" w:line="18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On October 10, 2016 we entered into an at-the-market sales agreement (ATM Agreement) with Cowen and Company, LLC, (Cowen) as sales agent to sell, from time to time, our common stock, no par value per share (ATM Shares), having an aggregate sale price of up to $25.0 million, through an “at the market offering” program (ATM Offering). The ATM Shares will be issued pursuant to our shelf registration statement on Form S-3 (File No. 333-205336). We filed a prospectus supplement, dated October 10, 2016, with the Securities and Exchange Commission in connection with the offer and sale of the ATM Shares sold under the ATM Agreement. We are obliged to pay up to 3% of the gross proceeds to Cowen as a commission. As of March 31, 2017, approximately $24.2 million of net capacity remained under the ATM Agreement.</w:t>
      </w:r>
    </w:p>
    <w:p>
      <w:pPr>
        <w:spacing w:after="0" w:line="193"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Our cash totaled $19.8 million as of March 31, 2017. During the three months ended March 31, 2017, the cash used for operations was $3.1 million. This use of funds was fueled largely by our operating loss reduced by noncash charges including $0.5 million of stock compensation expense and $0.4 million of depreciation expense. Working capital requirements increased by $5.0 million in accounts receivable as a result in the increase of days sales outstanding related to the change in reimbursement and patient support service providers.</w:t>
      </w:r>
    </w:p>
    <w:p>
      <w:pPr>
        <w:spacing w:after="0" w:line="187"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 xml:space="preserve">On March 8, 2016, we entered into a $15.0 million debt financing with SVB which we replaced on September 9, 2016 with an expanded term loan and revolving line of credit agreement with SVB and MidCap Financial Services, or MidCap, which together provide access to up to $20 million. The updated debt financing consists of a $4.0 million term loan which was drawn at the closing, a $4.0 million term loan which was drawn upon in November 2016, a $2.0 million term loan which became available upon the FDA's approval of the MACI BLA which is no longer available as it was not drawn on by April 12, 2017 and up to $10.0 million of a revolving line of credit. The term loans are interest only (indexed to Wall Street Journal (WSJ) Prime plus 5.00%) until September 1, 2017 followed by 36 equal monthly payments of principal plus interest maturing September 9, 2020. The revolving credit is limited to a borrowing base calculated using eligible accounts receivable and maturing September 9, 2020 with an interest rate indexed to WSJ Prime plus 1.25%. </w:t>
      </w:r>
      <w:r>
        <w:rPr>
          <w:rFonts w:ascii="Arial" w:cs="Arial" w:eastAsia="Arial" w:hAnsi="Arial"/>
          <w:sz w:val="16"/>
          <w:szCs w:val="16"/>
          <w:color w:val="222222"/>
        </w:rPr>
        <w:t>We are</w:t>
      </w:r>
      <w:r>
        <w:rPr>
          <w:rFonts w:ascii="Arial" w:cs="Arial" w:eastAsia="Arial" w:hAnsi="Arial"/>
          <w:sz w:val="16"/>
          <w:szCs w:val="16"/>
          <w:color w:val="auto"/>
        </w:rPr>
        <w:t xml:space="preserve"> </w:t>
      </w:r>
      <w:r>
        <w:rPr>
          <w:rFonts w:ascii="Arial" w:cs="Arial" w:eastAsia="Arial" w:hAnsi="Arial"/>
          <w:sz w:val="16"/>
          <w:szCs w:val="16"/>
          <w:color w:val="222222"/>
        </w:rPr>
        <w:t xml:space="preserve">subject to various financial and nonfinancial covenants including but not limited to a monthly minimum net revenue covenant </w:t>
      </w:r>
      <w:r>
        <w:rPr>
          <w:rFonts w:ascii="Arial" w:cs="Arial" w:eastAsia="Arial" w:hAnsi="Arial"/>
          <w:sz w:val="16"/>
          <w:szCs w:val="16"/>
          <w:color w:val="000000"/>
        </w:rPr>
        <w:t>(determined in accordance with</w:t>
      </w:r>
      <w:r>
        <w:rPr>
          <w:rFonts w:ascii="Arial" w:cs="Arial" w:eastAsia="Arial" w:hAnsi="Arial"/>
          <w:sz w:val="16"/>
          <w:szCs w:val="16"/>
          <w:color w:val="222222"/>
        </w:rPr>
        <w:t xml:space="preserve"> </w:t>
      </w:r>
      <w:r>
        <w:rPr>
          <w:rFonts w:ascii="Arial" w:cs="Arial" w:eastAsia="Arial" w:hAnsi="Arial"/>
          <w:sz w:val="16"/>
          <w:szCs w:val="16"/>
          <w:color w:val="000000"/>
        </w:rPr>
        <w:t>GAAP), measured on a trailing twelve month basis</w:t>
      </w:r>
      <w:r>
        <w:rPr>
          <w:rFonts w:ascii="Arial" w:cs="Arial" w:eastAsia="Arial" w:hAnsi="Arial"/>
          <w:sz w:val="16"/>
          <w:szCs w:val="16"/>
          <w:color w:val="222222"/>
        </w:rPr>
        <w:t>. T</w:t>
      </w:r>
      <w:r>
        <w:rPr>
          <w:rFonts w:ascii="Arial" w:cs="Arial" w:eastAsia="Arial" w:hAnsi="Arial"/>
          <w:sz w:val="16"/>
          <w:szCs w:val="16"/>
          <w:color w:val="000000"/>
        </w:rPr>
        <w:t xml:space="preserve">he December 31, 2017 minimum revenue covenant is set at $51.7 million. </w:t>
      </w:r>
      <w:r>
        <w:rPr>
          <w:rFonts w:ascii="Arial" w:cs="Arial" w:eastAsia="Arial" w:hAnsi="Arial"/>
          <w:sz w:val="16"/>
          <w:szCs w:val="16"/>
          <w:color w:val="222222"/>
        </w:rPr>
        <w:t>SVB and MidCap also have</w:t>
      </w:r>
      <w:r>
        <w:rPr>
          <w:rFonts w:ascii="Arial" w:cs="Arial" w:eastAsia="Arial" w:hAnsi="Arial"/>
          <w:sz w:val="16"/>
          <w:szCs w:val="16"/>
          <w:color w:val="000000"/>
        </w:rPr>
        <w:t xml:space="preserve"> </w:t>
      </w:r>
      <w:r>
        <w:rPr>
          <w:rFonts w:ascii="Arial" w:cs="Arial" w:eastAsia="Arial" w:hAnsi="Arial"/>
          <w:sz w:val="16"/>
          <w:szCs w:val="16"/>
          <w:color w:val="222222"/>
        </w:rPr>
        <w:t xml:space="preserve">the ability to call debt based on material adverse change clauses which are subjectively determinable and result in a </w:t>
      </w:r>
      <w:r>
        <w:rPr>
          <w:rFonts w:ascii="Arial" w:cs="Arial" w:eastAsia="Arial" w:hAnsi="Arial"/>
          <w:sz w:val="16"/>
          <w:szCs w:val="16"/>
          <w:color w:val="000000"/>
        </w:rPr>
        <w:t>subjective acceleration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clause. While we believe the acceleration of the due date may be reasonably possible, it is not probable and therefore, the debt is classified in current and non-current liabilities. SVB and MidCap have a shared first priority perfected security interest in all of our assets other than intellectual property. As of March 31, 2017, there was an outstanding balance of $8.0 million under the term loan and $2.5 million under the revolving line of credit.</w:t>
      </w:r>
    </w:p>
    <w:p>
      <w:pPr>
        <w:spacing w:after="0" w:line="166"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222222"/>
        </w:rPr>
        <w:t xml:space="preserve">As of March 31, 2017, we were not in compliance with the minimum revenue covenant. On May 9, 2017, the Company entered into an amendment to the SVB-MidCap Facility to enable compliance with the monthly net revenue requirement covenants, </w:t>
      </w:r>
      <w:r>
        <w:rPr>
          <w:rFonts w:ascii="Arial" w:cs="Arial" w:eastAsia="Arial" w:hAnsi="Arial"/>
          <w:sz w:val="18"/>
          <w:szCs w:val="18"/>
          <w:color w:val="000000"/>
        </w:rPr>
        <w:t>measured on a trailing twelve month basis</w:t>
      </w:r>
      <w:r>
        <w:rPr>
          <w:rFonts w:ascii="Arial" w:cs="Arial" w:eastAsia="Arial" w:hAnsi="Arial"/>
          <w:sz w:val="18"/>
          <w:szCs w:val="18"/>
          <w:color w:val="222222"/>
        </w:rPr>
        <w:t xml:space="preserve"> as of </w:t>
      </w:r>
      <w:r>
        <w:rPr>
          <w:rFonts w:ascii="Arial" w:cs="Arial" w:eastAsia="Arial" w:hAnsi="Arial"/>
          <w:sz w:val="18"/>
          <w:szCs w:val="18"/>
          <w:color w:val="000000"/>
        </w:rPr>
        <w:t>March 31,</w:t>
      </w:r>
      <w:r>
        <w:rPr>
          <w:rFonts w:ascii="Arial" w:cs="Arial" w:eastAsia="Arial" w:hAnsi="Arial"/>
          <w:sz w:val="18"/>
          <w:szCs w:val="18"/>
          <w:color w:val="222222"/>
        </w:rPr>
        <w:t xml:space="preserve"> </w:t>
      </w:r>
      <w:r>
        <w:rPr>
          <w:rFonts w:ascii="Arial" w:cs="Arial" w:eastAsia="Arial" w:hAnsi="Arial"/>
          <w:sz w:val="18"/>
          <w:szCs w:val="18"/>
          <w:color w:val="000000"/>
        </w:rPr>
        <w:t>2017</w:t>
      </w:r>
      <w:r>
        <w:rPr>
          <w:rFonts w:ascii="Arial" w:cs="Arial" w:eastAsia="Arial" w:hAnsi="Arial"/>
          <w:sz w:val="18"/>
          <w:szCs w:val="18"/>
          <w:color w:val="222222"/>
        </w:rPr>
        <w:t>. The amendment</w:t>
      </w:r>
      <w:r>
        <w:rPr>
          <w:rFonts w:ascii="Arial" w:cs="Arial" w:eastAsia="Arial" w:hAnsi="Arial"/>
          <w:sz w:val="18"/>
          <w:szCs w:val="18"/>
          <w:color w:val="000000"/>
        </w:rPr>
        <w:t xml:space="preserve"> decreased the 12 month trailing minimum revenue covenant </w:t>
      </w:r>
      <w:r>
        <w:rPr>
          <w:rFonts w:ascii="Arial" w:cs="Arial" w:eastAsia="Arial" w:hAnsi="Arial"/>
          <w:sz w:val="18"/>
          <w:szCs w:val="18"/>
          <w:color w:val="222222"/>
        </w:rPr>
        <w:t>as of March 31, 2017 and revised the</w:t>
      </w:r>
      <w:r>
        <w:rPr>
          <w:rFonts w:ascii="Arial" w:cs="Arial" w:eastAsia="Arial" w:hAnsi="Arial"/>
          <w:sz w:val="18"/>
          <w:szCs w:val="18"/>
          <w:color w:val="000000"/>
        </w:rPr>
        <w:t xml:space="preserve"> December 31, 2017 minimum revenue covenant to $51.7 million. </w:t>
      </w:r>
      <w:r>
        <w:rPr>
          <w:rFonts w:ascii="Arial" w:cs="Arial" w:eastAsia="Arial" w:hAnsi="Arial"/>
          <w:sz w:val="18"/>
          <w:szCs w:val="18"/>
          <w:color w:val="222222"/>
        </w:rPr>
        <w:t>The amount of eligible account receivables was further reduced and there was</w:t>
      </w:r>
      <w:r>
        <w:rPr>
          <w:rFonts w:ascii="Arial" w:cs="Arial" w:eastAsia="Arial" w:hAnsi="Arial"/>
          <w:sz w:val="18"/>
          <w:szCs w:val="18"/>
          <w:color w:val="000000"/>
        </w:rPr>
        <w:t xml:space="preserve"> $0.3 million remaining capacity under the revolving line of credit as of March 31, 2017.</w:t>
      </w:r>
    </w:p>
    <w:p>
      <w:pPr>
        <w:spacing w:after="0" w:line="18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While we believe that, based on our current cash on hand and the funds available under our credit facility, we are in a position to sustain operations twelve months beyond May 2017, if actual results differ from our projections or we pursue other strategic opportunities, we may need to access additional capital. In addition, our revenues do not meet the existing threshold set forth in the debt covenants, and we are unable to renegotiate those thresholds, SVB could call the debt immediately. Such events could result in the need for additional funds. However, we may not be able to obtain financing on acceptable terms or at all.</w:t>
      </w:r>
    </w:p>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terms of any financing may adversely affect the holdings or the rights of our shareholders. If we need additional funds and it is unable to obtain funding on a timely basis, we may need to significantly curtail its operations including its research and development programs in an effort to provide sufficient funds to continue its operations, which could adversely affect its business prospects. Actual cash requirements may differ from projections and will depend on many factors, including continued scientific progress in our research and development programs, the scope and results of clinical trials, the time and costs involved in obtaining regulatory approvals, the costs involved in filing, prosecuting and enforcing patents, competing technological and market developments, costs of possible acquisition or development of complementary business activities, the cost of product launch and market acceptance of those products and commercialization of newly approved products.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At March 31, 2017, we were not party to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Our condensed consolidated financial statements are prepared in accordance with accounting principles generally accepted in the United States of America (GAAP). The preparation of these condensed consolidated financial statements requires the application of appropriate technical accounting rules and guidance, as well as the use of estimates. The application of these policies necessarily involves judgments regarding future events. These estimates and judgments, in and of themselves, could materially impact the condensed consolidated financial statements and disclosures based on varying assumptions. The accounting policies discussed in our Form 10-K for the fiscal year ended December 31, 2016 are considered by management to be the most important to an understanding of the consolidated financial statements because of their significance to the portrayal of our financial condition and results of operations. There have been no material changes to that information disclosed in our Annual Report during the three months ended March 31, 2017.</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This report, including the documents that we incorporate by reference, contains forward-looking statements within the meaning of Section 27A of the Securities Act of 1933 and Section 21E of the Securities Exchange Act of 1934, as amended (the Exchange Act). Any statements about our expectations, beliefs, plans, objectives, assumptions or future events or performance are not historical facts and may be forward-looking. These statements are often, but are not always, made through the use of words or phrases such as “anticipates,” “estimates,” “plans,” “projects,” “trends,” “opportunity,” “comfortable,” “current,” “intention,” “position,” “assume,” “potential,” “outlook,” “remain,” “continue,” “maintain,” “sustain,” “seek,” “achieve,” “continuing,” “ongoing,” “expects,” “management believes,” “we believe,” “we intend” and similar words or phrases, or future or conditional verbs such as “will,” “would,” “should,” “could,” “may,” or similar expressions. Accordingly, these statements involve estimates, assumptions and uncertainties which could cause actual results to differ materially from those expressed in them. The factors described in our Annual Report, among others, could have a material adverse effect upon our business, results of operations and financial conditions.</w:t>
      </w:r>
    </w:p>
    <w:p>
      <w:pPr>
        <w:spacing w:after="0" w:line="18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Because the factors referred to in the preceding paragraph could cause actual results or outcomes to differ materially from those expressed in any forward-looking statements we make, you should not place undue reliance on any such forward-looking statements. Further, any forward-looking statement speaks only as of the date on which it is made, and we undertake no obligation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update any forward-looking statement or statements to reflect events or circumstances after the date on which such statement is made or to reflect the occurrence of unanticipated events.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These forward-looking statements include statements regarding:</w:t>
      </w:r>
    </w:p>
    <w:p>
      <w:pPr>
        <w:spacing w:after="0" w:line="198" w:lineRule="exact"/>
        <w:rPr>
          <w:sz w:val="20"/>
          <w:szCs w:val="20"/>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strategic collaborations with others;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future capital needs and financing sources;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adequacy of existing capital to support operations for a specified time;</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development and marketing plans;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filing plans;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features and successes of our cellular therapies;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manufacturing and facility capabilities;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clinical trial plans, including publication thereof;</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anticipation of future losses;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replacement of manufacturing sources;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commercialization plans; or</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 expectations and operating results.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As of March 31, 2017, we would not expect our operating results or cash flows to be affected to any significant degree by the effect of a sudden change in market interest rates or credit conditions on our securities portfolio. For additional information regarding our market risk, refer to Item 7A. Quantitative and Qualitative Disclosures About Market Risk in our Annual Report on Form 10-K for the year ended December 31, 2016.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The Company has established disclosure controls and procedures designed to ensure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management of the Company, with the participation of its Chief Executive Officer and Chief Financial Officer (its “Certifying Officers”), as appropriate, to allow timely decisions regarding required disclosure.</w:t>
      </w:r>
    </w:p>
    <w:p>
      <w:pPr>
        <w:spacing w:after="0" w:line="171"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Management of the Company, with the participation of its Certifying Officers, evaluated the effectiveness of the Company’s disclosure controls and procedures as defined in Rules l3a-15(e) and l5d-15(e) under the Exchange Act. Based on the evaluation as of March 31, 2017, our Certifying Officers concluded that the Company’s disclosure controls and procedures were effective.</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There have been no changes in internal control over financial reporting during the quarter ended March 31, 2017 that have materially affected, or are reasonably likely to materially affect, the Company’s internal control over financial reporting.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From time to time we receive threats or may be subject to litigation matters incidental to our business. However, we are not currently a party to any material pending legal proceedings.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Certain risks described below update the risk factors discussed in Item 1A of our Annual Report on Form 10-K for the fiscal year ended December 31, 2016, which could materially affect our business, financial condition, results of operations, or cash flows. The risks described below and in the Annual Report on Form 10-K are not the only risks we face. Additional risks and uncertainties not currently known or currently deemed to be immaterial also may materially and adversely affect our business, financial condition, results of operations or cash flows.</w:t>
      </w:r>
    </w:p>
    <w:p>
      <w:pPr>
        <w:spacing w:after="0" w:line="18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Failure to enter into written agreements with payers for reimbursement of our products and to obtain adequate reimbursement and reimbursement rates could have a material adverse effect on our financial condition and operating results.</w:t>
      </w:r>
    </w:p>
    <w:p>
      <w:pPr>
        <w:spacing w:after="0" w:line="184" w:lineRule="exact"/>
        <w:rPr>
          <w:sz w:val="20"/>
          <w:szCs w:val="20"/>
          <w:color w:val="auto"/>
        </w:rPr>
      </w:pPr>
    </w:p>
    <w:p>
      <w:pPr>
        <w:jc w:val="both"/>
        <w:ind w:firstLine="243"/>
        <w:spacing w:after="0" w:line="304" w:lineRule="auto"/>
        <w:rPr>
          <w:sz w:val="20"/>
          <w:szCs w:val="20"/>
          <w:color w:val="auto"/>
        </w:rPr>
      </w:pPr>
      <w:r>
        <w:rPr>
          <w:rFonts w:ascii="Arial" w:cs="Arial" w:eastAsia="Arial" w:hAnsi="Arial"/>
          <w:sz w:val="16"/>
          <w:szCs w:val="16"/>
          <w:color w:val="auto"/>
        </w:rPr>
        <w:t>On June 30, 2016, we reduced the scope of our agreement with our prior distributor by terminating their services with respect to a significant portion of our Carticel sales. Prior to June 30, 2016, we sold Carticel to such distributor, which subsequently resold Carticel to patients and healthcare providers. We currently engage, Dohmen Life Science Services, LLC (DLSS), to provide a patient support services program and reimbursement services for both Carticel and MACI, as well as other third parties which provide billing and collection activities and data reporting services. With our arrangement with DLSS, we have assumed the credit and collection risk of third party payers who do not pay for our products. We have fewer contracts than we initially anticipated pursuant to our agreement with DLSS, and added a specialty pharmacy to increase the number of contracts. In the event DLSS fails to effectively conduct its billing and collection activities, or we are unable to enter into additional contracts, we could collect lower than expected reimbursement for our products, which would adversely affect our revenue. Failing to maintain and obtain written agreements from payers for reimbursement of our products or to obtain adequate reimbursement rates could have a material adverse effect on our financial condition and operating results. In addition, healthcare providers are under pressure to increase profitability and reduce costs. In response, certain healthcare providers are limiting coverage or reducing reimbursement rates for the products we provide. We cannot predict the extent to which reimbursement for our products will be affected by initiatives to reduce costs for healthcare providers. Failure to collect from such payers or to obtain or maintain written agreements with such payers or obtaining lower then estimated reimbursement for our products would adversely affect our business, financial conditions and results of operations.</w:t>
      </w:r>
    </w:p>
    <w:p>
      <w:pPr>
        <w:spacing w:after="0" w:line="15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Significant uncertainty exists as to the reimbursement status of newly approved therapeutics such as MACI. There can be no guarantee that we will be able to obtain the same or similar reimbursement rates or reimbursement for MACI as were seen for Carticel.</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products and product development programs are based on novel technologies and are inherently risky.</w:t>
      </w:r>
    </w:p>
    <w:p>
      <w:pPr>
        <w:spacing w:after="0" w:line="22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Our products are subject to the inherent risks of failure associated with the development of new products based on novel technologies. The innovative nature of our therapeutics creates significant challenges in regard to product development and optimization, manufacturing, regulatory environment and emerging regulations, third-party reimbursement and market acceptance. For instance, in April 2017, we received notification from one of our services providers of a contractual dispute between the service provider and the third-party payer related to certain of its insurance reimbursement claims associated with Carticel and MACI surgeries performed in 2016 and the first quarter of 2017, which could result in the claims being paid on an out-of-network basis. Therapeutic advancements are generally ahead of development and release of regulatory guidance and requirements. The lack of established precedents and evolving regulatory policy for novel products can pose significant challenges in product and clinical development, which can decrease the chances of regulatory success.</w:t>
      </w:r>
    </w:p>
    <w:p>
      <w:pPr>
        <w:spacing w:after="0" w:line="19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Our products represent new classes of therapy that the marketplace may not understand or accept. Furthermore, the success of our products is dependent on wider acceptance by the medical community.</w:t>
      </w:r>
    </w:p>
    <w:p>
      <w:pPr>
        <w:spacing w:after="0" w:line="170"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While our acquired products have had some commercial success to date, the broader market may not understand or accept our products. Our products represent new treatments or therapies and compete with a number of more conventional products and therapies manufactured and marketed by others. The new nature of our products creates significant challenges in regards to product development and optimization, manufacturing, regulations, and third-party reimbursement. For instance, in April 2017, we received notification from one of our service providers of a contractual dispute between the service provider and the third-party payer related to certain of its insurance reimbursement claims associated with Carticel and MACI surgeries performed in 2016 and the first quarter of 2017, which could result in the claims being paid on an out-of-network basis. As a result, the commercialization of our current products and the development pathway for our potential new products may be subject to increased scrutiny, as compared to the pathway for more conventional products.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degree of market acceptance of any of our marketed or potential new products will depend on a number of factors, including:</w:t>
      </w:r>
    </w:p>
    <w:p>
      <w:pPr>
        <w:spacing w:after="0" w:line="252" w:lineRule="exact"/>
        <w:rPr>
          <w:sz w:val="20"/>
          <w:szCs w:val="20"/>
          <w:color w:val="auto"/>
        </w:rPr>
      </w:pPr>
    </w:p>
    <w:p>
      <w:pPr>
        <w:ind w:left="1360" w:hanging="461"/>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clinical safety and effectiveness of our products and their demonstrated advantage over alternative treatment methods;</w:t>
      </w:r>
    </w:p>
    <w:p>
      <w:pPr>
        <w:spacing w:after="0" w:line="49" w:lineRule="exact"/>
        <w:rPr>
          <w:rFonts w:ascii="Arial" w:cs="Arial" w:eastAsia="Arial" w:hAnsi="Arial"/>
          <w:sz w:val="18"/>
          <w:szCs w:val="18"/>
          <w:color w:val="auto"/>
        </w:rPr>
      </w:pPr>
    </w:p>
    <w:p>
      <w:pPr>
        <w:ind w:left="660" w:right="20" w:firstLine="239"/>
        <w:spacing w:after="0" w:line="297" w:lineRule="auto"/>
        <w:tabs>
          <w:tab w:leader="none" w:pos="1371"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demonstrate to healthcare providers that our products provide a therapeutic advancement over standard of care or other competitive products / methods;</w:t>
      </w:r>
    </w:p>
    <w:p>
      <w:pPr>
        <w:ind w:left="660" w:right="20" w:firstLine="239"/>
        <w:spacing w:after="0" w:line="315" w:lineRule="auto"/>
        <w:tabs>
          <w:tab w:leader="none" w:pos="1371"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educate healthcare providers on the autologous use of patient-specific human tissue, to avoid potential confusion with and differentiate ourselves from the ethical controversies associated with human fetal tissue and engineered human tissue;</w:t>
      </w:r>
    </w:p>
    <w:p>
      <w:pPr>
        <w:ind w:left="1360" w:hanging="461"/>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educate healthcare providers, patients and payers on the safety and adverse reactions involving our products;</w:t>
      </w:r>
    </w:p>
    <w:p>
      <w:pPr>
        <w:spacing w:after="0" w:line="49" w:lineRule="exact"/>
        <w:rPr>
          <w:rFonts w:ascii="Arial" w:cs="Arial" w:eastAsia="Arial" w:hAnsi="Arial"/>
          <w:sz w:val="18"/>
          <w:szCs w:val="18"/>
          <w:color w:val="auto"/>
        </w:rPr>
      </w:pPr>
    </w:p>
    <w:p>
      <w:pPr>
        <w:ind w:left="660" w:firstLine="239"/>
        <w:spacing w:after="0" w:line="297" w:lineRule="auto"/>
        <w:tabs>
          <w:tab w:leader="none" w:pos="1371"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meet supply and demand and develop a core group of medical professionals familiar with and committed to the use of our products; and</w:t>
      </w:r>
    </w:p>
    <w:p>
      <w:pPr>
        <w:ind w:left="1360" w:hanging="461"/>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cost-effectiveness of our products and the reimbursement policies of government and third-party payers.</w:t>
      </w:r>
    </w:p>
    <w:p>
      <w:pPr>
        <w:spacing w:after="0" w:line="23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price and sale of any of our products may be limited by health insurance coverage and government regulation.</w:t>
      </w:r>
    </w:p>
    <w:p>
      <w:pPr>
        <w:spacing w:after="0" w:line="22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Maintaining and growing sales of our products will depend in large part on the availability of adequate coverage and the extent to which third-party payers, including health insurance companies, health maintenance organizations (HMOs), and government health administration authorities such as the military, Medicare and Medicaid, private insurance plans and managed care programs will pay for the cost of the products and related treatment. Hospitals and other healthcare provider clients that purchase our products typically bill various third-party payers to cover all or a portion of the costs and fees associated with the procedures in which such products are used, including the cost of the purchase of these products. Third-party payers are also increasingly attempting to contain healthcare costs by demanding price discounts or rebates and limiting both coverage and the amounts that they will pay for certain products, and, as a result, they may not cover or continue to provide adequate payment for our products. We might need to conduct post-marketing studies in order to demonstrate the cost-effectiveness of our products and current and future product candidates to such payers’ satisfaction. Such studies might require us to commit a significant amount of management time and financial and other resources. Our products and future products might not ultimately be considered cost-effective. Adequate third-party reimbursement might not be available to enable us to maintain price levels sufficient to realize an appropriate return on investment in our products and future product development. If coverage and adequate reimbursement are not available, reimbursement is available only to limited levels, or if our costs of production increase faster than increases in reimbursement levels, we may not be able to successfully grow the sales of our products or commercialize any current and future product candidates for which marketing approval is obtained.</w:t>
      </w:r>
    </w:p>
    <w:p>
      <w:pPr>
        <w:spacing w:after="0" w:line="175"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April 2017, we received notification from one of our service providers, Vital Care, Inc., of a contractual dispute between Vital Care, Inc., and the third-party payer related to certain of its insurance reimbursement claims associated with Carticel and MACI surgeries performed in 2016 and the first quarter of 2017. Vital Care, Inc., is attempting to resolve this matter, which may include appealing or resubmitting the claims. During the three months ended March 31, 2017, we recorded a change in estimate for revenue reserves of $2.1 million related to 2016 sales and $0.7 million related to 2017 sales to reflect the lower reimbursement that would be obtained if the claims are ultimately required to be treated as out-of-network. The ultimate amount of reimbursement may be significantly lower than we initially estimated, even taking into account the change in estimate. As a result of the continuing evaluation and assessment of these expected payments, our estimates for expected payments could change. In addition, the contractual dispute could impact amounts previously collected and certain amounts may need to be repaid while the matter is being resolved; therefore our liquidity may be negatively impacted, and the amounts that we may need to repay may be more than we currently estimate.</w:t>
      </w:r>
    </w:p>
    <w:p>
      <w:pPr>
        <w:spacing w:after="0" w:line="182"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Coverage decisions and payment amounts are established at the discretion of the individual third-party payer, and the regulations that govern pricing, coverage and reimbursement vary widely from country to country. Many private payers in the United States, however, use coverage decisions and payment amounts determined by the Centers for Medicare &amp; Medicaid Services (CMS), as guidelines in setting their coverage and reimbursement policies. As the portion of the U.S. population over the age of 65 and eligible for Medicare continues to grow, we may be more vulnerable to coverage and reimbursement limitations imposed by CMS. While certain procedures using our products are currently covered by Medicare and other third-party payers, future action by CMS or other government agencies may diminish payments to physicians, outpatient centers and/or hospitals for covered services. As a result, we cannot be certain that the procedures performed with our products will be reimbursed at a cost-effective level or reimbursed at all.</w:t>
      </w:r>
    </w:p>
    <w:p>
      <w:pPr>
        <w:spacing w:after="0" w:line="16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Furthermore, the healthcare industry in the United States has experienced a trend toward cost containment as government and private insurers seek to control healthcare costs by imposing lower payment rates and negotiating reduced contract rates with service providers. Therefore, we cannot be certain that the procedures performed with our products will be reimbursed at a cost-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level. Nor can we be certain that third-party payers using a methodology that sets amounts based on the type of procedure performed, such as those utilized by Medicare and in many privately managed care systems, will view the cost of our products to be justified so as to incorporate such costs into the overall cost of the procedure. Moreover, we are unable to predict what changes will be made to the reimbursement methodologies used by third-party payers in the future.</w:t>
      </w:r>
    </w:p>
    <w:p>
      <w:pPr>
        <w:spacing w:after="0" w:line="18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b w:val="1"/>
          <w:bCs w:val="1"/>
          <w:i w:val="1"/>
          <w:iCs w:val="1"/>
          <w:color w:val="auto"/>
        </w:rPr>
        <w:t>Our SVB-MidCap Facility contains restrictions that limit our flexibility in operating our business. We may be required to make a prepayment or repay the outstanding indebtedness earlier than we expect if a prepayment event or an event of default occurs, including a material adverse change with respect to us, which could have a materially adverse effect on our business</w:t>
      </w:r>
      <w:r>
        <w:rPr>
          <w:rFonts w:ascii="Arial" w:cs="Arial" w:eastAsia="Arial" w:hAnsi="Arial"/>
          <w:sz w:val="18"/>
          <w:szCs w:val="18"/>
          <w:color w:val="auto"/>
        </w:rPr>
        <w:t>.</w:t>
      </w:r>
    </w:p>
    <w:p>
      <w:pPr>
        <w:spacing w:after="0" w:line="18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SVB-MidCap Facility contains various covenants that limit our ability to engage in specified types of transactions. These covenants limit our ability to, among other things:</w:t>
      </w:r>
    </w:p>
    <w:p>
      <w:pPr>
        <w:spacing w:after="0" w:line="197" w:lineRule="exact"/>
        <w:rPr>
          <w:sz w:val="20"/>
          <w:szCs w:val="20"/>
          <w:color w:val="auto"/>
        </w:rPr>
      </w:pPr>
    </w:p>
    <w:p>
      <w:pPr>
        <w:ind w:left="2020" w:hanging="472"/>
        <w:spacing w:after="0"/>
        <w:tabs>
          <w:tab w:leader="none" w:pos="2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convey, sell, lease or otherwise dispose of certain parts of our business or property;</w:t>
      </w:r>
    </w:p>
    <w:p>
      <w:pPr>
        <w:spacing w:after="0" w:line="49" w:lineRule="exact"/>
        <w:rPr>
          <w:rFonts w:ascii="Arial" w:cs="Arial" w:eastAsia="Arial" w:hAnsi="Arial"/>
          <w:sz w:val="18"/>
          <w:szCs w:val="18"/>
          <w:color w:val="auto"/>
        </w:rPr>
      </w:pPr>
    </w:p>
    <w:p>
      <w:pPr>
        <w:ind w:left="2020" w:hanging="472"/>
        <w:spacing w:after="0"/>
        <w:tabs>
          <w:tab w:leader="none" w:pos="2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 the nature of our business;</w:t>
      </w:r>
    </w:p>
    <w:p>
      <w:pPr>
        <w:spacing w:after="0" w:line="49" w:lineRule="exact"/>
        <w:rPr>
          <w:rFonts w:ascii="Arial" w:cs="Arial" w:eastAsia="Arial" w:hAnsi="Arial"/>
          <w:sz w:val="18"/>
          <w:szCs w:val="18"/>
          <w:color w:val="auto"/>
        </w:rPr>
      </w:pPr>
    </w:p>
    <w:p>
      <w:pPr>
        <w:ind w:left="2020" w:hanging="472"/>
        <w:spacing w:after="0"/>
        <w:tabs>
          <w:tab w:leader="none" w:pos="2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certain change in control or acquisition transactions;</w:t>
      </w:r>
    </w:p>
    <w:p>
      <w:pPr>
        <w:spacing w:after="0" w:line="49" w:lineRule="exact"/>
        <w:rPr>
          <w:rFonts w:ascii="Arial" w:cs="Arial" w:eastAsia="Arial" w:hAnsi="Arial"/>
          <w:sz w:val="18"/>
          <w:szCs w:val="18"/>
          <w:color w:val="auto"/>
        </w:rPr>
      </w:pPr>
    </w:p>
    <w:p>
      <w:pPr>
        <w:ind w:left="2020" w:hanging="472"/>
        <w:spacing w:after="0"/>
        <w:tabs>
          <w:tab w:leader="none" w:pos="2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or assume certain debt;</w:t>
      </w:r>
    </w:p>
    <w:p>
      <w:pPr>
        <w:spacing w:after="0" w:line="49" w:lineRule="exact"/>
        <w:rPr>
          <w:rFonts w:ascii="Arial" w:cs="Arial" w:eastAsia="Arial" w:hAnsi="Arial"/>
          <w:sz w:val="18"/>
          <w:szCs w:val="18"/>
          <w:color w:val="auto"/>
        </w:rPr>
      </w:pPr>
    </w:p>
    <w:p>
      <w:pPr>
        <w:ind w:left="2020" w:hanging="472"/>
        <w:spacing w:after="0"/>
        <w:tabs>
          <w:tab w:leader="none" w:pos="2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grant certain types of liens on our assets;</w:t>
      </w:r>
    </w:p>
    <w:p>
      <w:pPr>
        <w:spacing w:after="0" w:line="49" w:lineRule="exact"/>
        <w:rPr>
          <w:rFonts w:ascii="Arial" w:cs="Arial" w:eastAsia="Arial" w:hAnsi="Arial"/>
          <w:sz w:val="18"/>
          <w:szCs w:val="18"/>
          <w:color w:val="auto"/>
        </w:rPr>
      </w:pPr>
    </w:p>
    <w:p>
      <w:pPr>
        <w:ind w:left="2020" w:hanging="472"/>
        <w:spacing w:after="0"/>
        <w:tabs>
          <w:tab w:leader="none" w:pos="2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certain collateral accounts;</w:t>
      </w:r>
    </w:p>
    <w:p>
      <w:pPr>
        <w:spacing w:after="0" w:line="49" w:lineRule="exact"/>
        <w:rPr>
          <w:rFonts w:ascii="Arial" w:cs="Arial" w:eastAsia="Arial" w:hAnsi="Arial"/>
          <w:sz w:val="18"/>
          <w:szCs w:val="18"/>
          <w:color w:val="auto"/>
        </w:rPr>
      </w:pPr>
    </w:p>
    <w:p>
      <w:pPr>
        <w:ind w:left="2020" w:hanging="472"/>
        <w:spacing w:after="0"/>
        <w:tabs>
          <w:tab w:leader="none" w:pos="2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dividends or make certain distributions to our stockholders;</w:t>
      </w:r>
    </w:p>
    <w:p>
      <w:pPr>
        <w:spacing w:after="0" w:line="49" w:lineRule="exact"/>
        <w:rPr>
          <w:rFonts w:ascii="Arial" w:cs="Arial" w:eastAsia="Arial" w:hAnsi="Arial"/>
          <w:sz w:val="18"/>
          <w:szCs w:val="18"/>
          <w:color w:val="auto"/>
        </w:rPr>
      </w:pPr>
    </w:p>
    <w:p>
      <w:pPr>
        <w:ind w:left="2020" w:hanging="472"/>
        <w:spacing w:after="0"/>
        <w:tabs>
          <w:tab w:leader="none" w:pos="2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49" w:lineRule="exact"/>
        <w:rPr>
          <w:rFonts w:ascii="Arial" w:cs="Arial" w:eastAsia="Arial" w:hAnsi="Arial"/>
          <w:sz w:val="18"/>
          <w:szCs w:val="18"/>
          <w:color w:val="auto"/>
        </w:rPr>
      </w:pPr>
    </w:p>
    <w:p>
      <w:pPr>
        <w:ind w:left="2020" w:hanging="472"/>
        <w:spacing w:after="0"/>
        <w:tabs>
          <w:tab w:leader="none" w:pos="2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material transactions with affiliates;</w:t>
      </w:r>
    </w:p>
    <w:p>
      <w:pPr>
        <w:spacing w:after="0" w:line="49" w:lineRule="exact"/>
        <w:rPr>
          <w:rFonts w:ascii="Arial" w:cs="Arial" w:eastAsia="Arial" w:hAnsi="Arial"/>
          <w:sz w:val="18"/>
          <w:szCs w:val="18"/>
          <w:color w:val="auto"/>
        </w:rPr>
      </w:pPr>
    </w:p>
    <w:p>
      <w:pPr>
        <w:ind w:left="2020" w:hanging="472"/>
        <w:spacing w:after="0"/>
        <w:tabs>
          <w:tab w:leader="none" w:pos="2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or permit certain payments on subordinate debt; and</w:t>
      </w:r>
    </w:p>
    <w:p>
      <w:pPr>
        <w:spacing w:after="0" w:line="49" w:lineRule="exact"/>
        <w:rPr>
          <w:rFonts w:ascii="Arial" w:cs="Arial" w:eastAsia="Arial" w:hAnsi="Arial"/>
          <w:sz w:val="18"/>
          <w:szCs w:val="18"/>
          <w:color w:val="auto"/>
        </w:rPr>
      </w:pPr>
    </w:p>
    <w:p>
      <w:pPr>
        <w:ind w:left="2020" w:hanging="472"/>
        <w:spacing w:after="0"/>
        <w:tabs>
          <w:tab w:leader="none" w:pos="2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become an “investment company” as defined under the Investment Company Act of 1940, as amended.</w:t>
      </w:r>
    </w:p>
    <w:p>
      <w:pPr>
        <w:spacing w:after="0" w:line="23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In addition, the SVB-MidCap Facility obliges us to comply with certain affirmative covenants, including the achievement of certain minimum revenue thresholds.</w:t>
      </w:r>
    </w:p>
    <w:p>
      <w:pPr>
        <w:spacing w:after="0" w:line="17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restrictive and affirmative covenants of the SVB-MidCap Facility could cause us to be unable to pursue business opportunities that we or our stockholders may consider beneficial. For instance, as a result of the adjustment to our revenue reserve calculated in April 2017, we were not in compliance with minimum monthly net revenue covenant. We entered into an amendment to the facility to enable future compliance with these covenants, but there is no guarantee we will be able to comply with these revised covenants going forward.</w:t>
      </w:r>
    </w:p>
    <w:p>
      <w:pPr>
        <w:spacing w:after="0" w:line="187"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 breach of any of these covenants could result in an event of default under the SVB-MidCap Facility. An event of default will also occur if, among other things, a material adverse change in our business, operations or condition occurs, which could potentially include negative results in clinical trials, or a material impairment of the prospect of our repayment of any portion of the amounts we owe under the SVB-MidCap Facility occurs. In the case of a continuing event of default under the agreement, SVB and Mid-Cap could elect to declare all amounts outstanding to be immediately due and payable, proceed against the collateral in which we granted SVB and Mid-Cap a security interest under the SVB-MidCap Facility, or otherwise exercise the rights of a secured creditor. Amounts outstanding under the Loan and Security Agreement are secured by all of our existing and future assets, excluding intellectual property, which is subject to a negative pledge arrangement. In addition, the amount we have access to under the revolving line of credit that is part of the SVB-MidCap Facility is automatically adjusted based on certain factors, including the amount of eligible accounts receivable. In the event this amount is reduced after a drawdown, to an amount below what we have already borrowed, the difference may need to be repaid to comply with the agreement. If a significant reduction occurred in the future, we may need to repay additional amounts, which could have a material adverse effect on our business and cash flows.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did not repurchase any of its equity securities during the quarter ended March 31,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Exhibits listed in the Exhibit Index immediately following the Signature, are filed as a part of this Quarterly Report on Form 10-Q.</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500"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2017</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VERICEL CORPORATION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Gerard Michel</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6"/>
          <w:szCs w:val="16"/>
          <w:i w:val="1"/>
          <w:iCs w:val="1"/>
          <w:color w:val="auto"/>
        </w:rPr>
        <w:t>Chief Financial Officer and Vice President, Corporate Development</w:t>
      </w:r>
    </w:p>
    <w:p>
      <w:pPr>
        <w:spacing w:after="0" w:line="86"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9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240" w:top="125" w:right="6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40" w:type="dxa"/>
            <w:vAlign w:val="bottom"/>
          </w:tcPr>
          <w:p>
            <w:pPr>
              <w:ind w:left="2940"/>
              <w:spacing w:after="0"/>
              <w:rPr>
                <w:sz w:val="20"/>
                <w:szCs w:val="20"/>
                <w:color w:val="auto"/>
              </w:rPr>
            </w:pPr>
            <w:r>
              <w:rPr>
                <w:rFonts w:ascii="Arial" w:cs="Arial" w:eastAsia="Arial" w:hAnsi="Arial"/>
                <w:sz w:val="18"/>
                <w:szCs w:val="18"/>
                <w:b w:val="1"/>
                <w:bCs w:val="1"/>
                <w:color w:val="auto"/>
              </w:rPr>
              <w:t>EXHIBIT INDEX</w:t>
            </w:r>
          </w:p>
        </w:tc>
      </w:tr>
      <w:tr>
        <w:trPr>
          <w:trHeight w:val="548"/>
        </w:trPr>
        <w:tc>
          <w:tcPr>
            <w:tcW w:w="20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9340" w:type="dxa"/>
            <w:vAlign w:val="bottom"/>
          </w:tcPr>
          <w:p>
            <w:pPr>
              <w:ind w:left="4320"/>
              <w:spacing w:after="0"/>
              <w:rPr>
                <w:sz w:val="20"/>
                <w:szCs w:val="20"/>
                <w:color w:val="auto"/>
              </w:rPr>
            </w:pPr>
            <w:r>
              <w:rPr>
                <w:rFonts w:ascii="Arial" w:cs="Arial" w:eastAsia="Arial" w:hAnsi="Arial"/>
                <w:sz w:val="14"/>
                <w:szCs w:val="14"/>
                <w:b w:val="1"/>
                <w:bCs w:val="1"/>
                <w:color w:val="auto"/>
              </w:rPr>
              <w:t>Description</w:t>
            </w:r>
          </w:p>
        </w:tc>
      </w:tr>
      <w:tr>
        <w:trPr>
          <w:trHeight w:val="445"/>
        </w:trPr>
        <w:tc>
          <w:tcPr>
            <w:tcW w:w="162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24"/>
                <w:szCs w:val="24"/>
                <w:color w:val="auto"/>
              </w:rPr>
            </w:pPr>
          </w:p>
        </w:tc>
        <w:tc>
          <w:tcPr>
            <w:tcW w:w="9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540"/>
        </w:trPr>
        <w:tc>
          <w:tcPr>
            <w:tcW w:w="1620" w:type="dxa"/>
            <w:vAlign w:val="bottom"/>
          </w:tcPr>
          <w:p>
            <w:pPr>
              <w:ind w:left="680"/>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4"/>
                <w:szCs w:val="24"/>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540"/>
        </w:trPr>
        <w:tc>
          <w:tcPr>
            <w:tcW w:w="1620" w:type="dxa"/>
            <w:vAlign w:val="bottom"/>
          </w:tcPr>
          <w:p>
            <w:pPr>
              <w:ind w:left="680"/>
              <w:spacing w:after="0"/>
              <w:rPr>
                <w:sz w:val="20"/>
                <w:szCs w:val="20"/>
                <w:color w:val="auto"/>
              </w:rPr>
            </w:pPr>
            <w:r>
              <w:rPr>
                <w:rFonts w:ascii="Arial" w:cs="Arial" w:eastAsia="Arial" w:hAnsi="Arial"/>
                <w:sz w:val="18"/>
                <w:szCs w:val="18"/>
                <w:color w:val="auto"/>
              </w:rPr>
              <w:t>32.1**</w:t>
            </w:r>
          </w:p>
        </w:tc>
        <w:tc>
          <w:tcPr>
            <w:tcW w:w="460" w:type="dxa"/>
            <w:vAlign w:val="bottom"/>
          </w:tcPr>
          <w:p>
            <w:pPr>
              <w:spacing w:after="0"/>
              <w:rPr>
                <w:sz w:val="24"/>
                <w:szCs w:val="24"/>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594"/>
        </w:trPr>
        <w:tc>
          <w:tcPr>
            <w:tcW w:w="1620" w:type="dxa"/>
            <w:vAlign w:val="bottom"/>
          </w:tcPr>
          <w:p>
            <w:pPr>
              <w:ind w:left="680"/>
              <w:spacing w:after="0"/>
              <w:rPr>
                <w:sz w:val="20"/>
                <w:szCs w:val="20"/>
                <w:color w:val="auto"/>
              </w:rPr>
            </w:pPr>
            <w:r>
              <w:rPr>
                <w:rFonts w:ascii="Arial" w:cs="Arial" w:eastAsia="Arial" w:hAnsi="Arial"/>
                <w:sz w:val="18"/>
                <w:szCs w:val="18"/>
                <w:color w:val="auto"/>
              </w:rPr>
              <w:t>32.2**</w:t>
            </w:r>
          </w:p>
        </w:tc>
        <w:tc>
          <w:tcPr>
            <w:tcW w:w="460" w:type="dxa"/>
            <w:vAlign w:val="bottom"/>
          </w:tcPr>
          <w:p>
            <w:pPr>
              <w:spacing w:after="0"/>
              <w:rPr>
                <w:sz w:val="24"/>
                <w:szCs w:val="24"/>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540"/>
        </w:trPr>
        <w:tc>
          <w:tcPr>
            <w:tcW w:w="2080" w:type="dxa"/>
            <w:vAlign w:val="bottom"/>
            <w:gridSpan w:val="2"/>
          </w:tcPr>
          <w:p>
            <w:pPr>
              <w:ind w:left="180"/>
              <w:spacing w:after="0"/>
              <w:rPr>
                <w:sz w:val="20"/>
                <w:szCs w:val="20"/>
                <w:color w:val="auto"/>
              </w:rPr>
            </w:pPr>
            <w:r>
              <w:rPr>
                <w:rFonts w:ascii="Arial" w:cs="Arial" w:eastAsia="Arial" w:hAnsi="Arial"/>
                <w:sz w:val="18"/>
                <w:szCs w:val="18"/>
                <w:color w:val="auto"/>
              </w:rPr>
              <w:t>101.INS**</w:t>
            </w:r>
          </w:p>
        </w:tc>
        <w:tc>
          <w:tcPr>
            <w:tcW w:w="934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540"/>
        </w:trPr>
        <w:tc>
          <w:tcPr>
            <w:tcW w:w="2080" w:type="dxa"/>
            <w:vAlign w:val="bottom"/>
            <w:gridSpan w:val="2"/>
          </w:tcPr>
          <w:p>
            <w:pPr>
              <w:ind w:left="180"/>
              <w:spacing w:after="0"/>
              <w:rPr>
                <w:sz w:val="20"/>
                <w:szCs w:val="20"/>
                <w:color w:val="auto"/>
              </w:rPr>
            </w:pPr>
            <w:r>
              <w:rPr>
                <w:rFonts w:ascii="Arial" w:cs="Arial" w:eastAsia="Arial" w:hAnsi="Arial"/>
                <w:sz w:val="18"/>
                <w:szCs w:val="18"/>
                <w:color w:val="auto"/>
              </w:rPr>
              <w:t>101.SCH**</w:t>
            </w:r>
          </w:p>
        </w:tc>
        <w:tc>
          <w:tcPr>
            <w:tcW w:w="934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2080" w:type="dxa"/>
            <w:vAlign w:val="bottom"/>
            <w:gridSpan w:val="2"/>
          </w:tcPr>
          <w:p>
            <w:pPr>
              <w:ind w:left="180"/>
              <w:spacing w:after="0"/>
              <w:rPr>
                <w:sz w:val="20"/>
                <w:szCs w:val="20"/>
                <w:color w:val="auto"/>
              </w:rPr>
            </w:pPr>
            <w:r>
              <w:rPr>
                <w:rFonts w:ascii="Arial" w:cs="Arial" w:eastAsia="Arial" w:hAnsi="Arial"/>
                <w:sz w:val="18"/>
                <w:szCs w:val="18"/>
                <w:color w:val="auto"/>
              </w:rPr>
              <w:t>101.CAL**</w:t>
            </w:r>
          </w:p>
        </w:tc>
        <w:tc>
          <w:tcPr>
            <w:tcW w:w="934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2080" w:type="dxa"/>
            <w:vAlign w:val="bottom"/>
            <w:gridSpan w:val="2"/>
          </w:tcPr>
          <w:p>
            <w:pPr>
              <w:ind w:left="180"/>
              <w:spacing w:after="0"/>
              <w:rPr>
                <w:sz w:val="20"/>
                <w:szCs w:val="20"/>
                <w:color w:val="auto"/>
              </w:rPr>
            </w:pPr>
            <w:r>
              <w:rPr>
                <w:rFonts w:ascii="Arial" w:cs="Arial" w:eastAsia="Arial" w:hAnsi="Arial"/>
                <w:sz w:val="18"/>
                <w:szCs w:val="18"/>
                <w:color w:val="auto"/>
              </w:rPr>
              <w:t>101.LAB**</w:t>
            </w:r>
          </w:p>
        </w:tc>
        <w:tc>
          <w:tcPr>
            <w:tcW w:w="934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540"/>
        </w:trPr>
        <w:tc>
          <w:tcPr>
            <w:tcW w:w="2080" w:type="dxa"/>
            <w:vAlign w:val="bottom"/>
            <w:gridSpan w:val="2"/>
          </w:tcPr>
          <w:p>
            <w:pPr>
              <w:ind w:left="180"/>
              <w:spacing w:after="0"/>
              <w:rPr>
                <w:sz w:val="20"/>
                <w:szCs w:val="20"/>
                <w:color w:val="auto"/>
              </w:rPr>
            </w:pPr>
            <w:r>
              <w:rPr>
                <w:rFonts w:ascii="Arial" w:cs="Arial" w:eastAsia="Arial" w:hAnsi="Arial"/>
                <w:sz w:val="18"/>
                <w:szCs w:val="18"/>
                <w:color w:val="auto"/>
              </w:rPr>
              <w:t>101.PRE**</w:t>
            </w:r>
          </w:p>
        </w:tc>
        <w:tc>
          <w:tcPr>
            <w:tcW w:w="934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594"/>
        </w:trPr>
        <w:tc>
          <w:tcPr>
            <w:tcW w:w="2080" w:type="dxa"/>
            <w:vAlign w:val="bottom"/>
            <w:gridSpan w:val="2"/>
          </w:tcPr>
          <w:p>
            <w:pPr>
              <w:ind w:left="400"/>
              <w:spacing w:after="0"/>
              <w:rPr>
                <w:sz w:val="20"/>
                <w:szCs w:val="20"/>
                <w:color w:val="auto"/>
              </w:rPr>
            </w:pPr>
            <w:r>
              <w:rPr>
                <w:rFonts w:ascii="Arial" w:cs="Arial" w:eastAsia="Arial" w:hAnsi="Arial"/>
                <w:sz w:val="18"/>
                <w:szCs w:val="18"/>
                <w:color w:val="auto"/>
              </w:rPr>
              <w:t>101 DEF**</w:t>
            </w:r>
          </w:p>
        </w:tc>
        <w:tc>
          <w:tcPr>
            <w:tcW w:w="934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459"/>
        </w:trPr>
        <w:tc>
          <w:tcPr>
            <w:tcW w:w="2080" w:type="dxa"/>
            <w:vAlign w:val="bottom"/>
            <w:gridSpan w:val="2"/>
          </w:tcPr>
          <w:p>
            <w:pPr>
              <w:spacing w:after="0"/>
              <w:rPr>
                <w:sz w:val="20"/>
                <w:szCs w:val="20"/>
                <w:color w:val="auto"/>
              </w:rPr>
            </w:pPr>
            <w:r>
              <w:rPr>
                <w:rFonts w:ascii="Arial" w:cs="Arial" w:eastAsia="Arial" w:hAnsi="Arial"/>
                <w:sz w:val="18"/>
                <w:szCs w:val="18"/>
                <w:color w:val="auto"/>
              </w:rPr>
              <w:t>** Filed herewith.</w:t>
            </w:r>
          </w:p>
        </w:tc>
        <w:tc>
          <w:tcPr>
            <w:tcW w:w="9340" w:type="dxa"/>
            <w:vAlign w:val="bottom"/>
          </w:tcPr>
          <w:p>
            <w:pPr>
              <w:spacing w:after="0"/>
              <w:rPr>
                <w:sz w:val="24"/>
                <w:szCs w:val="24"/>
                <w:color w:val="auto"/>
              </w:rPr>
            </w:pPr>
          </w:p>
        </w:tc>
      </w:tr>
    </w:tbl>
    <w:p>
      <w:pPr>
        <w:spacing w:after="0" w:line="202" w:lineRule="exact"/>
        <w:rPr>
          <w:sz w:val="20"/>
          <w:szCs w:val="20"/>
          <w:color w:val="auto"/>
        </w:rPr>
      </w:pPr>
    </w:p>
    <w:p>
      <w:pPr>
        <w:ind w:right="440" w:firstLine="8"/>
        <w:spacing w:after="0" w:line="277" w:lineRule="auto"/>
        <w:tabs>
          <w:tab w:leader="none" w:pos="1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Confidential treatment has been requested as to certain portions thereto, which portions are omitted and will be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Dominick C. Colangelo, certify that:</w:t>
      </w:r>
    </w:p>
    <w:p>
      <w:pPr>
        <w:spacing w:after="0" w:line="225" w:lineRule="exact"/>
        <w:rPr>
          <w:sz w:val="20"/>
          <w:szCs w:val="20"/>
          <w:color w:val="auto"/>
        </w:rPr>
      </w:pPr>
    </w:p>
    <w:p>
      <w:pPr>
        <w:ind w:left="820" w:hanging="488"/>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Vericel Corporation;</w:t>
      </w:r>
    </w:p>
    <w:p>
      <w:pPr>
        <w:spacing w:after="0" w:line="265" w:lineRule="exact"/>
        <w:rPr>
          <w:rFonts w:ascii="Arial" w:cs="Arial" w:eastAsia="Arial" w:hAnsi="Arial"/>
          <w:sz w:val="18"/>
          <w:szCs w:val="18"/>
          <w:color w:val="auto"/>
        </w:rPr>
      </w:pPr>
    </w:p>
    <w:p>
      <w:pPr>
        <w:ind w:right="120" w:firstLine="332"/>
        <w:spacing w:after="0" w:line="395" w:lineRule="auto"/>
        <w:tabs>
          <w:tab w:leader="none" w:pos="815"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100" w:firstLine="332"/>
        <w:spacing w:after="0" w:line="324" w:lineRule="auto"/>
        <w:tabs>
          <w:tab w:leader="none" w:pos="8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820" w:hanging="488"/>
        <w:spacing w:after="0"/>
        <w:tabs>
          <w:tab w:leader="none" w:pos="8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right="180" w:firstLine="1169"/>
        <w:spacing w:after="0" w:line="264" w:lineRule="auto"/>
        <w:tabs>
          <w:tab w:leader="none" w:pos="1406"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1169"/>
        <w:spacing w:after="0" w:line="264" w:lineRule="auto"/>
        <w:tabs>
          <w:tab w:leader="none" w:pos="1416"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00" w:firstLine="1169"/>
        <w:spacing w:after="0" w:line="308" w:lineRule="auto"/>
        <w:tabs>
          <w:tab w:leader="none" w:pos="1406"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260" w:firstLine="1169"/>
        <w:spacing w:after="0" w:line="264" w:lineRule="auto"/>
        <w:tabs>
          <w:tab w:leader="none" w:pos="1416"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332"/>
        <w:spacing w:after="0" w:line="357" w:lineRule="auto"/>
        <w:tabs>
          <w:tab w:leader="none" w:pos="81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520" w:firstLine="1169"/>
        <w:spacing w:after="0" w:line="308" w:lineRule="auto"/>
        <w:tabs>
          <w:tab w:leader="none" w:pos="1396"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00" w:firstLine="1169"/>
        <w:spacing w:after="0" w:line="277" w:lineRule="auto"/>
        <w:tabs>
          <w:tab w:leader="none" w:pos="1406"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Date: May 10, 2017</w:t>
      </w:r>
    </w:p>
    <w:p>
      <w:pPr>
        <w:spacing w:after="0" w:line="38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0"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Gerard Michel, certify that:</w:t>
      </w:r>
    </w:p>
    <w:p>
      <w:pPr>
        <w:spacing w:after="0" w:line="225" w:lineRule="exact"/>
        <w:rPr>
          <w:sz w:val="20"/>
          <w:szCs w:val="20"/>
          <w:color w:val="auto"/>
        </w:rPr>
      </w:pPr>
    </w:p>
    <w:p>
      <w:pPr>
        <w:ind w:left="820" w:hanging="488"/>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Vericel Corporation;</w:t>
      </w:r>
    </w:p>
    <w:p>
      <w:pPr>
        <w:spacing w:after="0" w:line="265" w:lineRule="exact"/>
        <w:rPr>
          <w:rFonts w:ascii="Arial" w:cs="Arial" w:eastAsia="Arial" w:hAnsi="Arial"/>
          <w:sz w:val="18"/>
          <w:szCs w:val="18"/>
          <w:color w:val="auto"/>
        </w:rPr>
      </w:pPr>
    </w:p>
    <w:p>
      <w:pPr>
        <w:ind w:right="120" w:firstLine="332"/>
        <w:spacing w:after="0" w:line="395" w:lineRule="auto"/>
        <w:tabs>
          <w:tab w:leader="none" w:pos="815"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100" w:firstLine="332"/>
        <w:spacing w:after="0" w:line="324"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820" w:hanging="488"/>
        <w:spacing w:after="0"/>
        <w:tabs>
          <w:tab w:leader="none" w:pos="8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right="40" w:firstLine="1102"/>
        <w:spacing w:after="0" w:line="264" w:lineRule="auto"/>
        <w:tabs>
          <w:tab w:leader="none" w:pos="133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1102"/>
        <w:spacing w:after="0" w:line="264" w:lineRule="auto"/>
        <w:tabs>
          <w:tab w:leader="none" w:pos="134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1102"/>
        <w:spacing w:after="0" w:line="308" w:lineRule="auto"/>
        <w:tabs>
          <w:tab w:leader="none" w:pos="1339"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40" w:firstLine="1102"/>
        <w:spacing w:after="0" w:line="264" w:lineRule="auto"/>
        <w:tabs>
          <w:tab w:leader="none" w:pos="134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332"/>
        <w:spacing w:after="0" w:line="357" w:lineRule="auto"/>
        <w:tabs>
          <w:tab w:leader="none" w:pos="81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600" w:firstLine="1102"/>
        <w:spacing w:after="0" w:line="308" w:lineRule="auto"/>
        <w:tabs>
          <w:tab w:leader="none" w:pos="1329"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80" w:firstLine="1102"/>
        <w:spacing w:after="0" w:line="277" w:lineRule="auto"/>
        <w:tabs>
          <w:tab w:leader="none" w:pos="1339"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Date: May 10, 2017</w:t>
      </w:r>
    </w:p>
    <w:p>
      <w:pPr>
        <w:spacing w:after="0" w:line="38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Gerard Michel</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Financial Officer and Vice President, Corporate Development</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580"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firstLine="351"/>
        <w:spacing w:after="0" w:line="264" w:lineRule="auto"/>
        <w:rPr>
          <w:sz w:val="20"/>
          <w:szCs w:val="20"/>
          <w:color w:val="auto"/>
        </w:rPr>
      </w:pPr>
      <w:r>
        <w:rPr>
          <w:rFonts w:ascii="Arial" w:cs="Arial" w:eastAsia="Arial" w:hAnsi="Arial"/>
          <w:sz w:val="18"/>
          <w:szCs w:val="18"/>
          <w:color w:val="auto"/>
        </w:rPr>
        <w:t>In connection with the Quarterly Report of Vericel Corporation (the “Company”) on Form 10-Q for the quarter ended March 31, 2017,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81" w:lineRule="exact"/>
        <w:rPr>
          <w:sz w:val="20"/>
          <w:szCs w:val="20"/>
          <w:color w:val="auto"/>
        </w:rPr>
      </w:pPr>
    </w:p>
    <w:p>
      <w:pPr>
        <w:ind w:left="700" w:hanging="368"/>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65" w:lineRule="exact"/>
        <w:rPr>
          <w:rFonts w:ascii="Arial" w:cs="Arial" w:eastAsia="Arial" w:hAnsi="Arial"/>
          <w:sz w:val="18"/>
          <w:szCs w:val="18"/>
          <w:color w:val="auto"/>
        </w:rPr>
      </w:pPr>
    </w:p>
    <w:p>
      <w:pPr>
        <w:ind w:right="280" w:firstLine="332"/>
        <w:spacing w:after="0" w:line="575" w:lineRule="auto"/>
        <w:tabs>
          <w:tab w:leader="none" w:pos="68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10, 2017</w:t>
      </w:r>
    </w:p>
    <w:p>
      <w:pPr>
        <w:spacing w:after="0" w:line="7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firstLine="351"/>
        <w:spacing w:after="0" w:line="264" w:lineRule="auto"/>
        <w:rPr>
          <w:sz w:val="20"/>
          <w:szCs w:val="20"/>
          <w:color w:val="auto"/>
        </w:rPr>
      </w:pPr>
      <w:r>
        <w:rPr>
          <w:rFonts w:ascii="Arial" w:cs="Arial" w:eastAsia="Arial" w:hAnsi="Arial"/>
          <w:sz w:val="18"/>
          <w:szCs w:val="18"/>
          <w:color w:val="auto"/>
        </w:rPr>
        <w:t>In connection with the Quarterly Report of Vericel Corporation (the “Company”) on Form 10-Q for the quarter ended March 31, 2017,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81" w:lineRule="exact"/>
        <w:rPr>
          <w:sz w:val="20"/>
          <w:szCs w:val="20"/>
          <w:color w:val="auto"/>
        </w:rPr>
      </w:pPr>
    </w:p>
    <w:p>
      <w:pPr>
        <w:ind w:left="700" w:hanging="368"/>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65" w:lineRule="exact"/>
        <w:rPr>
          <w:rFonts w:ascii="Arial" w:cs="Arial" w:eastAsia="Arial" w:hAnsi="Arial"/>
          <w:sz w:val="18"/>
          <w:szCs w:val="18"/>
          <w:color w:val="auto"/>
        </w:rPr>
      </w:pPr>
    </w:p>
    <w:p>
      <w:pPr>
        <w:ind w:right="280" w:firstLine="332"/>
        <w:spacing w:after="0" w:line="575" w:lineRule="auto"/>
        <w:tabs>
          <w:tab w:leader="none" w:pos="68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10, 2017</w:t>
      </w:r>
    </w:p>
    <w:p>
      <w:pPr>
        <w:spacing w:after="0" w:line="7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Gerard Michel</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Financial Officer and Vice President, Corporate Development</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Financial Officer)</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x"/>
      <w:numFmt w:val="bullet"/>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2"/>
    </w:lvl>
  </w:abstractNum>
  <w:abstractNum w:abstractNumId="3">
    <w:nsid w:val="3352255A"/>
    <w:multiLevelType w:val="hybridMultilevel"/>
    <w:lvl w:ilvl="0">
      <w:lvlJc w:val="left"/>
      <w:lvlText w:val="%1."/>
      <w:numFmt w:val="decimal"/>
      <w:start w:val="3"/>
    </w:lvl>
  </w:abstractNum>
  <w:abstractNum w:abstractNumId="4">
    <w:nsid w:val="109CF92E"/>
    <w:multiLevelType w:val="hybridMultilevel"/>
    <w:lvl w:ilvl="0">
      <w:lvlJc w:val="left"/>
      <w:lvlText w:val="%1."/>
      <w:numFmt w:val="decimal"/>
      <w:start w:val="6"/>
    </w:lvl>
  </w:abstractNum>
  <w:abstractNum w:abstractNumId="5">
    <w:nsid w:val="DED7263"/>
    <w:multiLevelType w:val="hybridMultilevel"/>
    <w:lvl w:ilvl="0">
      <w:lvlJc w:val="left"/>
      <w:lvlText w:val="%1."/>
      <w:numFmt w:val="decimal"/>
      <w:start w:val="7"/>
    </w:lvl>
  </w:abstractNum>
  <w:abstractNum w:abstractNumId="6">
    <w:nsid w:val="7FDCC233"/>
    <w:multiLevelType w:val="hybridMultilevel"/>
    <w:lvl w:ilvl="0">
      <w:lvlJc w:val="left"/>
      <w:lvlText w:val="%1."/>
      <w:numFmt w:val="decimal"/>
      <w:start w:val="7"/>
    </w:lvl>
  </w:abstractNum>
  <w:abstractNum w:abstractNumId="7">
    <w:nsid w:val="1BEFD79F"/>
    <w:multiLevelType w:val="hybridMultilevel"/>
    <w:lvl w:ilvl="0">
      <w:lvlJc w:val="left"/>
      <w:lvlText w:val="%1."/>
      <w:numFmt w:val="decimal"/>
      <w:start w:val="8"/>
    </w:lvl>
  </w:abstractNum>
  <w:abstractNum w:abstractNumId="8">
    <w:nsid w:val="41A7C4C9"/>
    <w:multiLevelType w:val="hybridMultilevel"/>
    <w:lvl w:ilvl="0">
      <w:lvlJc w:val="left"/>
      <w:lvlText w:val="%1."/>
      <w:numFmt w:val="decimal"/>
      <w:start w:val="9"/>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1"/>
    </w:lvl>
    <w:lvl w:ilvl="1">
      <w:lvlJc w:val="left"/>
      <w:lvlText w:val="(%2)"/>
      <w:numFmt w:val="lowerLetter"/>
      <w:start w:val="1"/>
    </w:lvl>
  </w:abstractNum>
  <w:abstractNum w:abstractNumId="16">
    <w:nsid w:val="257130A3"/>
    <w:multiLevelType w:val="hybridMultilevel"/>
    <w:lvl w:ilvl="0">
      <w:lvlJc w:val="left"/>
      <w:lvlText w:val="%1."/>
      <w:numFmt w:val="decimal"/>
      <w:start w:val="5"/>
    </w:lvl>
    <w:lvl w:ilvl="1">
      <w:lvlJc w:val="left"/>
      <w:lvlText w:val="(%2)"/>
      <w:numFmt w:val="lowerLetter"/>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5"/>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2019-12-29T05:46:47Z</dcterms:created>
  <dcterms:modified xsi:type="dcterms:W3CDTF">2019-12-29T05:46:47Z</dcterms:modified>
</cp:coreProperties>
</file>