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jc w:val="center"/>
        <w:spacing w:after="0" w:line="206" w:lineRule="auto"/>
        <w:rPr>
          <w:sz w:val="20"/>
          <w:szCs w:val="20"/>
          <w:color w:val="auto"/>
        </w:rPr>
      </w:pPr>
      <w:r>
        <w:rPr>
          <w:rFonts w:ascii="Arial" w:cs="Arial" w:eastAsia="Arial" w:hAnsi="Arial"/>
          <w:sz w:val="18"/>
          <w:szCs w:val="18"/>
          <w:b w:val="1"/>
          <w:bCs w:val="1"/>
          <w:color w:val="auto"/>
        </w:rPr>
        <w:t>or</w:t>
      </w:r>
    </w:p>
    <w:p>
      <w:pPr>
        <w:ind w:left="400" w:hanging="361"/>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20" w:type="dxa"/>
            <w:vAlign w:val="bottom"/>
            <w:gridSpan w:val="3"/>
          </w:tcPr>
          <w:p>
            <w:pPr>
              <w:ind w:left="280"/>
              <w:spacing w:after="0"/>
              <w:rPr>
                <w:sz w:val="20"/>
                <w:szCs w:val="20"/>
                <w:color w:val="auto"/>
              </w:rPr>
            </w:pPr>
            <w:r>
              <w:rPr>
                <w:rFonts w:ascii="Arial" w:cs="Arial" w:eastAsia="Arial" w:hAnsi="Arial"/>
                <w:sz w:val="18"/>
                <w:szCs w:val="18"/>
                <w:b w:val="1"/>
                <w:bCs w:val="1"/>
                <w:color w:val="auto"/>
              </w:rPr>
              <w:t>Commission File Number 001-35280</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7840" w:type="dxa"/>
            <w:vAlign w:val="bottom"/>
            <w:gridSpan w:val="4"/>
          </w:tcPr>
          <w:p>
            <w:pPr>
              <w:jc w:val="center"/>
              <w:ind w:left="3514"/>
              <w:spacing w:after="0"/>
              <w:rPr>
                <w:sz w:val="20"/>
                <w:szCs w:val="20"/>
                <w:color w:val="auto"/>
              </w:rPr>
            </w:pPr>
            <w:r>
              <w:rPr>
                <w:rFonts w:ascii="Arial" w:cs="Arial" w:eastAsia="Arial" w:hAnsi="Arial"/>
                <w:sz w:val="32"/>
                <w:szCs w:val="32"/>
                <w:b w:val="1"/>
                <w:bCs w:val="1"/>
                <w:color w:val="auto"/>
              </w:rPr>
              <w:t>VERICEL CORPORATION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3620" w:type="dxa"/>
            <w:vAlign w:val="bottom"/>
            <w:gridSpan w:val="3"/>
          </w:tcPr>
          <w:p>
            <w:pPr>
              <w:jc w:val="center"/>
              <w:ind w:right="568"/>
              <w:spacing w:after="0"/>
              <w:rPr>
                <w:sz w:val="20"/>
                <w:szCs w:val="20"/>
                <w:color w:val="auto"/>
              </w:rPr>
            </w:pPr>
            <w:r>
              <w:rPr>
                <w:rFonts w:ascii="Arial" w:cs="Arial" w:eastAsia="Arial" w:hAnsi="Arial"/>
                <w:sz w:val="14"/>
                <w:szCs w:val="14"/>
                <w:color w:val="auto"/>
                <w:w w:val="93"/>
              </w:rPr>
              <w:t>(Exact name of registrant as specified in its charter)</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220" w:type="dxa"/>
            <w:vAlign w:val="bottom"/>
            <w:vMerge w:val="restart"/>
          </w:tcPr>
          <w:p>
            <w:pPr>
              <w:jc w:val="center"/>
              <w:ind w:left="714"/>
              <w:spacing w:after="0"/>
              <w:rPr>
                <w:sz w:val="20"/>
                <w:szCs w:val="20"/>
                <w:color w:val="auto"/>
              </w:rPr>
            </w:pPr>
            <w:r>
              <w:rPr>
                <w:rFonts w:ascii="Arial" w:cs="Arial" w:eastAsia="Arial" w:hAnsi="Arial"/>
                <w:sz w:val="14"/>
                <w:szCs w:val="14"/>
                <w:b w:val="1"/>
                <w:bCs w:val="1"/>
                <w:color w:val="auto"/>
                <w:w w:val="95"/>
              </w:rPr>
              <w:t>Michigan</w:t>
            </w:r>
          </w:p>
        </w:tc>
        <w:tc>
          <w:tcPr>
            <w:tcW w:w="48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3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94-3096597</w:t>
            </w:r>
          </w:p>
        </w:tc>
        <w:tc>
          <w:tcPr>
            <w:tcW w:w="0" w:type="dxa"/>
            <w:vAlign w:val="bottom"/>
          </w:tcPr>
          <w:p>
            <w:pPr>
              <w:spacing w:after="0"/>
              <w:rPr>
                <w:sz w:val="1"/>
                <w:szCs w:val="1"/>
                <w:color w:val="auto"/>
              </w:rPr>
            </w:pPr>
          </w:p>
        </w:tc>
      </w:tr>
      <w:tr>
        <w:trPr>
          <w:trHeight w:val="326"/>
        </w:trPr>
        <w:tc>
          <w:tcPr>
            <w:tcW w:w="4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jc w:val="center"/>
              <w:ind w:left="69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680" w:type="dxa"/>
            <w:vAlign w:val="bottom"/>
            <w:gridSpan w:val="2"/>
          </w:tcPr>
          <w:p>
            <w:pPr>
              <w:ind w:left="540"/>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69"/>
        </w:trPr>
        <w:tc>
          <w:tcPr>
            <w:tcW w:w="4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40" w:type="dxa"/>
            <w:vAlign w:val="bottom"/>
            <w:gridSpan w:val="2"/>
          </w:tcPr>
          <w:p>
            <w:pPr>
              <w:jc w:val="center"/>
              <w:ind w:right="1028"/>
              <w:spacing w:after="0"/>
              <w:rPr>
                <w:sz w:val="20"/>
                <w:szCs w:val="20"/>
                <w:color w:val="auto"/>
              </w:rPr>
            </w:pPr>
            <w:r>
              <w:rPr>
                <w:rFonts w:ascii="Arial" w:cs="Arial" w:eastAsia="Arial" w:hAnsi="Arial"/>
                <w:sz w:val="18"/>
                <w:szCs w:val="18"/>
                <w:b w:val="1"/>
                <w:bCs w:val="1"/>
                <w:color w:val="auto"/>
                <w:w w:val="88"/>
              </w:rPr>
              <w:t>64 Sidney Street</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40" w:type="dxa"/>
            <w:vAlign w:val="bottom"/>
            <w:gridSpan w:val="2"/>
          </w:tcPr>
          <w:p>
            <w:pPr>
              <w:jc w:val="center"/>
              <w:ind w:right="1028"/>
              <w:spacing w:after="0" w:line="176" w:lineRule="exact"/>
              <w:rPr>
                <w:sz w:val="20"/>
                <w:szCs w:val="20"/>
                <w:color w:val="auto"/>
              </w:rPr>
            </w:pPr>
            <w:r>
              <w:rPr>
                <w:rFonts w:ascii="Arial" w:cs="Arial" w:eastAsia="Arial" w:hAnsi="Arial"/>
                <w:sz w:val="18"/>
                <w:szCs w:val="18"/>
                <w:b w:val="1"/>
                <w:bCs w:val="1"/>
                <w:color w:val="auto"/>
                <w:w w:val="94"/>
              </w:rPr>
              <w:t>Cambridge, MA 02139</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40" w:type="dxa"/>
            <w:vAlign w:val="bottom"/>
            <w:gridSpan w:val="4"/>
          </w:tcPr>
          <w:p>
            <w:pPr>
              <w:jc w:val="center"/>
              <w:ind w:left="3454"/>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840" w:type="dxa"/>
            <w:vAlign w:val="bottom"/>
            <w:gridSpan w:val="4"/>
          </w:tcPr>
          <w:p>
            <w:pPr>
              <w:jc w:val="center"/>
              <w:ind w:left="3474"/>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(800) 556-0311</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700" w:type="dxa"/>
            <w:vAlign w:val="bottom"/>
            <w:gridSpan w:val="2"/>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840" w:type="dxa"/>
            <w:vAlign w:val="bottom"/>
            <w:gridSpan w:val="4"/>
          </w:tcPr>
          <w:p>
            <w:pPr>
              <w:jc w:val="center"/>
              <w:ind w:left="3514"/>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220" w:type="dxa"/>
            <w:vAlign w:val="bottom"/>
          </w:tcPr>
          <w:p>
            <w:pPr>
              <w:jc w:val="center"/>
              <w:ind w:right="234"/>
              <w:spacing w:after="0"/>
              <w:rPr>
                <w:sz w:val="20"/>
                <w:szCs w:val="20"/>
                <w:color w:val="auto"/>
              </w:rPr>
            </w:pPr>
            <w:r>
              <w:rPr>
                <w:rFonts w:ascii="Arial" w:cs="Arial" w:eastAsia="Arial" w:hAnsi="Arial"/>
                <w:sz w:val="16"/>
                <w:szCs w:val="16"/>
                <w:b w:val="1"/>
                <w:bCs w:val="1"/>
                <w:color w:val="auto"/>
                <w:w w:val="90"/>
              </w:rPr>
              <w:t>Title of Class</w:t>
            </w:r>
          </w:p>
        </w:tc>
        <w:tc>
          <w:tcPr>
            <w:tcW w:w="480" w:type="dxa"/>
            <w:vAlign w:val="bottom"/>
          </w:tcPr>
          <w:p>
            <w:pPr>
              <w:spacing w:after="0"/>
              <w:rPr>
                <w:sz w:val="24"/>
                <w:szCs w:val="24"/>
                <w:color w:val="auto"/>
              </w:rPr>
            </w:pPr>
          </w:p>
        </w:tc>
        <w:tc>
          <w:tcPr>
            <w:tcW w:w="3140" w:type="dxa"/>
            <w:vAlign w:val="bottom"/>
            <w:gridSpan w:val="2"/>
          </w:tcPr>
          <w:p>
            <w:pPr>
              <w:jc w:val="center"/>
              <w:ind w:right="908"/>
              <w:spacing w:after="0"/>
              <w:rPr>
                <w:sz w:val="20"/>
                <w:szCs w:val="20"/>
                <w:color w:val="auto"/>
              </w:rPr>
            </w:pPr>
            <w:r>
              <w:rPr>
                <w:rFonts w:ascii="Arial" w:cs="Arial" w:eastAsia="Arial" w:hAnsi="Arial"/>
                <w:sz w:val="16"/>
                <w:szCs w:val="16"/>
                <w:b w:val="1"/>
                <w:bCs w:val="1"/>
                <w:color w:val="auto"/>
                <w:w w:val="91"/>
              </w:rPr>
              <w:t>Trading Symbol(s)</w:t>
            </w:r>
          </w:p>
        </w:tc>
        <w:tc>
          <w:tcPr>
            <w:tcW w:w="3580" w:type="dxa"/>
            <w:vAlign w:val="bottom"/>
          </w:tcPr>
          <w:p>
            <w:pPr>
              <w:ind w:left="120"/>
              <w:spacing w:after="0"/>
              <w:rPr>
                <w:sz w:val="20"/>
                <w:szCs w:val="20"/>
                <w:color w:val="auto"/>
              </w:rPr>
            </w:pPr>
            <w:r>
              <w:rPr>
                <w:rFonts w:ascii="Arial" w:cs="Arial" w:eastAsia="Arial" w:hAnsi="Arial"/>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20" w:type="dxa"/>
            <w:vAlign w:val="bottom"/>
          </w:tcPr>
          <w:p>
            <w:pPr>
              <w:jc w:val="center"/>
              <w:ind w:right="214"/>
              <w:spacing w:after="0"/>
              <w:rPr>
                <w:sz w:val="20"/>
                <w:szCs w:val="20"/>
                <w:color w:val="auto"/>
              </w:rPr>
            </w:pPr>
            <w:r>
              <w:rPr>
                <w:rFonts w:ascii="Arial" w:cs="Arial" w:eastAsia="Arial" w:hAnsi="Arial"/>
                <w:sz w:val="16"/>
                <w:szCs w:val="16"/>
                <w:color w:val="auto"/>
                <w:w w:val="92"/>
              </w:rPr>
              <w:t>Common Stock (No par value)</w:t>
            </w:r>
          </w:p>
        </w:tc>
        <w:tc>
          <w:tcPr>
            <w:tcW w:w="480" w:type="dxa"/>
            <w:vAlign w:val="bottom"/>
          </w:tcPr>
          <w:p>
            <w:pPr>
              <w:spacing w:after="0"/>
              <w:rPr>
                <w:sz w:val="18"/>
                <w:szCs w:val="18"/>
                <w:color w:val="auto"/>
              </w:rPr>
            </w:pPr>
          </w:p>
        </w:tc>
        <w:tc>
          <w:tcPr>
            <w:tcW w:w="3140" w:type="dxa"/>
            <w:vAlign w:val="bottom"/>
            <w:gridSpan w:val="2"/>
          </w:tcPr>
          <w:p>
            <w:pPr>
              <w:jc w:val="center"/>
              <w:ind w:right="908"/>
              <w:spacing w:after="0"/>
              <w:rPr>
                <w:sz w:val="20"/>
                <w:szCs w:val="20"/>
                <w:color w:val="auto"/>
              </w:rPr>
            </w:pPr>
            <w:r>
              <w:rPr>
                <w:rFonts w:ascii="Arial" w:cs="Arial" w:eastAsia="Arial" w:hAnsi="Arial"/>
                <w:sz w:val="16"/>
                <w:szCs w:val="16"/>
                <w:color w:val="auto"/>
              </w:rPr>
              <w:t>VCEL</w:t>
            </w:r>
          </w:p>
        </w:tc>
        <w:tc>
          <w:tcPr>
            <w:tcW w:w="3580" w:type="dxa"/>
            <w:vAlign w:val="bottom"/>
          </w:tcPr>
          <w:p>
            <w:pPr>
              <w:ind w:left="1360"/>
              <w:spacing w:after="0"/>
              <w:rPr>
                <w:sz w:val="20"/>
                <w:szCs w:val="20"/>
                <w:color w:val="auto"/>
              </w:rPr>
            </w:pPr>
            <w:r>
              <w:rPr>
                <w:rFonts w:ascii="Arial" w:cs="Arial" w:eastAsia="Arial" w:hAnsi="Arial"/>
                <w:sz w:val="16"/>
                <w:szCs w:val="16"/>
                <w:color w:val="auto"/>
              </w:rPr>
              <w:t>NASDAQ</w:t>
            </w:r>
          </w:p>
        </w:tc>
        <w:tc>
          <w:tcPr>
            <w:tcW w:w="0" w:type="dxa"/>
            <w:vAlign w:val="bottom"/>
          </w:tcPr>
          <w:p>
            <w:pPr>
              <w:spacing w:after="0"/>
              <w:rPr>
                <w:sz w:val="1"/>
                <w:szCs w:val="1"/>
                <w:color w:val="auto"/>
              </w:rPr>
            </w:pPr>
          </w:p>
        </w:tc>
      </w:tr>
    </w:tbl>
    <w:p>
      <w:pPr>
        <w:spacing w:after="0" w:line="19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p>
    <w:p>
      <w:pPr>
        <w:spacing w:after="0" w:line="113"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1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16" w:lineRule="exact"/>
        <w:rPr>
          <w:sz w:val="24"/>
          <w:szCs w:val="24"/>
          <w:color w:val="auto"/>
        </w:rPr>
      </w:pPr>
    </w:p>
    <w:p>
      <w:pPr>
        <w:ind w:right="80" w:firstLine="324"/>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01" w:lineRule="exact"/>
        <w:rPr>
          <w:sz w:val="24"/>
          <w:szCs w:val="24"/>
          <w:color w:val="auto"/>
        </w:rPr>
      </w:pPr>
    </w:p>
    <w:p>
      <w:pPr>
        <w:jc w:val="both"/>
        <w:ind w:right="300" w:firstLine="243"/>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1500" w:type="dxa"/>
        <w:tblCellMar>
          <w:top w:w="0" w:type="dxa"/>
          <w:left w:w="0" w:type="dxa"/>
          <w:bottom w:w="0" w:type="dxa"/>
          <w:right w:w="0" w:type="dxa"/>
        </w:tblCellMar>
      </w:tblPr>
      <w:tr>
        <w:trPr>
          <w:trHeight w:val="226"/>
        </w:trPr>
        <w:tc>
          <w:tcPr>
            <w:tcW w:w="2140" w:type="dxa"/>
            <w:vAlign w:val="bottom"/>
          </w:tcPr>
          <w:p>
            <w:pPr>
              <w:jc w:val="center"/>
              <w:ind w:right="768"/>
              <w:spacing w:after="0"/>
              <w:rPr>
                <w:sz w:val="20"/>
                <w:szCs w:val="20"/>
                <w:color w:val="auto"/>
              </w:rPr>
            </w:pPr>
            <w:r>
              <w:rPr>
                <w:rFonts w:ascii="Arial" w:cs="Arial" w:eastAsia="Arial" w:hAnsi="Arial"/>
                <w:sz w:val="14"/>
                <w:szCs w:val="14"/>
                <w:color w:val="auto"/>
                <w:w w:val="93"/>
              </w:rPr>
              <w:t>Large accelerated filer</w:t>
            </w:r>
          </w:p>
        </w:tc>
        <w:tc>
          <w:tcPr>
            <w:tcW w:w="14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258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40" w:type="dxa"/>
            <w:vAlign w:val="bottom"/>
          </w:tcPr>
          <w:p>
            <w:pPr>
              <w:jc w:val="center"/>
              <w:ind w:right="768"/>
              <w:spacing w:after="0"/>
              <w:rPr>
                <w:sz w:val="20"/>
                <w:szCs w:val="20"/>
                <w:color w:val="auto"/>
              </w:rPr>
            </w:pPr>
            <w:r>
              <w:rPr>
                <w:rFonts w:ascii="Arial" w:cs="Arial" w:eastAsia="Arial" w:hAnsi="Arial"/>
                <w:sz w:val="14"/>
                <w:szCs w:val="14"/>
                <w:color w:val="auto"/>
                <w:w w:val="94"/>
              </w:rPr>
              <w:t>Non-accelerated filer</w:t>
            </w:r>
          </w:p>
        </w:tc>
        <w:tc>
          <w:tcPr>
            <w:tcW w:w="14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258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6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0"/>
        </w:trPr>
        <w:tc>
          <w:tcPr>
            <w:tcW w:w="2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580" w:type="dxa"/>
            <w:vAlign w:val="bottom"/>
          </w:tcPr>
          <w:p>
            <w:pPr>
              <w:jc w:val="center"/>
              <w:spacing w:after="0"/>
              <w:rPr>
                <w:sz w:val="20"/>
                <w:szCs w:val="20"/>
                <w:color w:val="auto"/>
              </w:rPr>
            </w:pPr>
            <w:r>
              <w:rPr>
                <w:rFonts w:ascii="Arial" w:cs="Arial" w:eastAsia="Arial" w:hAnsi="Arial"/>
                <w:sz w:val="14"/>
                <w:szCs w:val="14"/>
                <w:color w:val="auto"/>
                <w:w w:val="93"/>
              </w:rPr>
              <w:t>Emerging growth company</w:t>
            </w:r>
          </w:p>
        </w:tc>
        <w:tc>
          <w:tcPr>
            <w:tcW w:w="6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44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300" w:firstLine="324"/>
        <w:spacing w:after="0" w:line="241" w:lineRule="auto"/>
        <w:rPr>
          <w:sz w:val="20"/>
          <w:szCs w:val="20"/>
          <w:color w:val="auto"/>
        </w:rPr>
      </w:pPr>
      <w:r>
        <w:rPr>
          <w:rFonts w:ascii="Arial" w:cs="Arial" w:eastAsia="Arial" w:hAnsi="Arial"/>
          <w:sz w:val="15"/>
          <w:szCs w:val="15"/>
          <w:color w:val="auto"/>
        </w:rPr>
        <w:t>The aggregate market value of the registrant’s Common Stock, no par value per share (“Common Stock”), held by non-affiliates of the registrant (based on the closing sales price of the Common Stock as reported on the NASDAQ Capital Market) on June 30, 2019 was approximately $827,617,275.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February 21, 2020, 44,945,133 shares of Common Stock, no par value per share, were outstanding.</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Borders>
              <w:bottom w:val="single" w:sz="8" w:color="auto"/>
            </w:tcBorders>
          </w:tcPr>
          <w:p>
            <w:pPr>
              <w:ind w:left="3140"/>
              <w:spacing w:after="0"/>
              <w:rPr>
                <w:sz w:val="20"/>
                <w:szCs w:val="20"/>
                <w:color w:val="auto"/>
              </w:rPr>
            </w:pPr>
            <w:r>
              <w:rPr>
                <w:rFonts w:ascii="Arial" w:cs="Arial" w:eastAsia="Arial" w:hAnsi="Arial"/>
                <w:sz w:val="13"/>
                <w:szCs w:val="13"/>
                <w:b w:val="1"/>
                <w:bCs w:val="1"/>
                <w:color w:val="auto"/>
              </w:rPr>
              <w:t>Document</w:t>
            </w:r>
          </w:p>
        </w:tc>
        <w:tc>
          <w:tcPr>
            <w:tcW w:w="420" w:type="dxa"/>
            <w:vAlign w:val="bottom"/>
          </w:tcPr>
          <w:p>
            <w:pPr>
              <w:spacing w:after="0"/>
              <w:rPr>
                <w:sz w:val="15"/>
                <w:szCs w:val="15"/>
                <w:color w:val="auto"/>
              </w:rPr>
            </w:pPr>
          </w:p>
        </w:tc>
        <w:tc>
          <w:tcPr>
            <w:tcW w:w="324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Form 10-K Reference</w:t>
            </w:r>
          </w:p>
        </w:tc>
        <w:tc>
          <w:tcPr>
            <w:tcW w:w="940" w:type="dxa"/>
            <w:vAlign w:val="bottom"/>
          </w:tcPr>
          <w:p>
            <w:pPr>
              <w:spacing w:after="0"/>
              <w:rPr>
                <w:sz w:val="15"/>
                <w:szCs w:val="15"/>
                <w:color w:val="auto"/>
              </w:rPr>
            </w:pPr>
          </w:p>
        </w:tc>
      </w:tr>
      <w:tr>
        <w:trPr>
          <w:trHeight w:val="191"/>
        </w:trPr>
        <w:tc>
          <w:tcPr>
            <w:tcW w:w="7240" w:type="dxa"/>
            <w:vAlign w:val="bottom"/>
            <w:gridSpan w:val="2"/>
          </w:tcPr>
          <w:p>
            <w:pPr>
              <w:ind w:left="40"/>
              <w:spacing w:after="0"/>
              <w:rPr>
                <w:sz w:val="20"/>
                <w:szCs w:val="20"/>
                <w:color w:val="auto"/>
              </w:rPr>
            </w:pPr>
            <w:r>
              <w:rPr>
                <w:rFonts w:ascii="Arial" w:cs="Arial" w:eastAsia="Arial" w:hAnsi="Arial"/>
                <w:sz w:val="14"/>
                <w:szCs w:val="14"/>
                <w:color w:val="auto"/>
              </w:rPr>
              <w:t>Proxy Statement for the Annual Meeting of Shareholders scheduled for April 29, 2020</w:t>
            </w:r>
          </w:p>
        </w:tc>
        <w:tc>
          <w:tcPr>
            <w:tcW w:w="3240" w:type="dxa"/>
            <w:vAlign w:val="bottom"/>
          </w:tcPr>
          <w:p>
            <w:pPr>
              <w:ind w:left="20"/>
              <w:spacing w:after="0"/>
              <w:rPr>
                <w:sz w:val="20"/>
                <w:szCs w:val="20"/>
                <w:color w:val="auto"/>
              </w:rPr>
            </w:pPr>
            <w:r>
              <w:rPr>
                <w:rFonts w:ascii="Arial" w:cs="Arial" w:eastAsia="Arial" w:hAnsi="Arial"/>
                <w:sz w:val="14"/>
                <w:szCs w:val="14"/>
                <w:color w:val="auto"/>
              </w:rPr>
              <w:t>Items 10, 11, 12, 13 and 14 of Part III</w:t>
            </w:r>
          </w:p>
        </w:tc>
        <w:tc>
          <w:tcPr>
            <w:tcW w:w="940" w:type="dxa"/>
            <w:vAlign w:val="bottom"/>
          </w:tcPr>
          <w:p>
            <w:pPr>
              <w:spacing w:after="0"/>
              <w:rPr>
                <w:sz w:val="16"/>
                <w:szCs w:val="16"/>
                <w:color w:val="auto"/>
              </w:rPr>
            </w:pPr>
          </w:p>
        </w:tc>
      </w:tr>
      <w:tr>
        <w:trPr>
          <w:trHeight w:val="330"/>
        </w:trPr>
        <w:tc>
          <w:tcPr>
            <w:tcW w:w="6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9"/>
        </w:trPr>
        <w:tc>
          <w:tcPr>
            <w:tcW w:w="6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99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VERICEL CORPORATION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19"/>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9"/>
                <w:szCs w:val="19"/>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8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Unresolved Staff Comments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Market for Registrant’s Common Equity, Related Shareholder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c>
          <w:tcPr>
            <w:tcW w:w="294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Shareholder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732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Form 10-K Summary</w:t>
              </w:r>
            </w:hyperlink>
          </w:p>
        </w:tc>
        <w:tc>
          <w:tcPr>
            <w:tcW w:w="62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2"/>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Exhibit Index</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95">
              <w:r>
                <w:rPr>
                  <w:rFonts w:ascii="Arial" w:cs="Arial" w:eastAsia="Arial" w:hAnsi="Arial"/>
                  <w:sz w:val="18"/>
                  <w:szCs w:val="18"/>
                  <w:color w:val="0000EE"/>
                  <w:w w:val="85"/>
                </w:rPr>
                <w:t>Signatures</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553"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This Annual Report on Form 10-K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4" w:right="239" w:bottom="1440" w:gutter="0" w:footer="0" w:header="0"/>
        </w:sectPr>
      </w:pPr>
    </w:p>
    <w:bookmarkStart w:id="3" w:name="page4"/>
    <w:bookmarkEnd w:id="3"/>
    <w:p>
      <w:pPr>
        <w:jc w:val="both"/>
        <w:ind w:firstLine="243"/>
        <w:spacing w:after="0" w:line="255" w:lineRule="auto"/>
        <w:rPr>
          <w:sz w:val="20"/>
          <w:szCs w:val="20"/>
          <w:color w:val="auto"/>
        </w:rPr>
      </w:pPr>
      <w:r>
        <w:rPr>
          <w:rFonts w:ascii="Arial" w:cs="Arial" w:eastAsia="Arial" w:hAnsi="Arial"/>
          <w:sz w:val="18"/>
          <w:szCs w:val="18"/>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93"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i w:val="1"/>
          <w:iCs w:val="1"/>
          <w:color w:val="auto"/>
        </w:rPr>
        <w:t xml:space="preserve">We own various trademark registrations and applications, and unregistered trademarks, including Vericel Corporation, Epicel, MACI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Vericel Corporation is a leader in advanced cell therapies and specialty biologics for the sports medicine and severe burn care markets. We currently have two marketed advanced cell therapy products in the United States. MACI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U.S. Food and Drug Administration (FDA) on December 13, 2016. The first implantation of MACI occurred on January 31, 2017. At the end of the second quarter of 2017, we removed Carticel (autologous cultured chondrocytes), an earlier generation ACI product, from the market. We also market Epicel (cultured epidermal autografts), a permanent skin replacement Humanitarian Use Device (HUD) for the treatment of adult and pediatric patients with deep-dermal or full-thickness burns comprising greater than or equal to 30 percent of total body surface area (TBSA). As of May 6, 2019, we also hold an exclusive license for North American commercial rights to NexoBrid, a registration-stage biological orphan product manufactured by MediWound Ltd. (MediWound) for debridement of severe thermal burns.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objective is to become the leading developer in advanced therapies for the sports medicine and severe burn care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MACI revenue by increasing the number of surgeons implanting MACI and the average number of implants per surgeon;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Epicel revenue by expanding the number of burn centers consistently using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the marginal manufacturing costs for MACI and Epicel through increased volume;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 a Biologics License Application (BLA) for NexoBrid to the FDA midyear 2020 and, if approved, commercialize and market NexoBrid for burn patients requiring debridement;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positive operating income by keeping the growth in commercial expense lower than the growth in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364"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 xml:space="preserve">On May 30, 2014, we completed the acquisition of the Cell Therapy and Regenerative Medicine (CTRM) business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certain assets, including all of the outstanding equity interests of Genzyme Biosurgery ApS (now known as Vericel Denmark ApS), a wholly-owned subsidiary of Sanofi, and a portfolio of patents and patent applications of Sanofi and certain of its subsidiaries, and assumed certain liabilities for purposes of acquiring the portion of the CTRM business, which researched, developed, manufactured, marketed and sold Carticel, MACI and Epicel.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We also own Carticel which is no longer marketed in the U.S. In addition, we have entered into exclusive license and supply agreements with MediWound to commercialize NexoBrid in North America. NexoBrid, a topically-administered biological product that enzymatically removes nonviable burn tissue, or eschar, in patients with deep partial and full-thickness thermal burns,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Damage to cartilage in the knee can occur from acute or repetitive trauma from playing sports, exercising, work related physical demands,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66"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(a minimally invasive procedure that can be performed arthroscopically), osteochondral autografts for smaller cartilage injuries, osteochondral allografts, and autologous chondrocyte implantation (ACI). Allogeneic tissue-based products are also used to treat cartilage defects. These products, which are subject to human tissue regulation, include DeNovo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NT (Zimmer Biomet), Cartiform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(Arthrex) and Prochondrix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(Allosource). Products subject only to FDA human tissue regulations are not required to obtain a Biologics License prior to being marketed. Products, like MACI, which must meet the requirements for a Biologics License Application before being marketed, are required to demonstrate clinical efficacy equal or superior to a standard of care.</w:t>
      </w:r>
    </w:p>
    <w:p>
      <w:pPr>
        <w:spacing w:after="0" w:line="20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Biologics License Application (BLA) approval in 1997 and was marketed in the U.S. until the second quarter of 2017 at which time it was replaced by MACI. MACI was approved on December 13, 2016 by the FDA.</w:t>
      </w:r>
    </w:p>
    <w:p>
      <w:pPr>
        <w:spacing w:after="0" w:line="19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 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that lacks the durability and wear characteristics of hyaline cartilage. Since MACI is comprised of cells uniformly seeded on a collagen membrane, the surgery is simpler than with Carticel since that product was a cell suspension and required a membrane to be sutured in place to confine the cell suspension to the defect area. This allows the implantation of MACI through a smaller incision or mini arthrotomy for focal defects. MACI is simply trimmed to the size of the defect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in 2012. Analysis of this 144 patient study demonstrated at Week 104 a statistically significant greater improvement in the co-primary endpoint of pain and function for those patients treated with MACI compared to microfracture.</w:t>
      </w:r>
    </w:p>
    <w:p>
      <w:pPr>
        <w:spacing w:after="0" w:line="17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MACI became available in the EU in 2000 and Australia in 2002 prior to promulgation of regulations requiring marketing authorizations for cell therapies in Europe and Australia.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as of September 2014 primarily due to an unfavorable pricing environment. Lifting of the suspension would have required the registration of a new manufacturing facility in Europe prior to the five year renewal deadline of June 2018, which was not feasible. Consequently, the European manufacturing authorization for MACI expired by its terms at the end of June 2018. Sanofi had discontinued Australian operations and commercialization prior to our purchase of MACI.</w:t>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According to a 2018 external market study, approximately 750,000 patients undergo cartilage repair procedures of the knee, annually in the United States.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18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Initially, all patients undergo arthroscopy to confirm a cartilage defect. Approximately 80% of these patients have a chondroplasty only, with the balance also undergoing a microfracture procedure during this initial surgery. Approximately 10% of patients undergo a second surgery and receive either an osteochondral allografts or MACI. Although data shows that patients treated with microfracture do experience pain score improvement, generally only patients with Class 1 defects (i.e., the smallest defects) do not experience subsequent deterioration after 18 months following the procedure. Treatment with MACI provides an opportunity to replace the damaged cartilage in larger defects with a durable cartilage tissue.</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U.S., the physician target audience that repairs cartilage defects is partly comprised of a group of orthopedic surgeons who self-identify and/or have a formal specialty as sports medicine physicians. We believe this target audience is approximately 3,000 physicians. In order to more effectively engage this customer base, we expanded our sales force from 40 to 48 representatives in the second quarter of 2019. In addition to sports medicine physicians, there is a population of approximately 8,000 general orthopedic surgeons who treat cartilage injuries, although typically at a lower average volume relative to the sports medicine segment. In 2020 we plan to implement a further expansion to 76 representatives to enable the sales force to also call on approximately 2,000 of the general orthopedic surgeons.</w:t>
      </w:r>
    </w:p>
    <w:p>
      <w:pPr>
        <w:spacing w:after="0" w:line="193" w:lineRule="exact"/>
        <w:rPr>
          <w:sz w:val="20"/>
          <w:szCs w:val="20"/>
          <w:color w:val="auto"/>
        </w:rPr>
      </w:pPr>
    </w:p>
    <w:p>
      <w:pPr>
        <w:jc w:val="both"/>
        <w:ind w:firstLine="307"/>
        <w:spacing w:after="0" w:line="279" w:lineRule="auto"/>
        <w:rPr>
          <w:sz w:val="20"/>
          <w:szCs w:val="20"/>
          <w:color w:val="auto"/>
        </w:rPr>
      </w:pPr>
      <w:r>
        <w:rPr>
          <w:rFonts w:ascii="Arial" w:cs="Arial" w:eastAsia="Arial" w:hAnsi="Arial"/>
          <w:sz w:val="17"/>
          <w:szCs w:val="17"/>
          <w:color w:val="auto"/>
        </w:rPr>
        <w:t>In the year ended December 31, 2019, MACI generated net revenues of approximately $91.6 million. The volume of our MACI business has varied significantly by quarter due to several factors including insurance deductible limits and the time of year patients prefer to start rehabilitation. Over the last four years ACI (MACI and Carticel prior to its replacement) sales volumes from the first through the fourth quarter have on average represented 19% (16%-24% range), 23% (21%-25% range), 22% (20%-23% range) and 36% (32%-38% range) respectively, of total annual volumes.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The extent of the skin surface that the burn affects is usually referred to as a percent of TBSA. Epicel is currently the only FDA-approved autologous epidermal product available for large total surface area burns in both adult and pediatric patients. Currently, approximately 100 patients are treated with Epicel in the U.S. each year. In the year ended December 31, 2019, Epicel net revenues totaled $26.2 million.</w:t>
      </w:r>
    </w:p>
    <w:p>
      <w:pPr>
        <w:spacing w:after="0" w:line="1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Epicel is produced by isolating and expanding keratinocytes, which are the predominant cell type in the epidermis or outer layer of the skin, and which are originally obtained by taking of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6" w:name="page7"/>
    <w:bookmarkEnd w:id="6"/>
    <w:p>
      <w:pPr>
        <w:jc w:val="both"/>
        <w:ind w:firstLine="243"/>
        <w:spacing w:after="0" w:line="264" w:lineRule="auto"/>
        <w:rPr>
          <w:sz w:val="20"/>
          <w:szCs w:val="20"/>
          <w:color w:val="auto"/>
        </w:rPr>
      </w:pPr>
      <w:r>
        <w:rPr>
          <w:rFonts w:ascii="Arial" w:cs="Arial" w:eastAsia="Arial" w:hAnsi="Arial"/>
          <w:sz w:val="18"/>
          <w:szCs w:val="18"/>
          <w:color w:val="auto"/>
        </w:rPr>
        <w:t>Epicel is a cell-based product that is regulated by the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not more than 8,000 individuals annually in the United States.</w:t>
      </w:r>
    </w:p>
    <w:p>
      <w:pPr>
        <w:spacing w:after="0" w:line="18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February 18, 2016, the FDA approved our HDE supplement to revise the labeled indications of use for Epicel to specifically include pediatric patients. As a result of the change in the label to include use in pediatric patients, the FDA determined that Epicel met the eligibility criteria to be sold for profit, so long as the number of devices distributed in any calendar year does not exceed the annual distribution number (ADN). The ADN is defined as the number of devices reasonably needed to treat, diagnose or cure a population of 8,000 individuals per year in the United States. The FDA has determined that the ADN for Epicel is 360,400 devices. The holder of the HDE must immediately notify FDA if the number of devices distributed during a calendar year exceeds the ADN.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the standard care.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Each year in the U.S., more than 40,000 people are hospitalized for burns. Approximately 1,500 of these patients are treated for burns covering more than 30% of their TBSA, the labeled indication for Epicel. Currently, the mortality rate for this group is approximately 34%, partially due to the inability to close wounds due to the lack of healthy tissue from which to harvest autografts. Although age can vary, the typical Epicel patient is young and has suffered full thickness burns due to a wide variety of occupational, household or auto accidents. Many of the most severely burned patients are medivac transported to one of the 132 specialized burn centers across the U.S. While the average acute care hospital has less than 3 admissions for burns annually, these specialized burn centers average over 200 admissions per year.</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Relative to clinical need, we believe Epicel has been underutilized due to the lack of a consistent promotional effort prior to 2015. Since the acquisition of Epicel we have expanded our sales force from a single representative to ten representatives. We expect Epicel’s utility to continue to grow as commercial and medical efforts are appropriately dedicated to the product and the burn centers that use it to treat patients.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Due to the low incidence and sporadic nature of severe burns, Epicel revenue has inherent variability from quarter to quarter and does not exhibit significant seasonality. Over the past four years, a single quarter has ranged from as high as 34% to as low as 17% of annual revenue. Seasonal sales patterns and other variations related to our revenue recognition may cause significant fluctuations in our results of operations and cash flows.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a BLA currently is targeted for submission to the FDA midyear 2020. Pursuant to the terms of our license agreement with MediWound, MediWound will continue to conduct clinical activities described in the development plan to support the filing of a BLA with the United States FDA under the supervision of a Central Steering Committee comprised of members of each party.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dilated cardiomyopathy, or DCM.</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Ixmyelocel-T has been granted a U.S. Orphan Drug designation by the FDA for the treatment of DCM. We completed enrolling and treating patients in our Phase 2b ixCELL-DCM study in February 2015. On September 29, 2017, the FDA indicated that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cell-manufacturing facility is located in Cambridge, Massachusetts, and is used for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September 2017 we operated a centralized cell manufacturing facility in Ann Arbor, Michigan. The facility supported the final stage of the open label extension of the ixCELL-DCM clinical trial conducted in the United States and Canada. Upon completion of the trial, the Ann Arbor manufacturing facility was converted to office space since there are no plans to continue development of ixmyelocel-T.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their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success depends in part on our ability, and the ability of our future licensors, to obtain patent protection for our products and processes.</w:t>
      </w:r>
    </w:p>
    <w:p>
      <w:pPr>
        <w:spacing w:after="0" w:line="225" w:lineRule="exact"/>
        <w:rPr>
          <w:sz w:val="20"/>
          <w:szCs w:val="20"/>
          <w:color w:val="auto"/>
        </w:rPr>
      </w:pPr>
    </w:p>
    <w:p>
      <w:pPr>
        <w:jc w:val="both"/>
        <w:ind w:firstLine="350"/>
        <w:spacing w:after="0" w:line="269" w:lineRule="auto"/>
        <w:rPr>
          <w:sz w:val="20"/>
          <w:szCs w:val="20"/>
          <w:color w:val="auto"/>
        </w:rPr>
      </w:pPr>
      <w:r>
        <w:rPr>
          <w:rFonts w:ascii="Arial" w:cs="Arial" w:eastAsia="Arial" w:hAnsi="Arial"/>
          <w:sz w:val="17"/>
          <w:szCs w:val="17"/>
          <w:color w:val="auto"/>
        </w:rPr>
        <w:t>As part of the acquisition of the CTRM business from Sanofi, we acquired a multinational intellectual property estate. The intellectual property estate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determination of the presence of chondrocytes in cell cultures used to produce both MACI and Carticel, which are scheduled to expire October 2029 in the U.S. and in April 2028 abroad. We have one issued patent in the U.S. directed to a device related to MACI that is set to expire in November 2023, and one pending U.S. application and one pending European application as well. As a biologic, MACI is entitled to twelve years of data exclusivity until December 13, 2028, calculated from its date of approval. When these patents and data exclusivity expire, our opportunity to establish or maintain product revenue could be substantially reduced. In the future, we may also rely on certain licenses granted by third parties for certain patent rights, including for future product candidates, such as the license for North American commercial rights to NexoBrid. We will need to comply with the terms of such agreements in order to maintain our rights to such patents.</w:t>
      </w:r>
    </w:p>
    <w:p>
      <w:pPr>
        <w:spacing w:after="0" w:line="18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efforts to secure our proprietary rights also includes our reliance on trade secrets and un-patentable know-how, which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“Government Regulation - Product Approval” and </w:t>
      </w:r>
      <w:r>
        <w:rPr>
          <w:rFonts w:ascii="Arial" w:cs="Arial" w:eastAsia="Arial" w:hAnsi="Arial"/>
          <w:sz w:val="18"/>
          <w:szCs w:val="18"/>
          <w:i w:val="1"/>
          <w:iCs w:val="1"/>
          <w:color w:val="auto"/>
        </w:rPr>
        <w:t>“</w:t>
      </w:r>
      <w:r>
        <w:rPr>
          <w:rFonts w:ascii="Arial" w:cs="Arial" w:eastAsia="Arial" w:hAnsi="Arial"/>
          <w:sz w:val="18"/>
          <w:szCs w:val="18"/>
          <w:color w:val="auto"/>
        </w:rPr>
        <w:t xml:space="preserve">Risk Factors </w:t>
      </w:r>
      <w:r>
        <w:rPr>
          <w:rFonts w:ascii="Arial" w:cs="Arial" w:eastAsia="Arial" w:hAnsi="Arial"/>
          <w:sz w:val="18"/>
          <w:szCs w:val="18"/>
          <w:i w:val="1"/>
          <w:iCs w:val="1"/>
          <w:color w:val="auto"/>
        </w:rPr>
        <w:t>-</w:t>
      </w:r>
      <w:r>
        <w:rPr>
          <w:rFonts w:ascii="Arial" w:cs="Arial" w:eastAsia="Arial" w:hAnsi="Arial"/>
          <w:sz w:val="18"/>
          <w:szCs w:val="18"/>
          <w:color w:val="auto"/>
        </w:rPr>
        <w:t xml:space="preserve"> Risks Related to Intellectual Property</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additional information. In addition, the processes and technologies related to ixmyelocel-T include certain issued United States patents. Certain patent equivalents to the United States patents have also been issued in other jurisdictions.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of our research has been funded or may become funded in part by a Small Business Innovation Research (SBIR) grant obtained from the Department of Health and Human Services or by other governmental grants. As a result of such funding, the United States government has certain rights in the technology developed with such funding. These rights include a non-exclusive,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9"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fully paid-up, worldwide license under such inventions for any governmental purpose. We believe that the current licensed patents that relate to this technology under the SBIR grant have expired.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own a broadly filed trademark portfolio with registrations for MACI, Epicel and Carticel.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Both our marketed and development stage products are specialty products with focused physician and institutional call points. The MACI sales organization is comprised of approximately 48 Clinical Account Specialists and we have announced plans to expand the organization to 76 Clinical Account Specialists, the vast majority of whom we anticipate will be employed and in the field by the beginning of the second quarter of 2020. The current target audience is a concentrated (approximately 5,000) set of sports medicine and general orthopedic surgeons and their staffs.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Most private payers have a medical policy that allows treatment with MACI, and all of the top 30 payers have a formal medical policy for MACI or ACI in general. For those private payers which have not yet approved a medical policy for MACI, for medically appropriate cases, the patient can often obtain approval on a case by case basis.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25, 2018 and August 10, 2018, we entered into amendments to our distribution agreement with Orsini Pharmaceutical Services, Inc. (Orsini). Under the revised agreement, we agreed to eliminate Orsini’s right to serve as our exclusive distributor for MACI. On July 26, 2018, we entered into a Dispensing Agreement (Dispensing Agreement) with AllCare Plus Pharmacy, Inc. (AllCare). Pursuant to the Dispensing Agreement, we appointed AllCare as a non-exclusive specialty pharmacy provider of MACI.</w:t>
      </w:r>
    </w:p>
    <w:p>
      <w:pPr>
        <w:spacing w:after="0" w:line="187" w:lineRule="exact"/>
        <w:rPr>
          <w:sz w:val="20"/>
          <w:szCs w:val="20"/>
          <w:color w:val="auto"/>
        </w:rPr>
      </w:pPr>
    </w:p>
    <w:p>
      <w:pPr>
        <w:jc w:val="both"/>
        <w:ind w:right="240" w:firstLine="243"/>
        <w:spacing w:after="0" w:line="286" w:lineRule="auto"/>
        <w:rPr>
          <w:sz w:val="20"/>
          <w:szCs w:val="20"/>
          <w:color w:val="auto"/>
        </w:rPr>
      </w:pPr>
      <w:r>
        <w:rPr>
          <w:rFonts w:ascii="Arial" w:cs="Arial" w:eastAsia="Arial" w:hAnsi="Arial"/>
          <w:sz w:val="17"/>
          <w:szCs w:val="17"/>
          <w:color w:val="auto"/>
        </w:rPr>
        <w:t>Epicel customers are supported by 10 Burn Therapy and Clinical Support Specialists, as well as dedicated marketing and sales management staff. There are approximately 132 specialized burn centers in the U.S., and a subset of these institutions regularly treat patients suffering from large TBSA burns. As a result, reaching target centers is feasible with a relatively small number of Burn Therapy Specialists.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may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58" w:lineRule="exact"/>
        <w:rPr>
          <w:sz w:val="20"/>
          <w:szCs w:val="20"/>
          <w:color w:val="auto"/>
        </w:rPr>
      </w:pPr>
    </w:p>
    <w:p>
      <w:pPr>
        <w:ind w:right="160" w:firstLine="243"/>
        <w:spacing w:after="0" w:line="284" w:lineRule="auto"/>
        <w:rPr>
          <w:sz w:val="20"/>
          <w:szCs w:val="20"/>
          <w:color w:val="auto"/>
        </w:rPr>
      </w:pPr>
      <w:r>
        <w:rPr>
          <w:rFonts w:ascii="Arial" w:cs="Arial" w:eastAsia="Arial" w:hAnsi="Arial"/>
          <w:sz w:val="16"/>
          <w:szCs w:val="16"/>
          <w:color w:val="auto"/>
        </w:rPr>
        <w:t>Some human cell or tissue products that are intended for implantation, transplantation, infusion, or transfer into a human recipient are regulated solely as human cell, tissue, and cellular and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the Center for Devices and Radiological Health, as an HDE medical device in 2007 but now is regulated by CBER under the same medical device regulations. MACI, approved in 2016, is regulated by CBER as a combination cell therapy/device product and required an approved BLA to be marketed in the</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NexoBrid, a product licensed in North America from MediWound, is currently in clinical development in North America. In the U.S., NexoBrid is regulated as a botanical protein biologic and requires an approved BLA to be marketed in the U.S. Commercial production of these products needs to occur in FDA-registered facilities in compliance with cGMP requirements for biologics.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current or future product candidates will ultimately receive approval.</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government to approve our product approval applications or to allow us to enter into government supply contracts, withdrawal of previously approved applications and criminal prosecution.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order to obtain FDA license,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an uncertain outcome. The FDA regulatory review and approval process is complex and can result in requests for additional data, increased development cost, time to market delays, or preclude us from bringing to market new products. The FDA may also require post-marketing studies and risk evaluation and mitigation strategies (REMS) as condition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 For patented technologies, product development and the regulatory review/approval process can materially reduce the period during which we will have the exclusive right to exploit such technologies. Regulatory exclusivity may offer some additional protection. As a biologic, MACI is entitled to twelve years of data exclusivity from its date of approval. As an orphan biologic, NexoBrid may be entitled upon approval to twelve years of data exclusivity and 7 years of market exclusivity from its date of approval.</w:t>
      </w:r>
    </w:p>
    <w:p>
      <w:pPr>
        <w:spacing w:after="0" w:line="17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Adequate and well-controlled clinical studies are required by the FDA for approval of a BLA. To conduct a clinical trial in the U.S.,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and applicable cGMP requirements. Long term nonclinical testing, such as animal reproductive toxicity and carcinogenicity, is conducted if warranted and is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the FDA prior to implementation. We have submitted an IND for MACI and several INDs for ixmyelocel-T, and we conducted clinical investigations under these INDs. Clinical studies can also be conducted outside of the U.S. with or without a U.S. IND. However, a clinical trial application (CTA) or IND is required to be submitted to the local competent regulatory authority for the conduct of human clinical trials. The CTA has similar data requirements to those of an IND.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MACI, Nexobrid, Carticel and ixmyelocel-T are regulated by the FDA as biologics. For products that are regulated as biologics, the FDA requires:</w:t>
      </w:r>
    </w:p>
    <w:p>
      <w:pPr>
        <w:spacing w:after="0" w:line="35" w:lineRule="exact"/>
        <w:rPr>
          <w:sz w:val="20"/>
          <w:szCs w:val="20"/>
          <w:color w:val="auto"/>
        </w:rPr>
      </w:pPr>
    </w:p>
    <w:p>
      <w:pPr>
        <w:jc w:val="both"/>
        <w:ind w:firstLine="8"/>
        <w:spacing w:after="0" w:line="254"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sometimes overlap:</w:t>
      </w:r>
    </w:p>
    <w:p>
      <w:pPr>
        <w:spacing w:after="0" w:line="225" w:lineRule="exact"/>
        <w:rPr>
          <w:sz w:val="20"/>
          <w:szCs w:val="20"/>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Phase 1—The biological product is initially tested for safety and tolerability. In the case of biological products and those for severe or life-threatening diseases, the initial human testing is generally conducted in patients. These trials may also provide early evidence on effectiveness.</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7" w:right="239" w:bottom="1440" w:gutter="0" w:footer="0" w:header="0"/>
        </w:sectPr>
      </w:pPr>
    </w:p>
    <w:bookmarkStart w:id="10" w:name="page11"/>
    <w:bookmarkEnd w:id="10"/>
    <w:p>
      <w:pPr>
        <w:jc w:val="both"/>
        <w:ind w:firstLine="243"/>
        <w:spacing w:after="0" w:line="25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 annual prescription drug product program user fees, which may total several million dollars and are increased annually.</w:t>
      </w:r>
    </w:p>
    <w:p>
      <w:pPr>
        <w:spacing w:after="0" w:line="1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including to review 90 percent of standard BLAs within 10 months from the date the application is accepted for filing. Although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as part of a pre-approval inspection.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1" w:name="page12"/>
    <w:bookmarkEnd w:id="11"/>
    <w:p>
      <w:pPr>
        <w:jc w:val="both"/>
        <w:ind w:firstLine="243"/>
        <w:spacing w:after="0" w:line="255" w:lineRule="auto"/>
        <w:rPr>
          <w:sz w:val="20"/>
          <w:szCs w:val="20"/>
          <w:color w:val="auto"/>
        </w:rPr>
      </w:pPr>
      <w:r>
        <w:rPr>
          <w:rFonts w:ascii="Arial" w:cs="Arial" w:eastAsia="Arial" w:hAnsi="Arial"/>
          <w:sz w:val="18"/>
          <w:szCs w:val="18"/>
          <w:color w:val="auto"/>
        </w:rPr>
        <w:t>For certain products, the FDA also will not approve the product if the manufacturer is not in compliance with the Good Tissue Practices (GTP). These are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incur significant expenditure of time, money and effort in the areas of training, record keeping, production, and quality control.</w:t>
      </w:r>
    </w:p>
    <w:p>
      <w:pPr>
        <w:spacing w:after="0" w:line="18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 approval is never guaranteed, and the FDA may refuse to approve a BLA if the regulatory requirements are not satisfied.</w:t>
      </w:r>
    </w:p>
    <w:p>
      <w:pPr>
        <w:spacing w:after="0" w:line="1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8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1" w:lineRule="exact"/>
        <w:rPr>
          <w:rFonts w:ascii="Arial" w:cs="Arial" w:eastAsia="Arial" w:hAnsi="Arial"/>
          <w:sz w:val="17"/>
          <w:szCs w:val="17"/>
          <w:color w:val="auto"/>
        </w:rPr>
      </w:pPr>
    </w:p>
    <w:p>
      <w:pPr>
        <w:ind w:left="660" w:right="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Accelerated Approval for Regenerative Advanced Therapies</w:t>
      </w:r>
    </w:p>
    <w:p>
      <w:pPr>
        <w:spacing w:after="0" w:line="17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As part of the 21st Century Cures Act, Congress recently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7"/>
          <w:szCs w:val="17"/>
          <w:color w:val="231F20"/>
        </w:rPr>
        <w:t>review or accelerated approval through surrogate or intermediate endpoints reasonably likely to predict long-term clinical</w:t>
      </w:r>
      <w:r>
        <w:rPr>
          <w:rFonts w:ascii="Arial" w:cs="Arial" w:eastAsia="Arial" w:hAnsi="Arial"/>
          <w:sz w:val="17"/>
          <w:szCs w:val="17"/>
          <w:color w:val="auto"/>
        </w:rPr>
        <w:t xml:space="preserve"> </w:t>
      </w:r>
      <w:r>
        <w:rPr>
          <w:rFonts w:ascii="Arial" w:cs="Arial" w:eastAsia="Arial" w:hAnsi="Arial"/>
          <w:sz w:val="17"/>
          <w:szCs w:val="17"/>
          <w:color w:val="231F20"/>
        </w:rPr>
        <w:t>benefit, or reliance upon data obtained from a meaningful number of sites. Therapies with a Regenerative Medicine Advanced Therapy (RMAT) designation will be eligible for accelerated approval through, as appropriate:</w:t>
      </w:r>
    </w:p>
    <w:p>
      <w:pPr>
        <w:spacing w:after="0" w:line="129" w:lineRule="exact"/>
        <w:rPr>
          <w:sz w:val="20"/>
          <w:szCs w:val="20"/>
          <w:color w:val="auto"/>
        </w:rPr>
      </w:pPr>
    </w:p>
    <w:p>
      <w:pPr>
        <w:ind w:left="520" w:hanging="215"/>
        <w:spacing w:after="0"/>
        <w:tabs>
          <w:tab w:leader="none" w:pos="5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Surrogate or intermediate endpoints reasonably likely to predict long-term clinical benefit; or</w:t>
      </w:r>
    </w:p>
    <w:p>
      <w:pPr>
        <w:spacing w:after="0" w:line="171" w:lineRule="exact"/>
        <w:rPr>
          <w:rFonts w:ascii="Arial" w:cs="Arial" w:eastAsia="Arial" w:hAnsi="Arial"/>
          <w:sz w:val="18"/>
          <w:szCs w:val="18"/>
          <w:color w:val="231F20"/>
        </w:rPr>
      </w:pPr>
    </w:p>
    <w:p>
      <w:pPr>
        <w:ind w:left="580" w:hanging="275"/>
        <w:spacing w:after="0"/>
        <w:tabs>
          <w:tab w:leader="none" w:pos="5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Reliance upon data obtained from a meaningful number of sites, including through expansion to additional sites, as appropriate.</w:t>
      </w:r>
    </w:p>
    <w:p>
      <w:pPr>
        <w:spacing w:after="0" w:line="171" w:lineRule="exact"/>
        <w:rPr>
          <w:sz w:val="20"/>
          <w:szCs w:val="20"/>
          <w:color w:val="auto"/>
        </w:rPr>
      </w:pPr>
    </w:p>
    <w:p>
      <w:pPr>
        <w:ind w:left="80" w:firstLine="216"/>
        <w:spacing w:after="0" w:line="277" w:lineRule="auto"/>
        <w:rPr>
          <w:sz w:val="20"/>
          <w:szCs w:val="20"/>
          <w:color w:val="auto"/>
        </w:rPr>
      </w:pPr>
      <w:r>
        <w:rPr>
          <w:rFonts w:ascii="Arial" w:cs="Arial" w:eastAsia="Arial" w:hAnsi="Arial"/>
          <w:sz w:val="18"/>
          <w:szCs w:val="18"/>
          <w:color w:val="231F20"/>
        </w:rPr>
        <w:t>Another benefit of RMAT designation is that it creates the option to meet post-approval requirements beyond the standard, controlled clinical trial. Post-approval requirements can be met through:</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Clinical evidence, clinical studies, patient registries, or other sources of real-world evidence, such as electronic health records;</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collection of larger confirmatory data sets; or</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Post-approval monitoring of all patients treated with such therapy prior to approval of the therapy.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jc w:val="both"/>
        <w:ind w:right="20" w:firstLine="230"/>
        <w:spacing w:after="0" w:line="277" w:lineRule="auto"/>
        <w:rPr>
          <w:sz w:val="20"/>
          <w:szCs w:val="20"/>
          <w:color w:val="auto"/>
        </w:rPr>
      </w:pPr>
      <w:r>
        <w:rPr>
          <w:rFonts w:ascii="Arial" w:cs="Arial" w:eastAsia="Arial" w:hAnsi="Arial"/>
          <w:sz w:val="18"/>
          <w:szCs w:val="18"/>
          <w:color w:val="231F20"/>
        </w:rPr>
        <w:t>Finally, the designation also includes early interactions with the FDA to discuss any potential surrogate or intermediate endpoint to be used to support accelerated approval.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United States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9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Except in certain circumstances, HUDs approved under an HDE cannot be sold for an amount that exceeds the costs of research and development, fabrication, and distribution of the device (i.e., for profit). Under the current HDE provision, as amended by the Food and Drug Administration Safety and Innovation Act, or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4" w:name="page15"/>
    <w:bookmarkEnd w:id="14"/>
    <w:p>
      <w:pPr>
        <w:jc w:val="both"/>
        <w:ind w:firstLine="243"/>
        <w:spacing w:after="0" w:line="272" w:lineRule="auto"/>
        <w:rPr>
          <w:sz w:val="20"/>
          <w:szCs w:val="20"/>
          <w:color w:val="auto"/>
        </w:rPr>
      </w:pPr>
      <w:r>
        <w:rPr>
          <w:rFonts w:ascii="Arial" w:cs="Arial" w:eastAsia="Arial" w:hAnsi="Arial"/>
          <w:sz w:val="17"/>
          <w:szCs w:val="17"/>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Under the Pediatric Research Equity Act, or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 We cannot be certain that the PTO and the FDA will grant a patent term extension related to MACI.</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biological product can obtain pediatric market exclusivity in the United States. This six-month exclusivity, which runs from the end of other exclusivity protection or patent term, may be granted based on the voluntary completion of a pediatric study in accordance with an FDA-issued “Written Request” for such a study.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Biosimilars</w:t>
      </w:r>
    </w:p>
    <w:p>
      <w:pPr>
        <w:spacing w:after="0" w:line="225"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 promotional materials be pre-cleared by the FDA, injunctions, and federal and state civil and criminal investigations and prosecutions.</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Orphan Drug Act, the FDA may grant orphan drug designation to biologics intended to treat a rare disease or condition, generally a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of such drug.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FDASIA added Section 529 to the FFDCA. Pursuant to that provision, the FDA will award priority review vouchers to sponsors of rare pediatric disease product applications that meet certain criteria after approval of the application. The priority review voucher may be used by the sponsor or sold/transferred to another.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9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 comprehensive compliance program that establishes internal controls to facilitate adherence to the rules and program requirements to which we are subject.</w:t>
      </w:r>
    </w:p>
    <w:p>
      <w:pPr>
        <w:spacing w:after="0" w:line="18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In addition to regulations in the United States,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18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European Union (EU) pharmaceutical legislation requires Marketing Authorization Holders (MAH) in the EU to comply with the Pediatric Investigational Plan (PIP) that is in place as a post-authorization commitment agreed with the Pediatric Committee or PDCO within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June 2018. However, we did not take such actions prior to expiration, and therefore the EU marketing authorization for MACI expired in June 2018.</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Cartilage Repair and Burn Treatment</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8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For patients diagnosed with cartilage defects, there are several treatment options, including arthroscopic debridement/chondroplasty, marrow stimulation techniques such as microfracture, osteochondral autografts for smaller cartilage injuries, allografts, and autologous chondrocyte implants for larger injuries.</w:t>
      </w:r>
    </w:p>
    <w:p>
      <w:pPr>
        <w:spacing w:after="0" w:line="124"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which can offer shorter term relief but is at high risk of breaking down in larger defects. Short term results are generally considered good in smaller cartilage defects. This treatment is sometimes augmented with allograft derived products such as Cartiform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marketed by Arthrex and Prochondrix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marketed by Allosource. Other competitive treatments in the U.S. include a juvenile donor-derived allograft product DeNovo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NT marketed by Zimmer Holdings Inc. (Zimmer Biomet). The osteochondral allograft procedure involves the transplant of a bone and cartilage graft from a deceased donor. The donor tissue is distributed by multiple companies. There are multiple other cartilage repair technologies currently being studied in the clinic. Hyalofast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biodegradable hyaluronic acid-based scaffold used in conjunction with autologous concentrated bone marrow aspirate being developed by Anika Therapeutics, Inc. It is currently being studied in a Phase 3 trial that was initiated in 2015. Agili-C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non-cellular biphasic implant derived from aragonite coral which is implanted into the subchondral bone and is being developed by CartiHeal, Inc. It is currently being studied in a Phase 3 trial that initiated in 2018.</w:t>
      </w:r>
    </w:p>
    <w:p>
      <w:pPr>
        <w:spacing w:after="0" w:line="203" w:lineRule="exact"/>
        <w:rPr>
          <w:sz w:val="20"/>
          <w:szCs w:val="20"/>
          <w:color w:val="auto"/>
        </w:rPr>
      </w:pPr>
    </w:p>
    <w:p>
      <w:pPr>
        <w:jc w:val="both"/>
        <w:ind w:firstLine="230"/>
        <w:spacing w:after="0" w:line="238" w:lineRule="auto"/>
        <w:rPr>
          <w:sz w:val="20"/>
          <w:szCs w:val="20"/>
          <w:color w:val="auto"/>
        </w:rPr>
      </w:pPr>
      <w:r>
        <w:rPr>
          <w:rFonts w:ascii="Arial" w:cs="Arial" w:eastAsia="Arial" w:hAnsi="Arial"/>
          <w:sz w:val="17"/>
          <w:szCs w:val="17"/>
          <w:color w:val="auto"/>
        </w:rPr>
        <w:t>MACI is the only FDA-approved ACI product on the market in the United States. We are aware of one other ACI product in development in the United States for the treatment of articular cartilage defects of the knee. In 2014, Aesculap Biologics, LLC initiated a Phase 3 trial of NOVOCART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3D, a biologic-device combination product comprised of autologous chondrocytes seeded on a collagen scaffold. The trial is still enrolling patients.</w:t>
      </w:r>
    </w:p>
    <w:p>
      <w:pPr>
        <w:spacing w:after="0" w:line="20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color w:val="auto"/>
        </w:rPr>
        <w:t>Patients suffering catastrophic burns over a significant portion of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 approved Avita Medical’s RECELL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in for use in partial thickness burns and in full thickness burns in conjunction with meshed split-thickness auto-graft. The RECELL system is a device which enables the on-site preparation of an autologous epithelial cell suspension. One RECELL kit can treat an approximately 10% TBSA wound, and, unlike Epicel, the safety and effectiveness of RECELL has not been established in combination with autografting in patients with wounds totaling greater than 50% TBSA or in pediatric patients younger than 18 years of 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8" w:name="page19"/>
    <w:bookmarkEnd w:id="18"/>
    <w:p>
      <w:pPr>
        <w:jc w:val="both"/>
        <w:ind w:firstLine="230"/>
        <w:spacing w:after="0" w:line="259" w:lineRule="auto"/>
        <w:rPr>
          <w:sz w:val="20"/>
          <w:szCs w:val="20"/>
          <w:color w:val="auto"/>
        </w:rPr>
      </w:pPr>
      <w:r>
        <w:rPr>
          <w:rFonts w:ascii="Arial" w:cs="Arial" w:eastAsia="Arial" w:hAnsi="Arial"/>
          <w:sz w:val="18"/>
          <w:szCs w:val="18"/>
          <w:color w:val="auto"/>
        </w:rPr>
        <w:t>In the general area of cell-based therapies, we potentially compete with a variety of companies, most of whom are specialty medical products or biotechnology companies. Some of these, such as Arthrex and Zimmer,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2019, we employed approximately 241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executive officers and key employees and their respective ages and positions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42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Since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Dominick C. Colangelo</w:t>
            </w: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29"/>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Gerard Michel</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&amp; Vice President of Corporate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Halpin</w:t>
            </w:r>
          </w:p>
        </w:tc>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Operating Officer</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Dominick C. Colangelo — </w:t>
      </w:r>
      <w:r>
        <w:rPr>
          <w:rFonts w:ascii="Arial" w:cs="Arial" w:eastAsia="Arial" w:hAnsi="Arial"/>
          <w:sz w:val="17"/>
          <w:szCs w:val="17"/>
          <w:color w:val="auto"/>
        </w:rPr>
        <w:t>Mr. Colangelo joined Vericel Corporation in 2013 with more than 20 years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experience in the biopharmaceutical industry, including nearly a decade with Eli Lilly and Company. During his career, he has held a variety of executive positions of increasing responsibility in product development, pharmaceutical operations, sales and marketing, and corporate development. He has extensive experience in the acquisition, development and commercialization of products across a variety of therapeutic areas. During his tenure at Eli Lilly and Company, Mr. Colangelo held positions as Director of Strategy and Business Development for Lilly’s Diabetes Product Group and also served as a founding Managing Director of Lilly Ventures. Mr. Colangelo received his B.S.B.A. in Accounting, Magna Cum Laude, from the State University of New York at Buffalo and a J.D. degree, with Honors, from the Duke University School of Law.</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 xml:space="preserve">Gerard Michel — </w:t>
      </w:r>
      <w:r>
        <w:rPr>
          <w:rFonts w:ascii="Arial" w:cs="Arial" w:eastAsia="Arial" w:hAnsi="Arial"/>
          <w:sz w:val="16"/>
          <w:szCs w:val="16"/>
          <w:color w:val="auto"/>
        </w:rPr>
        <w:t>Mr. Michel joined Vericel in June of 2014 with over 25 years of experience in the pharmaceutical industry across multiple functional</w:t>
      </w:r>
      <w:r>
        <w:rPr>
          <w:rFonts w:ascii="Arial" w:cs="Arial" w:eastAsia="Arial" w:hAnsi="Arial"/>
          <w:sz w:val="16"/>
          <w:szCs w:val="16"/>
          <w:i w:val="1"/>
          <w:iCs w:val="1"/>
          <w:color w:val="auto"/>
        </w:rPr>
        <w:t xml:space="preserve"> </w:t>
      </w:r>
      <w:r>
        <w:rPr>
          <w:rFonts w:ascii="Arial" w:cs="Arial" w:eastAsia="Arial" w:hAnsi="Arial"/>
          <w:sz w:val="16"/>
          <w:szCs w:val="16"/>
          <w:color w:val="auto"/>
        </w:rPr>
        <w:t>areas. He has considerable experience in business development, raising capital and executing successful financial transactions. Mr. Michel was formerly Chief Financial Officer and Vice President, Corporate Development of Biodel Inc.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Inc.,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 xml:space="preserve">Michael Halpin — </w:t>
      </w:r>
      <w:r>
        <w:rPr>
          <w:rFonts w:ascii="Arial" w:cs="Arial" w:eastAsia="Arial" w:hAnsi="Arial"/>
          <w:sz w:val="18"/>
          <w:szCs w:val="18"/>
          <w:color w:val="auto"/>
        </w:rPr>
        <w:t>Mr. Halpin joined Vericel in April of 2017 with over 28 years of regulatory, quality assurance, and clinical research experience with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medical device, combination product, small molecule, biologic, and advanced therapy technologies. Prior to joining Vericel, Mr. Halpin was with Sanofi and Genzyme Corporation; most recently as vice president, North American region regulatory head with responsibility for Sanofi Genzyme’s rare disease, immuno-inflammatory, multiple sclerosis and other business unit products. Mr. Halpin has also served as vice president, regulatory affairs for Genzyme’s biosurgery division, with regulatory oversight of all biosurgery and cell and gene therapy products, including Carticel®, Epicel®, and MACI®. Prior to Genzyme, Mr. Halpin held a number of regulatory, quality, and clinical affairs positions at several medical device companies, including Abbott/MediSense, C.R. Bard, and Abiomed. Mr. Halpin received his master’s degree in biomedical engineering and bachelor’s degree in biochemistry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7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Code of Business Conduct and Ethics, Code of Ethics for Senior Financial Officers, Board Member Attendance at Annual Meetings Policy, Director Nominations Policy, Shareholder Communications with Directors Policy and the Charters for each of the Committees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MACI and Epicel, for the U.S. market takes place at a single U.S. facility. If regulatory, manufacturing or other problems require us to discontinue production at the Cambridge facility, we will not be able to supply our products to our patients, which would adversely impact our business. If this facility, or the equipment in it, is significantly damaged or destroyed by fire, flood, power loss or similar event, we will not be able to quickly or inexpensively replace our manufacturing capacity, and we may not be able to replace our facility at all. In the event of a temporary or protracted loss of the facility or critical equipment, we might not be able to transfer manufacturing to a third party. Even if we could transfer manufacturing from one facility to a third 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w:t>
      </w:r>
    </w:p>
    <w:p>
      <w:pPr>
        <w:spacing w:after="0" w:line="182" w:lineRule="exact"/>
        <w:rPr>
          <w:sz w:val="20"/>
          <w:szCs w:val="20"/>
          <w:color w:val="auto"/>
        </w:rPr>
      </w:pPr>
    </w:p>
    <w:p>
      <w:pPr>
        <w:jc w:val="both"/>
        <w:ind w:right="20" w:firstLine="300"/>
        <w:spacing w:after="0" w:line="277" w:lineRule="auto"/>
        <w:rPr>
          <w:sz w:val="20"/>
          <w:szCs w:val="20"/>
          <w:color w:val="auto"/>
        </w:rPr>
      </w:pPr>
      <w:r>
        <w:rPr>
          <w:rFonts w:ascii="Arial" w:cs="Arial" w:eastAsia="Arial" w:hAnsi="Arial"/>
          <w:sz w:val="18"/>
          <w:szCs w:val="18"/>
          <w:color w:val="auto"/>
        </w:rPr>
        <w:t>While we do maintain insurance coverage against damage to our property and equipment, if we have underestimated our insurance needs, we will not have sufficient insurance to cover losses above and beyond the limits on our policies.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67" w:lineRule="exact"/>
        <w:rPr>
          <w:sz w:val="20"/>
          <w:szCs w:val="20"/>
          <w:color w:val="auto"/>
        </w:rPr>
      </w:pPr>
    </w:p>
    <w:p>
      <w:pPr>
        <w:jc w:val="both"/>
        <w:ind w:firstLine="243"/>
        <w:spacing w:after="0" w:line="220" w:lineRule="exact"/>
        <w:rPr>
          <w:sz w:val="20"/>
          <w:szCs w:val="20"/>
          <w:color w:val="auto"/>
        </w:rPr>
      </w:pPr>
      <w:r>
        <w:rPr>
          <w:rFonts w:ascii="Arial" w:cs="Arial" w:eastAsia="Arial" w:hAnsi="Arial"/>
          <w:sz w:val="18"/>
          <w:szCs w:val="18"/>
          <w:color w:val="auto"/>
        </w:rPr>
        <w:t>Many of our suppliers are sole or single source suppliers. We do not have long term supply agreements with many of our third</w:t>
      </w:r>
      <w:r>
        <w:rPr>
          <w:rFonts w:ascii="MS PGothic" w:cs="MS PGothic" w:eastAsia="MS PGothic" w:hAnsi="MS PGothic"/>
          <w:sz w:val="18"/>
          <w:szCs w:val="18"/>
          <w:color w:val="auto"/>
        </w:rPr>
        <w:t>‑</w:t>
      </w:r>
      <w:r>
        <w:rPr>
          <w:rFonts w:ascii="Arial" w:cs="Arial" w:eastAsia="Arial" w:hAnsi="Arial"/>
          <w:sz w:val="18"/>
          <w:szCs w:val="18"/>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9" w:right="239" w:bottom="1440" w:gutter="0" w:footer="0" w:header="0"/>
        </w:sectPr>
      </w:pPr>
    </w:p>
    <w:bookmarkStart w:id="20" w:name="page21"/>
    <w:bookmarkEnd w:id="20"/>
    <w:p>
      <w:pPr>
        <w:jc w:val="both"/>
        <w:spacing w:after="0" w:line="293" w:lineRule="auto"/>
        <w:rPr>
          <w:sz w:val="20"/>
          <w:szCs w:val="20"/>
          <w:color w:val="auto"/>
        </w:rPr>
      </w:pPr>
      <w:r>
        <w:rPr>
          <w:rFonts w:ascii="Arial" w:cs="Arial" w:eastAsia="Arial" w:hAnsi="Arial"/>
          <w:sz w:val="16"/>
          <w:szCs w:val="16"/>
          <w:color w:val="auto"/>
        </w:rPr>
        <w:t>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Any delay, interruption or cessation of production by our third party suppliers of important materials, or any delay in qualifying new materials, if necessary,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16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may be unable to establish any agreements with third party suppliers or to do so on acceptable terms. Even if we are able to establish agreements with third party suppliers, reliance on third party suppliers entails additional risks, including the possible breach of the supply agreement by the third party, and the possible termination or nonrenewal of the agreement by the third party at a time that is costly or inconvenient for us.</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our third party manufacturers, including Matricel, to comply with the regulatory requirements set forth by the FDA with respect to our products could limit our ability to manufacture commercial products.</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Third-party manufacturers, such as Matricel, are subject to inspection by the FDA for current Good Manufacturing Practice, 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5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Failure to address any FDA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7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the composition of the cell population varies from patient to 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Difficulty in characterizing biological materials or their interactions creates greater risk in the manufacturing process. We attempt to mitigate risk associated with the manufacture of biologics by continuing to improve the characterization of all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can be no assurance that we or any third 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in a timely manner could prevent us from achieving our growth and profitability objectives as projected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70"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have a limited network of specialty pharmacy distributors for MACI, and we primarily rely on our specialty pharmacy distributors’ contracts with third party payers for reimbursement. Under our distribution agreements with Orsini Pharmaceutical Services, Inc. (Orsini) and AllCare Plus Pharmacy, Inc. (AllCare), we assume the credit and collection risk of third party payers, as Orsini and AllCare dispense MACI and perform the collection activities. We sell Epicel directly to hospitals based on contracted rates stated in an approved contract or an applicable purchase order with the hospital.</w:t>
      </w:r>
    </w:p>
    <w:p>
      <w:pPr>
        <w:spacing w:after="0" w:line="185"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current and future product candidates for which marketing approval is obtained.</w:t>
      </w:r>
    </w:p>
    <w:p>
      <w:pPr>
        <w:spacing w:after="0" w:line="17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Coverage decisions and payment amounts are established at the discretion of the individual third-party payer, and the regulations that govern pricing, coverage and reimbursement vary widely from payer to payer and country to country. Many private payers in the United States, however,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As a result, we cannot be certain that the procedures performed with our products will be reimbursed at a cost-effective level or reimbursed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jc w:val="both"/>
        <w:ind w:firstLine="230"/>
        <w:spacing w:after="0" w:line="269" w:lineRule="auto"/>
        <w:rPr>
          <w:sz w:val="20"/>
          <w:szCs w:val="20"/>
          <w:color w:val="auto"/>
        </w:rPr>
      </w:pPr>
      <w:r>
        <w:rPr>
          <w:rFonts w:ascii="Arial" w:cs="Arial" w:eastAsia="Arial" w:hAnsi="Arial"/>
          <w:sz w:val="17"/>
          <w:szCs w:val="17"/>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 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If reimbursement is not available or is available only to limited levels, we may not be able to successfully commercialize any product or product candidate for which we obtain marketing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225" w:lineRule="exact"/>
        <w:rPr>
          <w:sz w:val="20"/>
          <w:szCs w:val="20"/>
          <w:color w:val="auto"/>
        </w:rPr>
      </w:pPr>
    </w:p>
    <w:p>
      <w:pPr>
        <w:jc w:val="both"/>
        <w:ind w:left="120" w:firstLine="351"/>
        <w:spacing w:after="0" w:line="259"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93" w:lineRule="exact"/>
        <w:rPr>
          <w:sz w:val="20"/>
          <w:szCs w:val="20"/>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orders and revenue recognition for new and prior year orders;</w:t>
      </w:r>
    </w:p>
    <w:p>
      <w:pPr>
        <w:spacing w:after="0" w:line="23"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the sales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volume of revenues;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sales to our existing customers, particularly larger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erosion in margins or significant fluctuations in revenues caused by changing customer demand;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cost of our sales force expansion and hiring personnel and of large expenses such as third-party professional services;</w:t>
      </w:r>
    </w:p>
    <w:p>
      <w:pPr>
        <w:spacing w:after="0" w:line="20" w:lineRule="exact"/>
        <w:rPr>
          <w:rFonts w:ascii="Arial" w:cs="Arial" w:eastAsia="Arial" w:hAnsi="Arial"/>
          <w:sz w:val="17"/>
          <w:szCs w:val="17"/>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expenses, which vary along with changes to our stock price;</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or our accounting policies.</w:t>
      </w:r>
    </w:p>
    <w:p>
      <w:pPr>
        <w:spacing w:after="0" w:line="211" w:lineRule="exact"/>
        <w:rPr>
          <w:sz w:val="20"/>
          <w:szCs w:val="20"/>
          <w:color w:val="auto"/>
        </w:rPr>
      </w:pPr>
    </w:p>
    <w:p>
      <w:pPr>
        <w:jc w:val="both"/>
        <w:ind w:left="120" w:firstLine="351"/>
        <w:spacing w:after="0" w:line="273"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rate at which biopsies convert to implants has been consistent over the last five years. We cannot be certain that this rate will remain constant in the future, and if this rate were to decline, our revenue growth could be negatively impacted. In addition,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7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124" w:lineRule="exact"/>
        <w:rPr>
          <w:sz w:val="20"/>
          <w:szCs w:val="20"/>
          <w:color w:val="auto"/>
        </w:rPr>
      </w:pPr>
    </w:p>
    <w:p>
      <w:pPr>
        <w:jc w:val="both"/>
        <w:ind w:left="120" w:firstLine="351"/>
        <w:spacing w:after="0" w:line="261" w:lineRule="auto"/>
        <w:rPr>
          <w:sz w:val="20"/>
          <w:szCs w:val="20"/>
          <w:color w:val="auto"/>
        </w:rPr>
      </w:pPr>
      <w:r>
        <w:rPr>
          <w:rFonts w:ascii="Arial" w:cs="Arial" w:eastAsia="Arial" w:hAnsi="Arial"/>
          <w:sz w:val="18"/>
          <w:szCs w:val="18"/>
          <w:color w:val="auto"/>
        </w:rPr>
        <w:t>Historically, we have had significant seasonal patterns in product orders with the highest volume occurring in the fourth quarter and the lowest volume occurring in the first quarter. As a result, a significantly higher percentage of our annual revenues have historically been recognized in the fourth quarter and the lowest percentage of annual revenues in the first quarter of a given calendar year. This is due to a number of factors, including insurance deductible limits and the time of year during which patients prefer to start rehabilitation. We expect to continue to experience this seasonality of our business in subsequent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3" w:name="page24"/>
    <w:bookmarkEnd w:id="23"/>
    <w:p>
      <w:pPr>
        <w:jc w:val="both"/>
        <w:ind w:left="120" w:firstLine="351"/>
        <w:spacing w:after="0" w:line="277" w:lineRule="auto"/>
        <w:rPr>
          <w:sz w:val="20"/>
          <w:szCs w:val="20"/>
          <w:color w:val="auto"/>
        </w:rPr>
      </w:pPr>
      <w:r>
        <w:rPr>
          <w:rFonts w:ascii="Arial" w:cs="Arial" w:eastAsia="Arial" w:hAnsi="Arial"/>
          <w:sz w:val="18"/>
          <w:szCs w:val="18"/>
          <w:color w:val="auto"/>
        </w:rPr>
        <w:t>Our quarterly growth in revenues also may not align with new orders that we receive in a given quarter, which could mask the impact of seasonal variations. This mismatch can be due to the timing of revenue recognition.</w:t>
      </w:r>
    </w:p>
    <w:p>
      <w:pPr>
        <w:spacing w:after="0" w:line="116" w:lineRule="exact"/>
        <w:rPr>
          <w:sz w:val="20"/>
          <w:szCs w:val="20"/>
          <w:color w:val="auto"/>
        </w:rPr>
      </w:pPr>
    </w:p>
    <w:p>
      <w:pPr>
        <w:jc w:val="both"/>
        <w:ind w:left="120" w:firstLine="351"/>
        <w:spacing w:after="0" w:line="286"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will be harmed if we are unable to effectively manage and sustain our future growth or scale our operations.</w:t>
      </w:r>
    </w:p>
    <w:p>
      <w:pPr>
        <w:spacing w:after="0" w:line="3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manage inventory in an effective and efficient manner, it could adversely affect our results of operations.</w:t>
      </w:r>
    </w:p>
    <w:p>
      <w:pPr>
        <w:spacing w:after="0" w:line="3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 party suppliers. Finally, we cannot provide assurances that we can keep inventory costs within our target levels. Failure to do so may harm our long-term growth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and may not achieve consistent profitability for some time or at all.</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have incurred net losses each year since our inception in 1989, including net losses of $9.7 million and $8.1 million for the years ended December 31, 2019 and 2018, respectively. As of December 31, 2019, we had accumulated a deficit of approximately $378.7 million and had $79.1 million of cash, cash equivalents and investments. Based on our current plan and </w:t>
      </w:r>
      <w:r>
        <w:rPr>
          <w:rFonts w:ascii="Arial" w:cs="Arial" w:eastAsia="Arial" w:hAnsi="Arial"/>
          <w:sz w:val="18"/>
          <w:szCs w:val="18"/>
          <w:color w:val="222222"/>
        </w:rPr>
        <w:t>existing cash, cash equivalents and investments on hand</w:t>
      </w:r>
      <w:r>
        <w:rPr>
          <w:rFonts w:ascii="Arial" w:cs="Arial" w:eastAsia="Arial" w:hAnsi="Arial"/>
          <w:sz w:val="18"/>
          <w:szCs w:val="18"/>
          <w:color w:val="auto"/>
        </w:rPr>
        <w:t xml:space="preserve"> we are positioned to sustain current operations through at least 12 months following the issuance of these financial statements.</w:t>
      </w:r>
    </w:p>
    <w:p>
      <w:pPr>
        <w:spacing w:after="0" w:line="18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research and development,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 commercializing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6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our manufacturing facility’s compliance with FDA requirements, including establishment and product fees;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requirements necessary to maintain in good standing marketing authorizations and licenses from regulatory bodies in the United States and other countries;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Anticipating technological developments by competitors;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25" w:right="239" w:bottom="1440" w:gutter="0" w:footer="0" w:header="0"/>
        </w:sectPr>
      </w:pPr>
    </w:p>
    <w:bookmarkStart w:id="24" w:name="page25"/>
    <w:bookmarkEnd w:id="24"/>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cadence of the regulatory approvals needed to proceed with clinical development programs.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raise the required capital to develop and commercialize our future product candidates and otherwise grow and expand our business.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Notwithstanding the net proceeds we received from previous public offerings, we may require substantial additional capital resources for strategic opportunities.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our future cell therapy product candidates for additional indications or in additional 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23"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improvements and expansions, if and as required; and</w:t>
      </w:r>
    </w:p>
    <w:p>
      <w:pPr>
        <w:spacing w:after="0" w:line="9" w:lineRule="exact"/>
        <w:rPr>
          <w:rFonts w:ascii="Arial" w:cs="Arial" w:eastAsia="Arial" w:hAnsi="Arial"/>
          <w:sz w:val="18"/>
          <w:szCs w:val="18"/>
          <w:color w:val="auto"/>
        </w:rPr>
      </w:pPr>
    </w:p>
    <w:p>
      <w:pPr>
        <w:ind w:left="700" w:hanging="39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further commercialize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developmental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requirements necessary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required regulatory approvals would severely limit our ability to sell our products.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must maintain our domestic regulatory approvals to continue to commercialize our products in the United States. We must demonstrate the safety, purity and potency, or efficacy, of cell therapy products to obtain FDA regulatory approval prior to marketing in the United States. Demonstration of safety and efficacy requires the conduct of nonclinical studies and well-controlled clinical trials in compliance with FDA, International Conference of Harmonization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19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must maintain our foreign regulatory approvals in compliance with regulatory requirements and applicable local regulations to allow for commercialization outside the U.S. Regulatory requirements outside the U.S. often require additional studies and data to obtain registration and, as a result, approval timelines can also be longer than those in the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5" w:name="page26"/>
    <w:bookmarkEnd w:id="25"/>
    <w:p>
      <w:pPr>
        <w:jc w:val="both"/>
        <w:ind w:firstLine="230"/>
        <w:spacing w:after="0" w:line="257" w:lineRule="auto"/>
        <w:rPr>
          <w:sz w:val="20"/>
          <w:szCs w:val="20"/>
          <w:color w:val="auto"/>
        </w:rPr>
      </w:pPr>
      <w:r>
        <w:rPr>
          <w:rFonts w:ascii="Arial" w:cs="Arial" w:eastAsia="Arial" w:hAnsi="Arial"/>
          <w:sz w:val="18"/>
          <w:szCs w:val="18"/>
          <w:color w:val="auto"/>
        </w:rPr>
        <w:t>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the regulatory requirements that affect our products and/or future product candidates could prevent, limit or delay our ability to market or develop new product candidates.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FDA regulations establish the regulatory requirements for drugs, devices and biological products. Our cell therapy products are regulated as devices or biologics under current regulations. Biologics require BLA approval in the U.S. prior to being marketed. The regulations and guidance that govern the approval of biological products for marketing in the U.S. are subject to review and change by the FDA, and such potential changes could have an adverse impact on our ability to continue to market our products and bring new products to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in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treatment or other competitive products and methods;</w:t>
      </w:r>
    </w:p>
    <w:p>
      <w:pPr>
        <w:ind w:left="980" w:right="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educate healthcare providers on the autologous use of human tissue, to avoid potential confusion with, and differentiate ourselves from, the ethical controversies associated with human fetal tissue and engineered human tissue;</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supply and demand and develop a group of medical professionals familiar with and committed to the use of our products; and</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1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If the medical community or patients do not accept the safety and effectiveness of our products, it could negatively affect our sale of those products, which would have a material adverse impact on our business, financial condition and operations.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6" w:name="page27"/>
    <w:bookmarkEnd w:id="26"/>
    <w:p>
      <w:pPr>
        <w:jc w:val="both"/>
        <w:ind w:firstLine="230"/>
        <w:spacing w:after="0" w:line="287" w:lineRule="auto"/>
        <w:rPr>
          <w:sz w:val="20"/>
          <w:szCs w:val="20"/>
          <w:color w:val="auto"/>
        </w:rPr>
      </w:pPr>
      <w:r>
        <w:rPr>
          <w:rFonts w:ascii="Arial" w:cs="Arial" w:eastAsia="Arial" w:hAnsi="Arial"/>
          <w:sz w:val="16"/>
          <w:szCs w:val="16"/>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evade our security measures, result in the loss of personal health information or other data subject to privacy laws or disrupt our information systems and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7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In addition, regulators globally are also imposing greater monetary fines for privacy violations. For example, in 2016, the European Union adopted a new regulation governing data practices and privacy called the General Data Protection Regulation, or GDPR, which became effective on May 25, 2018.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greater.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complex information technology (IT) systems for various critical purposes, including timely delivery of products and maintaining patient confidentiality.</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have developed a comprehensive, integrated information technology (IT) system for the intake of physician orders for our products, to track product delivery, and to store patient-related data that we obtain for purposes of manufacturing MACI and Epicel. We rely on this system to maintain the chain of identity for each autologous product, and to ensure timely delivery of product, prior to expiration. Each of our products has a limited usable life measured in days from the completion of the manufacturing process to patient implant or grafting. Accordingly, maintaining accurate scheduling logistics is critical. In addition, this IT system stores and protects the privacy of certain patient information, which is required for the manufacture of our individualized cell therapy products. If our systems were to fail or be disrupted for an extended period of time, we could lose product sales and our revenue and reputation would suffer. Similarly, in the event our systems were to be breached by an unauthorized third 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order to obtain regulatory approvals necessary to commercialize future product candidates in the United States, we must conduct adequate and well-controlled clinical trials to demonstrate the safety and effectiveness of those products, in compliance with current regulatory requirements. We may not be able to successfully complete the development of future product candidates, or successfully market our technologies or future product candidates. We, and any of our potential collaborators, may encounter problems and delays relating to research and development, regulatory approval and intellectual property rights of our technologies and future product candidates. Our research and development programs may not be successful, and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successfully complete our nonclinical and clinical development program to be able to demonstrate safety and efficacy to seek marketing approval of our future product candidates. Lack of efficacy and or safety events can lead to the discontinuation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of clinical development, and this can occur at any stage of the clinical development program. We may experience numerous unforeseen events during development that can delay or prevent commercialization of our future development candidates.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of early 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18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 and their subsequent performance in conducting accurate and reliable trials on a timely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IRB and other regulatory approvals to commence a clinical trial;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replicate in large controlled trials safety and efficacy data obtained from a limited number of patients in uncontrolled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17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current product development activities include but are not limited to projects directed at expanding clinical indications,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8" w:name="page29"/>
    <w:bookmarkEnd w:id="28"/>
    <w:p>
      <w:pPr>
        <w:jc w:val="both"/>
        <w:ind w:firstLine="243"/>
        <w:spacing w:after="0" w:line="255" w:lineRule="auto"/>
        <w:rPr>
          <w:sz w:val="20"/>
          <w:szCs w:val="20"/>
          <w:color w:val="auto"/>
        </w:rPr>
      </w:pPr>
      <w:r>
        <w:rPr>
          <w:rFonts w:ascii="Arial" w:cs="Arial" w:eastAsia="Arial" w:hAnsi="Arial"/>
          <w:sz w:val="18"/>
          <w:szCs w:val="18"/>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are subject to pre-approval and routine FDA inspections for compliance with the applicable regulations as a condition of FDA approval of our products.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at a third party site may require us to make additional expenditures, which could be material.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order to obtain marketing authorization of any of our current or future therapy product candidates in the United States, the FDA requires us to submit a BLA or marketing application, which is subject to the agency’s detailed review.</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Cell therapy and other products require FDA review under an appropriate marketing application prior to commercialization. Future cell and other biologic therapy candidates would be subject to FDA’s biological product requirements and would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17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BLA for MACI was approved by the FDA on December 13, 2016. The Cambridge manufacturing facility was subject to a pre-approval inspection to demonstrate the capabilities to manufacture the product under cGMP requirements in compliance with the procedures provided in the BLA. The MACI regulatory approval in the U.S. is associated with a number of post-marketing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73"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commitments, including conducting a pediatric clinical study in the U.S. Conducting this study will require funding and resources and is ongoing.</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7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not more than 8,000 individuals in the United States per year. Once a HUD receives a HDE from the FDA, 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 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the HDE for Epicel is suspended or revoked, marketing approval for the product would require the submission and approval of a premarket approval application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also required to implement and maintain stringent reporting, labeling and record keeping procedures for our products, both in the United States, and abroad.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termination of distribution, product seizures or civil penalties. In the most extreme cases, criminal sanctions or the closure of our manufacturing facility are possible.</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federal Food, Drug &amp; Cosmetic Act. Governmental and regulatory actions against us could result in various consequences that could adversely impact our operations, including:</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exclusion or the exclusion of our products from being reimbursed by federal and state healthcare programs (such as military, Medicare, Medicaid, Veterans Administration, or VA, health programs and Civilian Health and Medical Program Uniformed Service, or CHAMPUS);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civil or criminal prosecution or sanctions against us or our officers, directors and employees, such as fines, penalties or imprisonment.</w:t>
      </w:r>
    </w:p>
    <w:p>
      <w:pPr>
        <w:spacing w:after="0" w:line="23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further investigation and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imposed by the FDA. In addition, in many countries the national health or social security organizations of those nations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products or future product candidates may require regulatory approvals.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Changes or modifications in the manufacturing process of any of our products may require the submission of supplements to our BLAs, HDE application, and Investigational New Drug applications (INDs).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 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19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7"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restrictions relative to that product or the manufacturing facility, including suspension of manufacturing, recall or the withdrawal of the product from the market.</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Center for Biologics Evaluation and Research.</w:t>
      </w:r>
    </w:p>
    <w:p>
      <w:pPr>
        <w:spacing w:after="0" w:line="181"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8"/>
          <w:szCs w:val="18"/>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Client notifications for repair, replacement, or refund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Denial, refusal or delay of our requests for approval of new products or proposed changes to existing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of operating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product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actions were to occur it would harm our reputation and cause our product sales and profitability to suffer, preventing us from generating revenue. Furthermore, our key suppliers may have compliance issues, which could impact our ability to manufacture our products on a timely basis and in the required quantities.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Disruptions at the FDA and other agencies may also slow the time necessary for product candidates to be reviewed and/or approved by necessary government agencies, which would adversely affect our business. For example, several times in recent years, including most recently from December 22, 2018 to January 25, 2019, the U.S. government has shut down. As a result, certain regulatory agencies, including the FDA, have had to furlough essential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determines that we have marketed or promoted our products for one or more off-label uses, we may be subject to civil or criminal penalties.</w:t>
      </w:r>
    </w:p>
    <w:p>
      <w:pPr>
        <w:spacing w:after="0" w:line="26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Although federal law and the FDA do not restrict practicing healthcare professionals from, in the practice of medicine, prescribing and using our products to treat patients with conditions that the physician believes our products are clinically appropriate for, under the FFDCA and other laws, we are prohibited from promoting our products for uses that are inconsistent with the uses that have been approved by the FDA - also known as “off-label” uses. This means, for example, that we may not make claims about the use of any of our marketed products, including MACI or Epicel,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or Epicel for the off-label use and could impose fines and penalties on us and our executives. In addition, failure to follow FDA rules and guidelines relating to promotion and advertising can result in, among other things,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the FDA’s refusal to approve a product, the suspension or withdrawal of an approved product from the market, product recalls, fines, disgorgement of money, operating restrictions, injunctions and/or criminal prosecutions.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the Office of Inspector General within the Department of Health and Human Services, the DOJ, or another federal or state agency determines that we have promoted the off-label use of our products, we may be subject to various penalties, including civil or criminal penalties, and the off-label use of our products may result in injuries that lead to product liability lawsuits, which could be costly to our business.</w:t>
      </w:r>
    </w:p>
    <w:p>
      <w:pPr>
        <w:spacing w:after="0" w:line="14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the Company. Product liability claims are expensive to defend and could divert our management’s attention and result in substantial damage awards against us.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use of our products and future product candidates may expose us to product liability claims, and we may not be able to obtain adequate insurance. As a result, such claims could affect our earnings and financial condition.</w:t>
      </w:r>
    </w:p>
    <w:p>
      <w:pPr>
        <w:spacing w:after="0" w:line="17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these factors increase the likelihood of quality failures and subsequent product liability claims. Although we are not currently subject to any product liability proceedings and we have no reserves for product liability disbursements, we may incur material liabilities relating to product liability claims in the future, including product liability claims arising out of the usage of our products. Additionally,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7"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181"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use of animal-derived materials could harm our product development and commercialization efforts.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4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future of the Affordable Care Act and its impact on the pharmaceutical industry and the healthcare system remains uncertain. Some of the provisions of the ACA have yet to be fully implemented, while certain provisions have been subject to judicial and Congressional challenges, as well as efforts by the Trump administration to repeal or replace certain aspects of the ACA. While Congress has not passed repeal legislation, the Tax Reform Act includes a provision repealing, effective January 1, 2019, the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based shared responsibility payment imposed by the ACA on certain individuals who fail to maintain qualifying health coverage for all or part of a year that is commonly referred to as the “individual mandate.” As a result of the individual mandate repeal, subsequent litigation challenged the validity of the ACA.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w:t>
      </w:r>
    </w:p>
    <w:p>
      <w:pPr>
        <w:spacing w:after="0" w:line="18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It is possible that Congress may consider other legislation to repeal or replace certain elements of the ACA. In addition, since January 2017, President Trump has signed two Executive Orders designed to delay the implementation of certain provisions of the ACA or otherwise circumvent some of the requirements for health insurance mandated by the ACA. Further,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 request for a restraining order was denied by a federal judge in California on October 25, 2017. Furthermore, on June 14, 2018, the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the potential effect on our business, are not yet known.</w:t>
      </w:r>
    </w:p>
    <w:p>
      <w:pPr>
        <w:spacing w:after="0" w:line="16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PA and ST for six protected classes of drugs, with certain exceptions, permit plans to implement PA and ST in Medicare Part B drugs; and change the definition of “negotiated prices” while a definition of “price concession” in the regulations.</w:t>
      </w:r>
    </w:p>
    <w:p>
      <w:pPr>
        <w:spacing w:after="0" w:line="18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BBA, will remain in effect through 2027, unless additional congressional action is taken. On January 2, 2013, the American Taxpayer Relief Act of 2012 was signed into law, which, among other things, further reduced Medicare payments to several types of providers. 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are likely to continue, with unpredictable and uncertain results.</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While we cannot predict what impact on federal reimbursement policies this law or any replacement law will have in general or specifically on any product we may commercialize in the future, modifications to the Affordable Care Act or any replacement thereof may result in downward pressure on reimbursement, which could negatively affect market acceptance of new products. Any rebates, discounts, taxes costs or regulatory or systematic changes on healthcare resulting from the Affordable Care Act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its replacement may have a significant effect on our profitability in the future. We cannot predict whether the Affordable Care Act will continue or what other laws or proposals will be made or adopted, or what impact these efforts may have on us.</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While we cannot predict the full outcome of any such government action or legislation, it may harm our ability to market our products and generate revenues.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Furthermore, any adverse events in our clinical trials could negatively impact our products and product candidates.</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w:t>
      </w:r>
    </w:p>
    <w:p>
      <w:pPr>
        <w:spacing w:after="0" w:line="1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Recognizing the importance of the cell therapy field, Congress included several provisions related to regenerative medicine in the 21st Century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16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3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global economic conditions, financial markets and our business.</w:t>
      </w:r>
    </w:p>
    <w:p>
      <w:pPr>
        <w:spacing w:after="0" w:line="170"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June 2016, the United Kingdom (“UK”) held a referendum in which voters approved an exit from the EU, commonly referred to as “Brexit” and on January 31, 2020 the UK formally withdrew from the EU. The announcement of Brexit caused significant volatility in global stock markets and currency exchange rate fluctuations that resulted in the strengthening of the U.S. dollar against foreign currencies in which we conduct business. The strengthening of the U.S. dollar relative to other currencies may adversely affect our operating results. This referendum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 higher costs of conducting business in Europe. The UK’s withdrawal from the EU could also result in similar referendums or votes in other European countries in which we do business. Given the lack of comparable precedent, it is unclear what financial, trade and legal implications the withdrawal of the UK from the EU will have and how such withdrawal will affect us. Any new regulations could add time and expense to the conduct of our business, as well as the process by which we receive certain materials from vendors in the UK. In addition, the withdrawal of the UK from the EU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fulfill our obligations under our intellectual property licenses with third parties, we could lose license rights that are important to our business.</w:t>
      </w:r>
    </w:p>
    <w:p>
      <w:pPr>
        <w:spacing w:after="0" w:line="387" w:lineRule="exact"/>
        <w:rPr>
          <w:sz w:val="20"/>
          <w:szCs w:val="20"/>
          <w:color w:val="auto"/>
        </w:rPr>
      </w:pPr>
    </w:p>
    <w:p>
      <w:pPr>
        <w:jc w:val="both"/>
        <w:ind w:firstLine="230"/>
        <w:spacing w:after="0" w:line="218" w:lineRule="exact"/>
        <w:rPr>
          <w:sz w:val="20"/>
          <w:szCs w:val="20"/>
          <w:color w:val="auto"/>
        </w:rPr>
      </w:pPr>
      <w:r>
        <w:rPr>
          <w:rFonts w:ascii="Arial" w:cs="Arial" w:eastAsia="Arial" w:hAnsi="Arial"/>
          <w:sz w:val="18"/>
          <w:szCs w:val="18"/>
          <w:color w:val="auto"/>
        </w:rPr>
        <w:t>We are a party to intellectual property license agreements with third parties, including our license agreement with MediWound Ltd. for NexoBrid, and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might not be able to develop and market any product that is covered by these agreements. Termination of these licenses or reduction or elimination of our licensed rights may result in our having to negotiate new or reinstated licenses with less favorable terms. In addition, if these in</w:t>
      </w:r>
      <w:r>
        <w:rPr>
          <w:rFonts w:ascii="MS PGothic" w:cs="MS PGothic" w:eastAsia="MS PGothic" w:hAnsi="MS PGothic"/>
          <w:sz w:val="18"/>
          <w:szCs w:val="18"/>
          <w:color w:val="auto"/>
        </w:rPr>
        <w:t>‑</w:t>
      </w:r>
      <w:r>
        <w:rPr>
          <w:rFonts w:ascii="Arial" w:cs="Arial" w:eastAsia="Arial" w:hAnsi="Arial"/>
          <w:sz w:val="18"/>
          <w:szCs w:val="18"/>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licensing arrangement with MediWound is unsuccessful, our revenues and product development may be limited.</w:t>
      </w:r>
    </w:p>
    <w:p>
      <w:pPr>
        <w:spacing w:after="0" w:line="200" w:lineRule="exact"/>
        <w:rPr>
          <w:sz w:val="20"/>
          <w:szCs w:val="20"/>
          <w:color w:val="auto"/>
        </w:rPr>
      </w:pPr>
    </w:p>
    <w:p>
      <w:pPr>
        <w:spacing w:after="0" w:line="24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 xml:space="preserve">We have entered into a licensing arrangement with MediWound Ltd. for the development of NexoBrid in North America. However, there can be no assurance that this agreement and our and MediWound’s efforts pursuant to it will result in FDA approval of NexoBrid, or that we will be able to market NexoBrid at a profit. </w:t>
      </w:r>
      <w:r>
        <w:rPr>
          <w:rFonts w:ascii="Arial" w:cs="Arial" w:eastAsia="Arial" w:hAnsi="Arial"/>
          <w:sz w:val="18"/>
          <w:szCs w:val="18"/>
          <w:color w:val="212529"/>
        </w:rPr>
        <w:t>Under the terms of the License Agreement, MediWound will continue to conduct all development activities under the supervision of a</w:t>
      </w:r>
      <w:r>
        <w:rPr>
          <w:rFonts w:ascii="Arial" w:cs="Arial" w:eastAsia="Arial" w:hAnsi="Arial"/>
          <w:sz w:val="18"/>
          <w:szCs w:val="18"/>
          <w:color w:val="auto"/>
        </w:rPr>
        <w:t xml:space="preserve"> </w:t>
      </w:r>
      <w:r>
        <w:rPr>
          <w:rFonts w:ascii="Arial" w:cs="Arial" w:eastAsia="Arial" w:hAnsi="Arial"/>
          <w:sz w:val="18"/>
          <w:szCs w:val="18"/>
          <w:color w:val="212529"/>
        </w:rPr>
        <w:t xml:space="preserve">Central Steering Committee comprised of members of each party until the BLA is approved and subsequently transferred to Vericel. </w:t>
      </w:r>
      <w:r>
        <w:rPr>
          <w:rFonts w:ascii="Arial" w:cs="Arial" w:eastAsia="Arial" w:hAnsi="Arial"/>
          <w:sz w:val="18"/>
          <w:szCs w:val="18"/>
          <w:color w:val="000000"/>
        </w:rPr>
        <w:t>Collaboration and</w:t>
      </w:r>
      <w:r>
        <w:rPr>
          <w:rFonts w:ascii="Arial" w:cs="Arial" w:eastAsia="Arial" w:hAnsi="Arial"/>
          <w:sz w:val="18"/>
          <w:szCs w:val="18"/>
          <w:color w:val="212529"/>
        </w:rPr>
        <w:t xml:space="preserve"> </w:t>
      </w:r>
      <w:r>
        <w:rPr>
          <w:rFonts w:ascii="Arial" w:cs="Arial" w:eastAsia="Arial" w:hAnsi="Arial"/>
          <w:sz w:val="18"/>
          <w:szCs w:val="18"/>
          <w:color w:val="000000"/>
        </w:rPr>
        <w:t>licensing arrangements pose the following risks:</w:t>
      </w:r>
    </w:p>
    <w:p>
      <w:pPr>
        <w:spacing w:after="0" w:line="18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and licensing arrangements may be terminated;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and licensors may delay clinical trials and prolong clinical development, or under-fund or stop a clinical trial;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7" w:name="page38"/>
    <w:bookmarkEnd w:id="37"/>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revenue might not be generated because product candidates may not be approved;</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and licensors could independently develop, or develop with third parties, products that could compete with our future products despite non-competition provisions;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our contracts with current or future collaborators and license parties may not be favorable to us in the future;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delaying or terminating the research, development, or commercialization of our product candidates, or result in significant and costly litigation or arbitration; and</w:t>
      </w: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or more third-party developers could obtain approval for a similar product prior to the product candidate resulting in unforeseen price competition in connection with the product candidate.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is a lengthy and expensive process, with an uncertain outcome.</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intend to commercialize NexoBrid in the U.S. and potentially other North American countries. However, before we can commercialize NexoBrid, we must first obtain regulatory approval for the sale of NexoBrid in any jurisdiction, which includes the submission of an application utilizing completed and ongoing clinical studies to demonstrate that the product is safe and effective. We depend on MediWound for its efforts in completing clinical trials and other clinical activities pursuant to the development plan, obtaining regulatory approval and manufacturing and supplying NexoBrid.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events could delay or prevent our ability to successfully gain regulatory approval, including:</w:t>
      </w:r>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patients may not participate in necessary follow-up visits to obtain required data, which would result in significant delays in the clinical testing process;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contractors, such as a research institute, may fail to comply with regulatory requirements or meet their contractual obligations to MediWound;</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undetected or concealed fraudulent activity by a clinical researcher, if discovered, could preclude the submission of clinical data prepared by that researcher, lead to the suspension or substantive scientific review of one or more of our marketing applications by regulatory agencies, and result in the recall of any approved product distributed pursuant to data determined to be fraudulent;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audit of preclinical or clinical studies by regulatory authorities may reveal noncompliance with applicable protocols or regulations, which could lead to disqualification of the results and the need to perform additional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NexoBrid may not be approved for treatment of severe burns in the United States and other North American markets.</w:t>
      </w:r>
    </w:p>
    <w:p>
      <w:pPr>
        <w:spacing w:after="0" w:line="22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Our continued growth partially depends on our and MediWound’s ability to develop and obtain regulatory approval from the FDA for NexoBrid for treatment of severe burns in the United States. MediWound recently announced top-line results from the Phase 3 pivotal study to support a BLA submission to the FDA, according to which the study has met its primary and all secondary endpoints. MediWound is conducting twelve and twenty-four month safety follow-ups for cosmesis, function, quality of life and other safety measurements. Data from MediWound’s twelve-month follow-up has been compiled and is being evaluated, while it’s twenty-four month follow-up is ongoing. While this and previous studies have met their primary endpoints, we cannot predict the outcome of the planned safety follow-ups, whether the FDA will accept a BLA submission based on the available preclinical and clinical data, how long the FDA may take to review and approve NexoBrid following the BLA submission or whether any such approval in the United States will ultimately be granted. Similarly, we cannot predict how long regulatory authorities in Mexico or Canada will take to provide NexoBrid with marketing authorization in their jurisdictions or whether such authorizations will be granted at all. The failure to receive regulatory approval in the United States would have a material adverse impact on our business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NexoBrid will be accepted in the market even if regulatory approval is received.</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success of NexoBrid, if and when approved, depends upon the acceptance of NexoBrid by patients, the medical community and third-party payers, effectively competing with other products, a continued acceptable safety profile following approval and qualifying for, maintaining, enforcing and defending related intellectual property rights and claims. Even if we and MediWound successfully obtain regulatory approvals to market NexoBrid, our revenues will be dependent, in part, upon the size of the markets for which we gain regulatory approval. If the markets that we are targeting are not as significant as we estimate, we may not generate significant revenues from sales of such products, if approved.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licensor MediWound is dependent on a contract with the U.S. Biomedical Advanced Research and Development Authority to fund the Phase 3 clinical trial and other development activities of NexoBrid in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7" w:right="239" w:bottom="1440" w:gutter="0" w:footer="0" w:header="0"/>
        </w:sectPr>
      </w:pPr>
    </w:p>
    <w:bookmarkStart w:id="38" w:name="page39"/>
    <w:bookmarkEnd w:id="38"/>
    <w:p>
      <w:pPr>
        <w:jc w:val="both"/>
        <w:ind w:firstLine="230"/>
        <w:spacing w:after="0" w:line="285" w:lineRule="auto"/>
        <w:rPr>
          <w:sz w:val="20"/>
          <w:szCs w:val="20"/>
          <w:color w:val="auto"/>
        </w:rPr>
      </w:pPr>
      <w:r>
        <w:rPr>
          <w:rFonts w:ascii="Arial" w:cs="Arial" w:eastAsia="Arial" w:hAnsi="Arial"/>
          <w:sz w:val="16"/>
          <w:szCs w:val="16"/>
          <w:color w:val="auto"/>
        </w:rPr>
        <w:t xml:space="preserve">MediWound has a contract with BARDA valued at up to $132 million for the advancement of the development and manufacturing, as well as the procurement, of NexoBrid in the United States. Under the contract, BARDA has agreed to fund up to $56 million of the development costs of NexoBrid required to obtain marketing approval in the United States, including its ongoing pediatric Phase 3 study and its expansion to include U.S. pediatric burn care sites, and has an option to further fund $10 million in development activities for other potential NexoBrid indications. In January 2020, MediWound confirmed its previous commitment and began procuring NexoBrid for emergency stockpile as part of the HHS mission to build national preparedness for public health medical emergencies. </w:t>
      </w:r>
      <w:r>
        <w:rPr>
          <w:rFonts w:ascii="Arial" w:cs="Arial" w:eastAsia="Arial" w:hAnsi="Arial"/>
          <w:sz w:val="16"/>
          <w:szCs w:val="16"/>
          <w:color w:val="212529"/>
        </w:rPr>
        <w:t>The initial BARDA procurement is valued at $16.5 million, with the first delivery of NexoBrid expected by the end of the</w:t>
      </w:r>
      <w:r>
        <w:rPr>
          <w:rFonts w:ascii="Arial" w:cs="Arial" w:eastAsia="Arial" w:hAnsi="Arial"/>
          <w:sz w:val="16"/>
          <w:szCs w:val="16"/>
          <w:color w:val="auto"/>
        </w:rPr>
        <w:t xml:space="preserve"> </w:t>
      </w:r>
      <w:r>
        <w:rPr>
          <w:rFonts w:ascii="Arial" w:cs="Arial" w:eastAsia="Arial" w:hAnsi="Arial"/>
          <w:sz w:val="16"/>
          <w:szCs w:val="16"/>
          <w:color w:val="212529"/>
        </w:rPr>
        <w:t xml:space="preserve">first quarter of 2020 and additional deliveries occurring over the subsequent five quarters. In addition, BARDA holds an option to procure additional quantities of NexoBrid through funding of up to $50 million. </w:t>
      </w:r>
      <w:r>
        <w:rPr>
          <w:rFonts w:ascii="Arial" w:cs="Arial" w:eastAsia="Arial" w:hAnsi="Arial"/>
          <w:sz w:val="16"/>
          <w:szCs w:val="16"/>
          <w:color w:val="000000"/>
        </w:rPr>
        <w:t>In addition, MediWound was recently awarded a new contract to develop NexoBrid for the</w:t>
      </w:r>
      <w:r>
        <w:rPr>
          <w:rFonts w:ascii="Arial" w:cs="Arial" w:eastAsia="Arial" w:hAnsi="Arial"/>
          <w:sz w:val="16"/>
          <w:szCs w:val="16"/>
          <w:color w:val="212529"/>
        </w:rPr>
        <w:t xml:space="preserve"> </w:t>
      </w:r>
      <w:r>
        <w:rPr>
          <w:rFonts w:ascii="Arial" w:cs="Arial" w:eastAsia="Arial" w:hAnsi="Arial"/>
          <w:sz w:val="16"/>
          <w:szCs w:val="16"/>
          <w:color w:val="000000"/>
        </w:rPr>
        <w:t xml:space="preserve">treatment of Sulfur Mustard injuries as part of BARDA preparedness for mass casualty events. The contract provides approximately $12 million of funding to support research and development activities up to pivotal studies in animals under the U.S. FDA Animal Efficacy Rule and contains options for additional funding of up to $31 million for additional development activities, animal pivotal studies, and the BLA submission for licensure of NexoBrid for the treatment of Sulfur Mustard injuries. MediWound also was recently awarded </w:t>
      </w:r>
      <w:r>
        <w:rPr>
          <w:rFonts w:ascii="Arial" w:cs="Arial" w:eastAsia="Arial" w:hAnsi="Arial"/>
          <w:sz w:val="16"/>
          <w:szCs w:val="16"/>
          <w:color w:val="212529"/>
        </w:rPr>
        <w:t>funding for the NexoBrid expanded access treatment (NEXT) protocol being</w:t>
      </w:r>
      <w:r>
        <w:rPr>
          <w:rFonts w:ascii="Arial" w:cs="Arial" w:eastAsia="Arial" w:hAnsi="Arial"/>
          <w:sz w:val="16"/>
          <w:szCs w:val="16"/>
          <w:color w:val="000000"/>
        </w:rPr>
        <w:t xml:space="preserve"> </w:t>
      </w:r>
      <w:r>
        <w:rPr>
          <w:rFonts w:ascii="Arial" w:cs="Arial" w:eastAsia="Arial" w:hAnsi="Arial"/>
          <w:sz w:val="16"/>
          <w:szCs w:val="16"/>
          <w:color w:val="212529"/>
        </w:rPr>
        <w:t xml:space="preserve">conducted under the FDA’s expanded access program. </w:t>
      </w:r>
      <w:r>
        <w:rPr>
          <w:rFonts w:ascii="Arial" w:cs="Arial" w:eastAsia="Arial" w:hAnsi="Arial"/>
          <w:sz w:val="16"/>
          <w:szCs w:val="16"/>
          <w:color w:val="000000"/>
        </w:rPr>
        <w:t>However, the contracts provide that BARDA may terminate the contract at any time, at its</w:t>
      </w:r>
      <w:r>
        <w:rPr>
          <w:rFonts w:ascii="Arial" w:cs="Arial" w:eastAsia="Arial" w:hAnsi="Arial"/>
          <w:sz w:val="16"/>
          <w:szCs w:val="16"/>
          <w:color w:val="212529"/>
        </w:rPr>
        <w:t xml:space="preserve"> </w:t>
      </w:r>
      <w:r>
        <w:rPr>
          <w:rFonts w:ascii="Arial" w:cs="Arial" w:eastAsia="Arial" w:hAnsi="Arial"/>
          <w:sz w:val="16"/>
          <w:szCs w:val="16"/>
          <w:color w:val="000000"/>
        </w:rPr>
        <w:t>convenience, without any further funding obligations. 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development of NexoBrid for the treatment of Sulfur Mustard injuries and the NEXT study. In addition, the loss of funding may adversely affect MediWound’s ability to complete the required activities to file the BLA without access to alternative sources of funding. This could lead to a modification to the financial provisions of our agreement or a significant delay in the development of NexoBrid. Further, we cannot provide any assurances as to when or whether BARDA’s commitment for procurement of NexoBrid will occur nor when or whether BARDA’s option to fund additional development activities for NexoBrid will be exercised.</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of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66"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for Epicel, any of which would materially affect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Some of our issued patents relating to MACI have already expired and others may be insufficient to protect our business.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issued patents in the United States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include both granted patents outside the U.S., and pending applications both inside and outside the U.S.; these are expected to expire, absent any extensions between 2023 and 2033.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Supreme Court. For example,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On June 13, 2013, the Supreme Court issued a decision in the Myriad case. According to the decision, claims directed to genomic DNA cover unpatentable subject matter. However, claims directed to cDNA are patent eligible subject matter.</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December 10, 2014, the USPTO published the 2014 Interim Guidance on Patent Subject Matter Eligibility. On May 4, 2016, the USPTO issued a memorandum addressing “Formulating a Subject Matter Eligibility Rejection and Evaluating the Applicant’s Response to a Subject Matter Eligibility Rejection”. This memorandum provides guidance to patent examiners for examining claims reciting laws of nature/natural principles, natural phenomena, and/or natural products for patent eligibility in view of the Supreme Court decisions in Prometheus and Myriad.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7"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or MACI.</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and the opposing party’s attorney fees, and force us to pay significant license fees and royalties or cease the development and sale of our products and processes.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7" w:right="239" w:bottom="1440" w:gutter="0" w:footer="0" w:header="0"/>
        </w:sectPr>
      </w:pPr>
    </w:p>
    <w:bookmarkStart w:id="42" w:name="page43"/>
    <w:bookmarkEnd w:id="42"/>
    <w:p>
      <w:pPr>
        <w:jc w:val="both"/>
        <w:ind w:left="66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market price of shares of our common stock has been volatile, ranging in closing price between $13.77 and $20.29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price of our common stock may continue to fluctuate in response to a number of events and factors, such as:</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MACI and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Demand for and clinical acceptance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sales of products and of the introduction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in our company. The success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your investment will likely depend entirely upon any future appreciation of the market price of our common stock, which is uncertain and unpredictable.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is no guarantee that our common stock will appreciate in value.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Efforts to comply with securities laws and regulations require management resources, and we still may fail to comply.</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lease approximately 57,000 square feet in Cambridge, Massachusetts and 6,000 square feet in Ann Arbor, Michigan. The Cambridge lease expires in February 2022 and we have the right to extend until February 2027, subject to certain conditions being met. The facilities include clean rooms, laboratories and office space. The Ann Arbor lease expires in April 2023. We believe that our facilities are adequate to meet our current needs. Additional facilities may be required to support expansion for research and development activities or to assume manufacturing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common stock is currently quoted on the NASDAQ Capital Market under the symbol “VCEL”. The following table sets forth the high and low closing prices per share of common stock as reported on the NASDAQ Stock Market.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Low</w:t>
            </w:r>
          </w:p>
        </w:tc>
      </w:tr>
      <w:tr>
        <w:trPr>
          <w:trHeight w:val="236"/>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Year ended December 31, 2018</w:t>
            </w: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First Quarter</w:t>
            </w:r>
          </w:p>
        </w:tc>
        <w:tc>
          <w:tcPr>
            <w:tcW w:w="514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5.70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9.10</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w:t>
            </w: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2019</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15.01</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13.77</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February 21, 2020 there were approximately 165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following graph shows the total stockholder return of an investment of $100 in cash on December 31, 2015 through December 31, 2019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848985" cy="2727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Equity Compensation Plan Information as of December 31, 2019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information as of December 31, 2019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are authorized for issuances:</w:t>
      </w:r>
    </w:p>
    <w:p>
      <w:pPr>
        <w:sectPr>
          <w:pgSz w:w="11900" w:h="16838" w:orient="portrait"/>
          <w:cols w:equalWidth="0" w:num="1">
            <w:col w:w="11420"/>
          </w:cols>
          <w:pgMar w:left="240" w:top="553" w:right="239" w:bottom="1440" w:gutter="0" w:footer="0" w:header="0"/>
        </w:sectPr>
      </w:pP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right"/>
              <w:ind w:right="44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 be Issued upon Exercise</w:t>
            </w:r>
          </w:p>
        </w:tc>
        <w:tc>
          <w:tcPr>
            <w:tcW w:w="320" w:type="dxa"/>
            <w:vAlign w:val="bottom"/>
          </w:tcPr>
          <w:p>
            <w:pPr>
              <w:spacing w:after="0"/>
              <w:rPr>
                <w:sz w:val="16"/>
                <w:szCs w:val="16"/>
                <w:color w:val="auto"/>
              </w:rPr>
            </w:pPr>
          </w:p>
        </w:tc>
        <w:tc>
          <w:tcPr>
            <w:tcW w:w="1840" w:type="dxa"/>
            <w:vAlign w:val="bottom"/>
          </w:tcPr>
          <w:p>
            <w:pPr>
              <w:jc w:val="center"/>
              <w:ind w:right="203"/>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of Outstanding Options,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3"/>
              </w:rPr>
              <w:t>Options, Warrants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Warrants and Rights</w:t>
            </w:r>
          </w:p>
        </w:tc>
        <w:tc>
          <w:tcPr>
            <w:tcW w:w="320" w:type="dxa"/>
            <w:vAlign w:val="bottom"/>
          </w:tcPr>
          <w:p>
            <w:pPr>
              <w:spacing w:after="0"/>
              <w:rPr>
                <w:sz w:val="18"/>
                <w:szCs w:val="18"/>
                <w:color w:val="auto"/>
              </w:rPr>
            </w:pPr>
          </w:p>
        </w:tc>
        <w:tc>
          <w:tcPr>
            <w:tcW w:w="1840" w:type="dxa"/>
            <w:vAlign w:val="bottom"/>
          </w:tcPr>
          <w:p>
            <w:pPr>
              <w:jc w:val="center"/>
              <w:ind w:right="183"/>
              <w:spacing w:after="0"/>
              <w:rPr>
                <w:sz w:val="20"/>
                <w:szCs w:val="20"/>
                <w:color w:val="auto"/>
              </w:rPr>
            </w:pPr>
            <w:r>
              <w:rPr>
                <w:rFonts w:ascii="Arial" w:cs="Arial" w:eastAsia="Arial" w:hAnsi="Arial"/>
                <w:sz w:val="14"/>
                <w:szCs w:val="14"/>
                <w:b w:val="1"/>
                <w:bCs w:val="1"/>
                <w:color w:val="auto"/>
                <w:w w:val="91"/>
              </w:rPr>
              <w:t>and Rights</w:t>
            </w:r>
          </w:p>
        </w:tc>
        <w:tc>
          <w:tcPr>
            <w:tcW w:w="0" w:type="dxa"/>
            <w:vAlign w:val="bottom"/>
          </w:tcPr>
          <w:p>
            <w:pPr>
              <w:spacing w:after="0"/>
              <w:rPr>
                <w:sz w:val="1"/>
                <w:szCs w:val="1"/>
                <w:color w:val="auto"/>
              </w:rPr>
            </w:pPr>
          </w:p>
        </w:tc>
      </w:tr>
      <w:tr>
        <w:trPr>
          <w:trHeight w:val="39"/>
        </w:trPr>
        <w:tc>
          <w:tcPr>
            <w:tcW w:w="4440" w:type="dxa"/>
            <w:vAlign w:val="bottom"/>
            <w:vMerge w:val="restart"/>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2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line="270" w:lineRule="exact"/>
              <w:rPr>
                <w:sz w:val="20"/>
                <w:szCs w:val="20"/>
                <w:color w:val="auto"/>
              </w:rPr>
            </w:pPr>
            <w:r>
              <w:rPr>
                <w:rFonts w:ascii="Arial" w:cs="Arial" w:eastAsia="Arial" w:hAnsi="Arial"/>
                <w:sz w:val="18"/>
                <w:szCs w:val="18"/>
                <w:color w:val="auto"/>
              </w:rPr>
              <w:t>(employees and directors)</w:t>
            </w:r>
            <w:r>
              <w:rPr>
                <w:rFonts w:ascii="Arial" w:cs="Arial" w:eastAsia="Arial" w:hAnsi="Arial"/>
                <w:sz w:val="25"/>
                <w:szCs w:val="25"/>
                <w:color w:val="auto"/>
                <w:vertAlign w:val="superscript"/>
              </w:rPr>
              <w:t>(1)(2)</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5,052,950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329"/>
        </w:trPr>
        <w:tc>
          <w:tcPr>
            <w:tcW w:w="4440" w:type="dxa"/>
            <w:vAlign w:val="bottom"/>
          </w:tcPr>
          <w:p>
            <w:pPr>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(1)(3)</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19,076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1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material features of these securities are described in note 9 of the Consolidated Financial Statements.</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issuable under the 2019 Omnibus Incentive Plan.</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issuable under the 2015 Employee Stock Purchase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480"/>
        <w:spacing w:after="0" w:line="279" w:lineRule="auto"/>
        <w:rPr>
          <w:sz w:val="20"/>
          <w:szCs w:val="20"/>
          <w:color w:val="auto"/>
        </w:rPr>
      </w:pPr>
      <w:r>
        <w:rPr>
          <w:rFonts w:ascii="Arial" w:cs="Arial" w:eastAsia="Arial" w:hAnsi="Arial"/>
          <w:sz w:val="12"/>
          <w:szCs w:val="12"/>
          <w:b w:val="1"/>
          <w:bCs w:val="1"/>
          <w:color w:val="auto"/>
        </w:rPr>
        <w:t>Number of Securities Remaining Available for Future Issuance Under Equity Compensation Plans</w:t>
      </w:r>
    </w:p>
    <w:p>
      <w:pPr>
        <w:spacing w:after="0" w:line="21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3,344,242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404,201</w:t>
      </w:r>
    </w:p>
    <w:p>
      <w:pPr>
        <w:spacing w:after="0" w:line="2073" w:lineRule="exact"/>
        <w:rPr>
          <w:sz w:val="20"/>
          <w:szCs w:val="20"/>
          <w:color w:val="auto"/>
        </w:rPr>
      </w:pPr>
    </w:p>
    <w:p>
      <w:pPr>
        <w:sectPr>
          <w:pgSz w:w="11900" w:h="16838" w:orient="portrait"/>
          <w:cols w:equalWidth="0" w:num="2">
            <w:col w:w="9040" w:space="600"/>
            <w:col w:w="1780"/>
          </w:cols>
          <w:pgMar w:left="240" w:top="553" w:right="239" w:bottom="1440" w:gutter="0" w:footer="0" w:header="0"/>
          <w:type w:val="continuous"/>
        </w:sectPr>
      </w:pPr>
    </w:p>
    <w:p>
      <w:pPr>
        <w:spacing w:after="0" w:line="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December 21, 2017, Vericel received a payment comprised of an upfront license fee from Innovative Cellular Therapeutics CO., LTD. (ICT) discussed in note 4 and purchase of $4.0 million for a warrant for 818,424 shares of the Company’s common stock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2019.</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and December of 2018 and September of 2019, Silicon Valley Bank and the assignee for MidCap Financial Trust and MidCap Funding III Trust exercised warrants obtained during the debt financings discussed in note 6 via cashless exercise in exchange for a total of 134,893 shares of the Company’s common stock. See further discussion of debt financings and warrants in note 6 and note 12, within the attached consolidated Financial Statements and Supplementary Data included in Item 8, of this Form 10-K,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data for each of the five years in the period ended December 31, 2019 are derived from our Consolidated Financial Statements. The selected historical financial data for the financial position of our Company as of December 31, 2019 and 2018 and the results of their operations for each of the five years in the period ended December 31, 2019 presented below should be read together with our consolidated financial statements and the notes to those statements and “Item 7 Management’s Discussion and Analysis of Financial Condition and Results of Operations,” included elsewhere in this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18,890</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22,479</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impairment of intangible asset</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5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91,530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41,369</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(Increase) decrease in fair value of warrants</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Net loss per share attributable to common shareholders</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180"/>
              <w:spacing w:after="0"/>
              <w:rPr>
                <w:sz w:val="20"/>
                <w:szCs w:val="20"/>
                <w:color w:val="auto"/>
              </w:rPr>
            </w:pPr>
            <w:r>
              <w:rPr>
                <w:rFonts w:ascii="Arial" w:cs="Arial" w:eastAsia="Arial" w:hAnsi="Arial"/>
                <w:sz w:val="18"/>
                <w:szCs w:val="18"/>
                <w:color w:val="auto"/>
                <w:w w:val="94"/>
              </w:rPr>
              <w:t>Weighted average number of common shares outstanding</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44,180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40,242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23,760</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both"/>
        <w:ind w:left="280" w:right="20" w:hanging="245"/>
        <w:spacing w:after="0" w:line="264" w:lineRule="auto"/>
        <w:tabs>
          <w:tab w:leader="none" w:pos="2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May 2019, the Company paid MediWound $17.5 million in consideration for a license to commercialize NexoBrid. The $17.5 million upfront payment was recorded to research and development expense in the year ended December 31, 2019 as the license is for registration-stage product rights and is considered in process research and development.</w:t>
      </w:r>
    </w:p>
    <w:p>
      <w:pPr>
        <w:spacing w:after="0" w:line="194" w:lineRule="exact"/>
        <w:rPr>
          <w:rFonts w:ascii="Arial" w:cs="Arial" w:eastAsia="Arial" w:hAnsi="Arial"/>
          <w:sz w:val="18"/>
          <w:szCs w:val="18"/>
          <w:color w:val="auto"/>
        </w:rPr>
      </w:pPr>
    </w:p>
    <w:p>
      <w:pPr>
        <w:jc w:val="both"/>
        <w:ind w:left="280" w:right="40" w:hanging="245"/>
        <w:spacing w:after="0" w:line="264" w:lineRule="auto"/>
        <w:tabs>
          <w:tab w:leader="none" w:pos="2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on impairment of intangible asset in 2016 is related to write-off of the commercial use rights for certain products (primarily Carticel). Upon the approval of MACI in December 2016 and the replacement of Carticel with MACI, it was determined the Carticel related intangible asset was fully impaired as of December 31, 2016.</w:t>
      </w:r>
    </w:p>
    <w:p>
      <w:pPr>
        <w:spacing w:after="0" w:line="194" w:lineRule="exact"/>
        <w:rPr>
          <w:rFonts w:ascii="Arial" w:cs="Arial" w:eastAsia="Arial" w:hAnsi="Arial"/>
          <w:sz w:val="18"/>
          <w:szCs w:val="18"/>
          <w:color w:val="auto"/>
        </w:rPr>
      </w:pPr>
    </w:p>
    <w:p>
      <w:pPr>
        <w:ind w:left="280" w:right="40" w:hanging="245"/>
        <w:spacing w:after="0" w:line="277" w:lineRule="auto"/>
        <w:tabs>
          <w:tab w:leader="none" w:pos="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fair value of the warrants are due to the reduction in the time to maturity and changes in our stock price. There are no warrants outstanding as of December 31, 2019.</w:t>
      </w:r>
    </w:p>
    <w:p>
      <w:pPr>
        <w:spacing w:after="0" w:line="183" w:lineRule="exact"/>
        <w:rPr>
          <w:rFonts w:ascii="Arial" w:cs="Arial" w:eastAsia="Arial" w:hAnsi="Arial"/>
          <w:sz w:val="18"/>
          <w:szCs w:val="18"/>
          <w:color w:val="auto"/>
        </w:rPr>
      </w:pPr>
    </w:p>
    <w:p>
      <w:pPr>
        <w:jc w:val="both"/>
        <w:ind w:left="280" w:right="40" w:hanging="245"/>
        <w:spacing w:after="0" w:line="259" w:lineRule="auto"/>
        <w:tabs>
          <w:tab w:leader="none" w:pos="3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December 2017 we modified our debt arrangement for outstanding debt that was held during that time, which resulted in a loss incurred for fees expensed upon the extinguishment of debt that was replaced with a new debt arrangement. In December 2018, we prepaid in full all outstanding indebtedness which resulted in a loss incurred for fees expensed upon the extinguishment of this debt described in note 6, within the attached Financial Statements and Supplementary Data in Item 8, of this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79"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42,829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64,638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short 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 (a)</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91,860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37,416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15,235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34,309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111,091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24,708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Working capital is defined as current assets less current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reports, filings and other public announcements contain certain statements that describe our management’s beliefs concerning future business conditions, plans and prospects, growth opportunities and the outlook for our business and the biopharmaceutical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 to time.</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an earlier generation ACI product, from the market. We also market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We hold an exclusive license for North America commercial rights to NexoBrid, a registration-stage biological orphan product for debridement of severe thermal burns.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We also own Carticel which is no longer marketed in the U.S. In addition, we have entered into exclusive license and supply agreements with MediWound to commercialize NexoBrid in all countries of North America. NexoBrid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3"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color w:val="auto"/>
        </w:rPr>
        <w:t>MACI and Carticel</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Carticel, an earlier 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third-generation product for autologous chondrocyte implantation (ACI), a class of methods for the repair of symptomatic, single or multiple full-thickness cartilage defects of the knee with or without bone involvement in adults.</w:t>
      </w:r>
    </w:p>
    <w:p>
      <w:pPr>
        <w:spacing w:after="0" w:line="200"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7"/>
          <w:szCs w:val="17"/>
          <w:color w:val="auto"/>
        </w:rPr>
        <w:t>In the U.S., the physician target audience which repairs cartilage defects is concentrated and is partly comprised of a group of orthopedic surgeons who self-identify and/or have a formal specialty as sports medicine physicians. We believe this target audience is approximately 3,000 physicians. To more effectively engage this customer base, we expanded our sales force from 40 to 48 representatives in the second quarter of 2019. In addition to sports medicine physicians there is a population of approximately 8,000 general orthopedic surgeons who treat cartilage injuries, although typically at a much lower average volume relative to the sports medicine segment. In 2020 we plan on a further expansion to 76 representatives to enable the sales force to also call on 2,000 of the general orthopedic surgeons. Most private payers have a medical policy that covers treatment with MACI with the top 30 largest commercial payers having a formal medical policy for MACI or ACI in general. Even for private payers which have not yet approved a medical policy for MACI, for medically appropriate cases, we often obtain approval on a case by case basis.</w:t>
      </w:r>
    </w:p>
    <w:p>
      <w:pPr>
        <w:spacing w:after="0"/>
        <w:rPr>
          <w:sz w:val="20"/>
          <w:szCs w:val="20"/>
          <w:color w:val="auto"/>
        </w:rPr>
      </w:pPr>
      <w:r>
        <w:rPr>
          <w:rFonts w:ascii="Arial" w:cs="Arial" w:eastAsia="Arial" w:hAnsi="Arial"/>
          <w:sz w:val="18"/>
          <w:szCs w:val="18"/>
          <w:color w:val="auto"/>
        </w:rPr>
        <w:t>For the year ended December 31, 2019, net revenues were $91.6 million for MACI.</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Epicel is a permanent skin replacement for deep dermal or full thickness burns greater than or equal to 30% of total body surface area (TBSA). Epicel is regulated by the Center for Biologics Evaluation and Research, or CBER of the U.S. Food and Drug Administration, or FDA under medical device authorities, and is the only FDA-approved cultured epidermal autograft product available for large total surface area burns. Epicel was designated as a Humanitarian Use Device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6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10 person field force. In the year ended December 31, 2019, net revenues were $26.2 million for Epicel.</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a BLA currently is targeted for submission to the FDA midyear 2020. Pursuant to the terms of our license agreement with MediWound, MediWound will continue to conduct all clinical activities described in the development plan to support the filing of a BLA with the United States Food and Drug Administration under the supervision of a Central Steering Committee comprised of members of each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69" w:right="23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1"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net loss for the year ended December 31, 2019 totaled $9.7 million which included a $17.5 million upfront payment for the NexoBrid license. Our net loss for the year ended December 31, 2018 and December 31, 2017 totaled $8.1 million and $17.3 million, which included a loss on extinguishment of debt of $0.8 million and $0.9 million,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32,160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30,354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33,570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62,606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48,554</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Net revenues increased for the year ended December 31, 2019 compared to December 31, 2018 primarily due to significant volume growth for both MACI and Epicel. Cash discounts for the year ended December 31, 2019, were insignificant.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revenues increased for the year ended December 31, 2018 compared to December 31, 2017 primarily due to an increase in cartilage implants during MACI’s second year on the market as well as continued growth in demand for Epicel grafts over the prior year. Cash discounts for the years ended December 31, 2018 were $0.2 million, and were insignificant in 2017.</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revenues for the years ended December 31, 2019, 2018 and 2017 are shown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67,741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43,902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26,230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18,858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117,850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90,857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63,924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ACI (MACI and Carticel prior to its replacement) sales volumes from the first through the fourth quarter have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represented 19% (16%-24% range), 23% (21%-25% range), 22% (20%-23% range) and 36% (32%-38% range) respectively, of total annual volumes. MACI orders are consistently stronger in the fourth quarter due to several factors including insurance deductible limits and the time of year patients prefer to start rehabilitation. Due to the low incidence and sporadic nature of severe burns, Epicel revenue has inherent variability from quarter to quarter and does not exhibit significant seasonality. Over the past four years, Epicel revenue in a single quarter has ranged from as high as 34% to as low as 17% of annual revenue.</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769"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2017</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80,279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9"/>
              <w:spacing w:after="0"/>
              <w:rPr>
                <w:sz w:val="20"/>
                <w:szCs w:val="20"/>
                <w:color w:val="auto"/>
              </w:rPr>
            </w:pPr>
            <w:r>
              <w:rPr>
                <w:rFonts w:ascii="Arial" w:cs="Arial" w:eastAsia="Arial" w:hAnsi="Arial"/>
                <w:sz w:val="18"/>
                <w:szCs w:val="18"/>
                <w:color w:val="auto"/>
              </w:rPr>
              <w:t>58,697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33,570</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Gross profit increased for the years ended December 31, 2019 compared to 2018 as well as for the year ended December 31, 2018 compared to 2017 primarily due to an increase in MACI (and formerly Carticel) and Epicel sales combined with our highly fixed manufacturing cost structure which consists mainly of labor and facility costs that do not materially fluctuate with volume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2017</w:t>
            </w:r>
          </w:p>
        </w:tc>
      </w:tr>
      <w:tr>
        <w:trPr>
          <w:trHeight w:val="24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30,391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13,599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12,944</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ACI</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5,814</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Nexobrid</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30,391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12,944</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expenses for the year ended December 31, 2019 were $30.4 million compared to $13.6 million for the year ended December 31, 2018. The increase in research and development costs during the year ended December 31, 2019 is due primarily to the $17.5 million upfront payment to MediWound for the North American rights to NexoBrid, which was partially offset by costs related to the ongoing MACI pediatric trial which decreased compared to the same period a year ago.</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expenses for the year ended December 31, 2018 were $13.6 million compared to $12.9 million for the year ended December 31, 2017. These expenses include research costs associated with manufacturing process improvement activities, the ongoing MACI pediatric trial, pharmacovigilance and other reporting and compliance requirements, as well as medical affairs and external grants. The increase for ACI and Epicel costs was primarily driven by increased employee stock-based compensation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2017</w:t>
            </w:r>
          </w:p>
        </w:tc>
      </w:tr>
      <w:tr>
        <w:trPr>
          <w:trHeight w:val="24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61,139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49,007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35,610</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expenses for the years ended December 31, 2019 and 2018 increased to $61.1 million from $49.0 million, respectively. The increase in selling, general and administrative expenses in 2019 is due primarily to a $4.2 million increase in stock based compensation expenses, an incremental $2.6 million in MACI sales force expenses driven by the expansion in the second quarter of 2019, a $2.4 million increase in marketing expenses and a $1.8 million increase in patient reimbursement support services.</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Selling, general and administrative expenses for the years ended December 31, 2018 and 2017 increased to $49.0 million from $35.6 million, respectively. The increase in selling, general and administrative expenses in 2018 is due primarily to an incremental $4.4 million in employee related expenses driven mainly by the MACI sales force expansion, $4.0 million increase in selling expenses, and reimbursement patient support services and an incremental $2.7 million in stock based compensation expenses.</w:t>
      </w:r>
    </w:p>
    <w:p>
      <w:pPr>
        <w:sectPr>
          <w:pgSz w:w="11900" w:h="16838" w:orient="portrait"/>
          <w:cols w:equalWidth="0" w:num="1">
            <w:col w:w="11420"/>
          </w:cols>
          <w:pgMar w:left="240" w:top="77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773" w:right="239" w:bottom="1440" w:gutter="0" w:footer="0" w:header="0"/>
          <w:type w:val="continuous"/>
        </w:sectPr>
      </w:pPr>
    </w:p>
    <w:bookmarkStart w:id="52" w:name="page53"/>
    <w:bookmarkEnd w:id="52"/>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other income and expense for the year ended December 31, 2019 compared to 2018 is due primarily to interest income as a result of our investments in various marketable debt securities. The other income and expense in 2018 relate to the increase in our stock price in 2018 resulting in an increase in the fair value of warrants and interest expense related to the then outstanding term loan. For the year ended December 31, 2019 we did not incur interest expense as the term loan was repaid in December 2018 and we did not experience a change in warrant value due to the expiration of the liability classified 2013 warrants in 2018.</w:t>
      </w:r>
    </w:p>
    <w:p>
      <w:pPr>
        <w:spacing w:after="0" w:line="188"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change in other income and expense for the year ended December 31, 2018 compared to 2017 is due primarily to the change in warrant value as a result of the increase in our stock price, interest expense and the loss on extinguishment of debt related to the extinguishment of our credit term facilities.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506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increase in stock-based compensation expense is due primarily to fluctuations in stock prices which impacts the fair value of the options and restricted stock units awarded and the expense recognized in the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Since the acquisition in 2014 of MACI, Epicel and Carticel from Sanofi, our primary focus has been to invest in our existing commercial business with the goal of growing revenue. We have raised significant funds in order to complete our product development programs and to market and commercialize our products. To date, we have financed our operations primarily through public and private sales of our equity securities. At present revenue levels, we do not currently anticipate the need to finance our operations through the sales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used for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Cash provided by (used for) investment activities</w:t>
            </w:r>
          </w:p>
        </w:tc>
        <w:tc>
          <w:tcPr>
            <w:tcW w:w="3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(67,027)</w:t>
            </w:r>
          </w:p>
        </w:tc>
      </w:tr>
      <w:tr>
        <w:trPr>
          <w:trHeight w:val="27"/>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58,863</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8,692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(8,576)</w:t>
            </w:r>
          </w:p>
        </w:tc>
      </w:tr>
    </w:tbl>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cash and cash equivalents totaled $26.9 million, short term investments totaled $42.8 million and long term investments totaled $9.2 million as of December 31, 2019. The $7.2 million of cash used by operations was the result of a $9.7 million net loss which included a cash outflow of $17.5 million for the upfront payment for the NexoBrid license, offset by noncash charges including $13.2 million in stock compensation expense and $1.7 million in depreciation and amortization expense. Working capital requirements increased due to a $8.7 million increase in accounts receivable as a result of the increase in sales volume.</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Our cash and cash equivalents totaled $18.3 million and short term investments totaled $64.6 million at December 31, 2018. The $0.4 million of cash used by operations was the result of an $8.1 million net loss, offset by noncash charges including $7.2 million in stock compensation expense, $2.5 million in warrant fair value fluctuations and $1.4 million in depreciation and amortization expense. Working capital requirements increased due to a $5.2 million increase in accounts receivable, and $1.3 million increase in prepaid and other current assets as a result of the increase in sales volume, slightly offset by an increase of $0.9 million and $1.5 million to our accounts payable and accrued expenses, respectively, related to the timing of payments.</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cash used for investing activities in 2019 is the result of $63.1 million and $9.3 million in short and long term investments purchases, respectively, offset by $85.6 million of investment maturities and property plant and equipment purchases of $2.6 million primarily for manufacturing upgrades and leasehold improvements through December 31, 2019. The change in cash used for investing activities in 2018 is the result of $66.5 million in short term investments purchases offset by $2.2 million of maturities and property plant and equipment purchases of $2.7 million through December 31, 2018.</w:t>
      </w:r>
    </w:p>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change in cash provided from financing activities is the result of net proceeds from the exercise of stock options of $5.3 million through December 31, 2019. The change in cash provided from financing activities during the year ended December 31, 2019 compared to the prior period is the result of net proceeds in 2018 from our public equity offering of common stock of $70.0 million, proceeds from the exercise of stock options of $4.4 million and exercise of warrants of $2.7 million reduced by the prepayment of all outstanding debt that occurred on December 19, 2018. On that date we prepaid in full all outstanding indebtedness to terminate the Loan and Security Agreement by and between the Company, Silicon Valley Bank as Agent and Silicon Valley Bank, MidCap Financial Trust, MidCap Funding III Trust (SVB and MidCap) and other lenders listed therein as lenders (SVB Loan Agreement). As of the date of termination, we paid in full $17.1 million in outstanding borrowings at the time of termination. In connection with the termination of the SVB Loan Agreement, we paid an additional prepayment premium of 1.5% in the amount of $0.2 million and a final payment of 3.6% in the amount of $0.5 million.</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believe that, based on our current cash on hand, cash equivalents and investments we will be able to operate our business through at least 12 months from the issuance of these financial statements. If revenues decline for a sustained period,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3"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capacity, competing technological and market developments, costs of possible acquisition or development of complementary business activities, and the cost to market our products.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We lease facilities in Ann Arbor, Michigan and Cambridge, Massachusetts. The Cambridge facilities include clean rooms, laboratories for MACI and Epicel manufacturing and office space. We also pay for use of an offsite warehouse space and leases various vehicles and computer equipment.</w:t>
      </w:r>
    </w:p>
    <w:p>
      <w:pPr>
        <w:spacing w:after="0" w:line="1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March 2016, we amended our current lease in Cambridge to, among other provisions, extend the term until February 2022. Under the amendment, the landlord contributed approximately $2.0 million toward the cost of tenant improvements. The contribution toward the cost of tenant improvements was recorded as part of the operating lease assets under the new leasing guidance described below, on our consolidated balance sheet.</w:t>
      </w:r>
    </w:p>
    <w:p>
      <w:pPr>
        <w:spacing w:after="0" w:line="16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adopted the updated leasing guidance as described in note 7, within the attached Financial Statements and Supplementary Data included in Item 8, of this Form 10-K, as of January 1, 2019.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lease expense is recorded on a straight-line basis over the lease term.</w:t>
      </w:r>
    </w:p>
    <w:p>
      <w:pPr>
        <w:spacing w:after="0" w:line="15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purchase commitments consist of minimum purchase amounts of materials used in our cell manufacturing process to manufacture its marketed cell therapy products. Future minimum payments related to our contractual obligations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Payments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Revenue Recognition and Net Product Sales </w:t>
      </w:r>
      <w:r>
        <w:rPr>
          <w:rFonts w:ascii="Arial" w:cs="Arial" w:eastAsia="Arial" w:hAnsi="Arial"/>
          <w:sz w:val="17"/>
          <w:szCs w:val="17"/>
          <w:color w:val="auto"/>
        </w:rPr>
        <w:t>— Revenue from sales to a customer (distributor, hospital or other party) is recognized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which was adopted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We recognize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Under this revenue standard, we recognize revenue when our customer obtains control of the promised goods, in an amount that reflects the consideration which we expect to receive in exchange for those goods.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MACI Implants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engaged a third-party services provider to provide the patient support program to manage patient cases and to ensure complete and accurate billing information is provided to the insurers and hospitals, to facilitate reimbursement.</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We recognize product revenues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and other than customary prompt pay discounts, there are typically no forms of variable consideration.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7" w:right="239" w:bottom="1440" w:gutter="0" w:footer="0" w:header="0"/>
        </w:sectPr>
      </w:pPr>
    </w:p>
    <w:bookmarkStart w:id="55" w:name="page56"/>
    <w:bookmarkEnd w:id="55"/>
    <w:p>
      <w:pPr>
        <w:ind w:firstLine="243"/>
        <w:spacing w:after="0" w:line="272" w:lineRule="auto"/>
        <w:rPr>
          <w:sz w:val="20"/>
          <w:szCs w:val="20"/>
          <w:color w:val="auto"/>
        </w:rPr>
      </w:pPr>
      <w:r>
        <w:rPr>
          <w:rFonts w:ascii="Arial" w:cs="Arial" w:eastAsia="Arial" w:hAnsi="Arial"/>
          <w:sz w:val="17"/>
          <w:szCs w:val="17"/>
          <w:color w:val="auto"/>
        </w:rPr>
        <w:t>When we sell MACI, the patient is responsible for payment, however, we are typically reimbursed by a third-party insurer or government payer, subject to a patient co-pay amount. Reimbursements from third-party insurers and government payers vary by patient and payer and are based on either contracted rates, publicly available rates, government fee schedules or past payer precedents. Net product revenue is recognized net of contractual allowances, which considers historical collection experience from both the payer and patient and the terms of our contractual arrangements. We estimate the amount of consideration it expects to receive for these transactions using the portfolio approach. These estimates include the impact of contractual allowances, which considers historical collection experience from both the payer and patient, denial rates and the terms of our contractual arrangements. We record a reduction to revenue at the time of sale for its estimate of the amount of consideration that will not be collected.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estimates of the transaction price are recorded through revenue in the period in which such change occurs.</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accounting for stock-based compensation requires us to determine the fair value of common stock issued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awards and restricted stock units. The fair value of restricted stock units held by the employees is determined based on the fair value of our common stock on the date of the grant.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 A valuation allowance is recorded if it is more likely than not that a deferred tax asset will not be realized. We provided a full</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on our deferred tax assets that primarily consist of 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summary of significant accounting policies should be read in conjunction with our consolidated financial statements and related notes and this discussion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3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year ended December 31, 2019, we purchased marketable debt securities, which are classified as available-for-sale and carried at fair value in the accompanying consolidated balance sheet included in this Annual Report on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$0.3 million and $0.2 million decrease in the fair value of our investment portfolio as of December 31, 2019 and 2018, respectively.</w:t>
      </w:r>
    </w:p>
    <w:p>
      <w:pPr>
        <w:spacing w:after="0" w:line="178"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We are not subject to significant credit risk associated with our accounts receivables. See note 4 within the attached consolidated Financial Statements and Supplementary Data included in Item 8 of this Form 10-K, for further discussion.</w:t>
      </w:r>
    </w:p>
    <w:p>
      <w:pPr>
        <w:spacing w:after="0" w:line="170"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5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5700" w:type="dxa"/>
            <w:vAlign w:val="bottom"/>
            <w:gridSpan w:val="4"/>
          </w:tcPr>
          <w:p>
            <w:pPr>
              <w:spacing w:after="0" w:line="170" w:lineRule="exact"/>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4660" w:type="dxa"/>
            <w:vAlign w:val="bottom"/>
            <w:gridSpan w:val="4"/>
          </w:tcPr>
          <w:p>
            <w:pPr>
              <w:spacing w:after="0"/>
              <w:rPr>
                <w:sz w:val="16"/>
                <w:szCs w:val="16"/>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7"/>
        </w:trPr>
        <w:tc>
          <w:tcPr>
            <w:tcW w:w="3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160" w:type="dxa"/>
            <w:vAlign w:val="bottom"/>
            <w:gridSpan w:val="2"/>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700" w:type="dxa"/>
            <w:vAlign w:val="bottom"/>
            <w:gridSpan w:val="4"/>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 as of December 31, 2019 and December 31, 2018</w:t>
              </w:r>
            </w:hyperlink>
          </w:p>
        </w:tc>
        <w:tc>
          <w:tcPr>
            <w:tcW w:w="4660" w:type="dxa"/>
            <w:vAlign w:val="bottom"/>
            <w:gridSpan w:val="4"/>
          </w:tcPr>
          <w:p>
            <w:pPr>
              <w:spacing w:after="0"/>
              <w:rPr>
                <w:sz w:val="22"/>
                <w:szCs w:val="22"/>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 for the years ended December 31, 2019, 2018 and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Shareholders’ Equity from December 31, 2016 to December 31, 2019</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2"/>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Comprehensive Loss</w:t>
              </w:r>
            </w:hyperlink>
          </w:p>
        </w:tc>
        <w:tc>
          <w:tcPr>
            <w:tcW w:w="3500" w:type="dxa"/>
            <w:vAlign w:val="bottom"/>
            <w:gridSpan w:val="5"/>
          </w:tcPr>
          <w:p>
            <w:pPr>
              <w:spacing w:after="0"/>
              <w:rPr>
                <w:sz w:val="21"/>
                <w:szCs w:val="21"/>
                <w:color w:val="auto"/>
              </w:rPr>
            </w:pPr>
          </w:p>
        </w:tc>
        <w:tc>
          <w:tcPr>
            <w:tcW w:w="332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December 31, 2019, 2018 and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346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696"/>
        </w:trPr>
        <w:tc>
          <w:tcPr>
            <w:tcW w:w="3140" w:type="dxa"/>
            <w:vAlign w:val="bottom"/>
            <w:tcBorders>
              <w:top w:val="single" w:sz="8" w:color="0000EE"/>
            </w:tcBorders>
          </w:tcPr>
          <w:p>
            <w:pPr>
              <w:spacing w:after="0"/>
              <w:rPr>
                <w:sz w:val="24"/>
                <w:szCs w:val="24"/>
                <w:color w:val="auto"/>
              </w:rPr>
            </w:pPr>
          </w:p>
        </w:tc>
        <w:tc>
          <w:tcPr>
            <w:tcW w:w="3700" w:type="dxa"/>
            <w:vAlign w:val="bottom"/>
            <w:gridSpan w:val="4"/>
          </w:tcPr>
          <w:p>
            <w:pPr>
              <w:jc w:val="right"/>
              <w:ind w:right="10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58" w:name="page59"/>
    <w:bookmarkEnd w:id="5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Vericel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Vericel Corporation and its subsidiaries (the “Company”) as of December 31, 2019 and 2018, and the related consolidated statements of operations, comprehensive loss, shareholders’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3" w:right="239" w:bottom="1440" w:gutter="0" w:footer="0" w:header="0"/>
        </w:sectPr>
      </w:pPr>
    </w:p>
    <w:bookmarkStart w:id="59" w:name="page60"/>
    <w:bookmarkEnd w:id="59"/>
    <w:p>
      <w:pPr>
        <w:ind w:right="260"/>
        <w:spacing w:after="0" w:line="277" w:lineRule="auto"/>
        <w:rPr>
          <w:sz w:val="20"/>
          <w:szCs w:val="20"/>
          <w:color w:val="auto"/>
        </w:rPr>
      </w:pPr>
      <w:r>
        <w:rPr>
          <w:rFonts w:ascii="Arial" w:cs="Arial" w:eastAsia="Arial" w:hAnsi="Arial"/>
          <w:sz w:val="18"/>
          <w:szCs w:val="18"/>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allowances related to MACI sales subject to third party reimbursement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described in Note 4 to the consolidated financial statements, when the Company sells MACI directly to patients, management records a reduction of revenue at the time of sale for the estimate of consideration that will not be collected. As of December 31, 2019, the allowance for this uncollectible consideration was $3.9 million. 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government fee schedules or past payer precedents. Revenue is recognized net of contractual allowances, which considers historical collection experience from both the payer and patient and the terms of the Company’s contractual arrangements.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contractual allowances related to MACI sales subject to third party reimbursement is a critical audit matter are there was significant judgment by management due to the measurement uncertainty involved in developing the estimated contractual allowances, as these estimates are based on assumptions developed using historical collection experience from the payer and current contractual arrangement terms. This in turn led to a high degree of auditor judgment, effort and subjectivity in applying procedures to these assumptions and evaluating audit evidence obtained.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sales subject to third party reimbursement and controls over the assumptions used to estimate the contractual allowance. These procedures also included, among others, testing management’s process and methodology for determining the contractual allowances, performing an analysis of the past collection history by payer and assessing the reasonableness of management’s contractual allowances. Assessing the reasonableness of management’s contractual allowances involved considering the historical accuracy of the contractual allowance by comparing the estimated transaction price to actual consideration received. Additionally, actual consideration received for a sample of transactions was evaluated for consistency with contracted rates, publicly available rates, government fee schedules or past history.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57"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Short 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64,638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$306 and $514,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23,454</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111,655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Long 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7,108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19,795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44,864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43,578,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489,749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471,180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(369,014)</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102,231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118,689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62,760</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63,924</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35,610</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48,554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2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outstanding (Basic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r>
      <w:tr>
        <w:trPr>
          <w:trHeight w:val="27"/>
        </w:trPr>
        <w:tc>
          <w:tcPr>
            <w:tcW w:w="5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2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Treasury Stock</w:t>
            </w:r>
          </w:p>
        </w:tc>
        <w:tc>
          <w:tcPr>
            <w:tcW w:w="12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Warrants</w:t>
            </w:r>
          </w:p>
        </w:tc>
        <w:tc>
          <w:tcPr>
            <w:tcW w:w="10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264"/>
        </w:trPr>
        <w:tc>
          <w:tcPr>
            <w:tcW w:w="14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44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38,389</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3"/>
              </w:rPr>
              <w:t>31,595</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$329,720</w:t>
            </w:r>
          </w:p>
        </w:tc>
        <w:tc>
          <w:tcPr>
            <w:tcW w:w="1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center"/>
              <w:ind w:right="51"/>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(343,591)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24,708</w:t>
            </w: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2016</w:t>
            </w: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440" w:type="dxa"/>
            <w:vAlign w:val="bottom"/>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(17,286)</w:t>
            </w: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Conversion of Series B-1</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or B-2 preferred stock</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 common stock</w:t>
            </w: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$311</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Shares issued under the</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3"/>
                <w:szCs w:val="13"/>
                <w:color w:val="auto"/>
              </w:rPr>
              <w:t>Issuance of warrants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resulting in the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4,010</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common stock</w:t>
            </w: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40" w:type="dxa"/>
            <w:vAlign w:val="bottom"/>
          </w:tcPr>
          <w:p>
            <w:pPr>
              <w:ind w:left="20"/>
              <w:spacing w:after="0" w:line="128"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w w:val="93"/>
              </w:rPr>
              <w:t>35,861</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5"/>
              </w:rPr>
              <w:t>$383,020</w:t>
            </w:r>
          </w:p>
        </w:tc>
        <w:tc>
          <w:tcPr>
            <w:tcW w:w="120" w:type="dxa"/>
            <w:vAlign w:val="bottom"/>
          </w:tcPr>
          <w:p>
            <w:pPr>
              <w:spacing w:after="0"/>
              <w:rPr>
                <w:sz w:val="11"/>
                <w:szCs w:val="11"/>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center"/>
              <w:ind w:right="51"/>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(360,877)</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22,540</w:t>
            </w:r>
          </w:p>
        </w:tc>
        <w:tc>
          <w:tcPr>
            <w:tcW w:w="0" w:type="dxa"/>
            <w:vAlign w:val="bottom"/>
          </w:tcPr>
          <w:p>
            <w:pPr>
              <w:spacing w:after="0"/>
              <w:rPr>
                <w:sz w:val="1"/>
                <w:szCs w:val="1"/>
                <w:color w:val="auto"/>
              </w:rPr>
            </w:pPr>
          </w:p>
        </w:tc>
      </w:tr>
      <w:tr>
        <w:trPr>
          <w:trHeight w:val="202"/>
        </w:trPr>
        <w:tc>
          <w:tcPr>
            <w:tcW w:w="1440" w:type="dxa"/>
            <w:vAlign w:val="bottom"/>
          </w:tcPr>
          <w:p>
            <w:pPr>
              <w:ind w:left="20"/>
              <w:spacing w:after="0"/>
              <w:rPr>
                <w:sz w:val="20"/>
                <w:szCs w:val="20"/>
                <w:color w:val="auto"/>
              </w:rPr>
            </w:pPr>
            <w:r>
              <w:rPr>
                <w:rFonts w:ascii="Arial" w:cs="Arial" w:eastAsia="Arial" w:hAnsi="Arial"/>
                <w:sz w:val="13"/>
                <w:szCs w:val="13"/>
                <w:color w:val="auto"/>
              </w:rPr>
              <w:t>DECEMBER 31, 2017</w:t>
            </w:r>
          </w:p>
        </w:tc>
        <w:tc>
          <w:tcPr>
            <w:tcW w:w="5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7,223</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7,223</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5,750</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70,028</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70,028</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$4.7 (Note 9)</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Shares issued under the</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rPr>
              <w:t>Exercise of warrants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resulting in the issuance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6,548</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color w:val="auto"/>
              </w:rPr>
              <w:t>of common stock</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Net change in unrealized</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investments</w:t>
            </w: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440" w:type="dxa"/>
            <w:vAlign w:val="bottom"/>
          </w:tcPr>
          <w:p>
            <w:pPr>
              <w:ind w:left="20"/>
              <w:spacing w:after="0" w:line="128"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w w:val="93"/>
              </w:rPr>
              <w:t>43,578</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5"/>
              </w:rPr>
              <w:t>$471,180</w:t>
            </w:r>
          </w:p>
        </w:tc>
        <w:tc>
          <w:tcPr>
            <w:tcW w:w="120" w:type="dxa"/>
            <w:vAlign w:val="bottom"/>
          </w:tcPr>
          <w:p>
            <w:pPr>
              <w:spacing w:after="0"/>
              <w:rPr>
                <w:sz w:val="11"/>
                <w:szCs w:val="11"/>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(369,014)</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102,231</w:t>
            </w:r>
          </w:p>
        </w:tc>
        <w:tc>
          <w:tcPr>
            <w:tcW w:w="0" w:type="dxa"/>
            <w:vAlign w:val="bottom"/>
          </w:tcPr>
          <w:p>
            <w:pPr>
              <w:spacing w:after="0"/>
              <w:rPr>
                <w:sz w:val="1"/>
                <w:szCs w:val="1"/>
                <w:color w:val="auto"/>
              </w:rPr>
            </w:pPr>
          </w:p>
        </w:tc>
      </w:tr>
      <w:tr>
        <w:trPr>
          <w:trHeight w:val="202"/>
        </w:trPr>
        <w:tc>
          <w:tcPr>
            <w:tcW w:w="1440" w:type="dxa"/>
            <w:vAlign w:val="bottom"/>
          </w:tcPr>
          <w:p>
            <w:pPr>
              <w:ind w:left="20"/>
              <w:spacing w:after="0"/>
              <w:rPr>
                <w:sz w:val="20"/>
                <w:szCs w:val="20"/>
                <w:color w:val="auto"/>
              </w:rPr>
            </w:pPr>
            <w:r>
              <w:rPr>
                <w:rFonts w:ascii="Arial" w:cs="Arial" w:eastAsia="Arial" w:hAnsi="Arial"/>
                <w:sz w:val="13"/>
                <w:szCs w:val="13"/>
                <w:color w:val="auto"/>
              </w:rPr>
              <w:t>DECEMBER 31, 2018</w:t>
            </w: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rPr>
              <w:t>Compensation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related to stock options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13,179</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13,179</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 exercises</w:t>
            </w: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4,354</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w w:val="99"/>
              </w:rPr>
              <w:t>Shares issued under the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line="135" w:lineRule="exact"/>
              <w:rPr>
                <w:sz w:val="20"/>
                <w:szCs w:val="20"/>
                <w:color w:val="auto"/>
              </w:rPr>
            </w:pPr>
            <w:r>
              <w:rPr>
                <w:rFonts w:ascii="Arial" w:cs="Arial" w:eastAsia="Arial" w:hAnsi="Arial"/>
                <w:sz w:val="13"/>
                <w:szCs w:val="13"/>
                <w:color w:val="auto"/>
              </w:rPr>
              <w:t>Employee Stock</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resulting in issuance of</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8" w:lineRule="exact"/>
              <w:rPr>
                <w:sz w:val="20"/>
                <w:szCs w:val="20"/>
                <w:color w:val="auto"/>
              </w:rPr>
            </w:pPr>
            <w:r>
              <w:rPr>
                <w:rFonts w:ascii="Arial" w:cs="Arial" w:eastAsia="Arial" w:hAnsi="Arial"/>
                <w:sz w:val="13"/>
                <w:szCs w:val="13"/>
                <w:color w:val="auto"/>
                <w:w w:val="97"/>
              </w:rPr>
              <w:t>Net change in unrealized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0"/>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gain on investments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4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3"/>
              </w:rPr>
              <w:t>44,864</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$489,749</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(378,679)</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111,091</w:t>
            </w: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2019</w:t>
            </w: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9019"/>
          </w:cols>
          <w:pgMar w:left="1440" w:top="553"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(9,665)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sale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lease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short term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 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long term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(used for)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proceeds from equity offering</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4,010</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Borrowings under revolving and term loan credit agreements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14,793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Payments on term loan credit agreement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Fee on long-term debt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18,577</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22,978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53"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70"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related to the MACI</w:t>
      </w:r>
      <w:r>
        <w:rPr>
          <w:rFonts w:ascii="Arial" w:cs="Arial" w:eastAsia="Arial" w:hAnsi="Arial"/>
          <w:sz w:val="24"/>
          <w:szCs w:val="24"/>
          <w:color w:val="auto"/>
          <w:vertAlign w:val="superscript"/>
        </w:rPr>
        <w:t>®</w:t>
      </w:r>
      <w:r>
        <w:rPr>
          <w:rFonts w:ascii="Arial" w:cs="Arial" w:eastAsia="Arial" w:hAnsi="Arial"/>
          <w:sz w:val="17"/>
          <w:szCs w:val="17"/>
          <w:color w:val="auto"/>
        </w:rPr>
        <w:t>,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and currently markets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U.S. and holds exclusive rights to commercialize NexoBrid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all countries of North America. The Company is a leader in advanced cell therapies for the sports medicine and severe burn care markets.</w:t>
      </w:r>
    </w:p>
    <w:p>
      <w:pPr>
        <w:spacing w:after="0" w:line="198" w:lineRule="exact"/>
        <w:rPr>
          <w:sz w:val="20"/>
          <w:szCs w:val="20"/>
          <w:color w:val="auto"/>
        </w:rPr>
      </w:pPr>
    </w:p>
    <w:p>
      <w:pPr>
        <w:jc w:val="both"/>
        <w:ind w:firstLine="243"/>
        <w:spacing w:after="0" w:line="220" w:lineRule="auto"/>
        <w:rPr>
          <w:sz w:val="20"/>
          <w:szCs w:val="20"/>
          <w:color w:val="auto"/>
        </w:rPr>
      </w:pPr>
      <w:r>
        <w:rPr>
          <w:rFonts w:ascii="Arial" w:cs="Arial" w:eastAsia="Arial" w:hAnsi="Arial"/>
          <w:sz w:val="18"/>
          <w:szCs w:val="18"/>
          <w:color w:val="auto"/>
        </w:rPr>
        <w:t>MACI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the Company removed Carticel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(autologous cultured chondrocytes), an earlier generation ACI product, from the market. The Company also markets Epicel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The Company operates its business primarily in the U.S. in one reportable segment — the research, product development, manufacture and distribution of cellular therapies for use in the treatment of specific diseases.</w:t>
      </w:r>
    </w:p>
    <w:p>
      <w:pPr>
        <w:spacing w:after="0" w:line="20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December 31, 2019, the Company has an accumulated deficit of $378.7 million and had a net loss of $9.7 million during 2019. The Company had cash and cash equivalents of $26.9 million and investments of $52.1 million as of December 31, 2019. The Company expects that existing cash, cash equivalents and investments will be sufficient to support the </w:t>
      </w:r>
      <w:r>
        <w:rPr>
          <w:rFonts w:ascii="Arial" w:cs="Arial" w:eastAsia="Arial" w:hAnsi="Arial"/>
          <w:sz w:val="17"/>
          <w:szCs w:val="17"/>
          <w:color w:val="000000"/>
        </w:rPr>
        <w:t>Company’s current operations through at least 12 months from the issuance of these financial statements.</w:t>
      </w:r>
      <w:r>
        <w:rPr>
          <w:rFonts w:ascii="Arial" w:cs="Arial" w:eastAsia="Arial" w:hAnsi="Arial"/>
          <w:sz w:val="17"/>
          <w:szCs w:val="17"/>
          <w:color w:val="222222"/>
        </w:rPr>
        <w:t xml:space="preserve"> If revenues decline for a sustained period, we may need to access additional capital; however, the Company may not be able to obtain financing on acceptable terms or at all. The terms of any financing may adversely affect the holdings or the rights of the </w:t>
      </w:r>
      <w:r>
        <w:rPr>
          <w:rFonts w:ascii="Arial" w:cs="Arial" w:eastAsia="Arial" w:hAnsi="Arial"/>
          <w:sz w:val="17"/>
          <w:szCs w:val="17"/>
          <w:color w:val="000000"/>
        </w:rPr>
        <w:t>Company’s</w:t>
      </w:r>
      <w:r>
        <w:rPr>
          <w:rFonts w:ascii="Arial" w:cs="Arial" w:eastAsia="Arial" w:hAnsi="Arial"/>
          <w:sz w:val="17"/>
          <w:szCs w:val="17"/>
          <w:color w:val="222222"/>
        </w:rPr>
        <w:t xml:space="preserve">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consolidated financial statements include the accounts of Vericel and its wholly-owned subsidiaries, Vericel Denmark ApS, in Kastrup, Demark and Vericel Security Corporation (collectively, the Company). All inter-company transactions and accounts have been eliminated in consolidation. Vericel Denmark ApS ceased operations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years ended December 31, 2019, 2018 and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Supplementary Cash Flows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Non-cash information:</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Right-of-use asset and lease liability recognized</w:t>
            </w: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(38,389)</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931</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withholding paid</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6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Total cash, cash equivalents, and restricted cash of $27.0 million shown in the statement of cash flows is comprised of cash and cash equivalents of $26.9 million and restricted cash of $0.1 million which is included in other long term assets on the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3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and consist primarily of demand deposits, money market funds, overnight repurchase agreements and short duration agency bonds and commercial paper.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included in restricted cash represent those required to be set aside to meet contractual terms of a lease agreement held by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as of the balance sheet date. Long-term investments consist of debt securities classified as available-for-sale and have maturities greater than one year as of the balance sheet date. All investments are carried at fair value are to be classified and disclosed in one of the following three levels of the fair value hierarchy, of which the first two are considered observable and the last is considered unobservable:</w:t>
      </w:r>
    </w:p>
    <w:p>
      <w:pPr>
        <w:spacing w:after="0" w:line="1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Unrealized gains and losses on available-for-sale securities are excluded from earnings and are reported as a component of accumulated other comprehensive loss. The cost of available-for-sale securities sold is based on the specific-identification method. Realized gains and losses are included in earnings, and are derived for specific-identification method for determining the costs of investments sold.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write-down obsolete or other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79" w:right="239" w:bottom="1440" w:gutter="0" w:footer="0" w:header="0"/>
        </w:sectPr>
      </w:pPr>
    </w:p>
    <w:bookmarkStart w:id="67" w:name="page68"/>
    <w:bookmarkEnd w:id="67"/>
    <w:p>
      <w:pPr>
        <w:jc w:val="both"/>
        <w:ind w:firstLine="243"/>
        <w:spacing w:after="0" w:line="257" w:lineRule="auto"/>
        <w:rPr>
          <w:sz w:val="20"/>
          <w:szCs w:val="20"/>
          <w:color w:val="auto"/>
        </w:rPr>
      </w:pPr>
      <w:r>
        <w:rPr>
          <w:rFonts w:ascii="Arial" w:cs="Arial" w:eastAsia="Arial" w:hAnsi="Arial"/>
          <w:sz w:val="18"/>
          <w:szCs w:val="18"/>
          <w:color w:val="auto"/>
        </w:rPr>
        <w:t>The Company adopted the new leasing standards using the modified retrospective transition approach, as of January 1, 2019, with no restatement of prior periods. Upon adoption all operating lease commitments with a lease term greater than 12 months that were previously assessed under the prior lease guidance, were recognized as right to use assets and liabilities, on a discounted basis on the balance sheet. Leases with an initial term of 12 months or less are not recorded on the balance sheet. Adoption of ASU 2016-02 resulted in the recording of additional right-of-use assets and lease liabilities of approximately $25.6 million and $27.8 million, respectively, as of January 1, 2019.</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Certain lease agreements include rental payments that are adjusted periodically for inflation or other variables. The leases are initially measured using the projected payments adjusted for the index or rate in effect at the commencement date. In addition to rent, the leases may require the Company to pay additional amounts for taxes, insurance, maintenance and other expenses, which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w:t>
      </w:r>
    </w:p>
    <w:p>
      <w:pPr>
        <w:spacing w:after="0" w:line="1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Some leases contain clauses for renewal at the Company’s option with renewal terms that generally extend the lease term from 1 to 5 years. Certain lease agreements contain options to purchase the leased property and options to terminate the lease. Payments to be made in option periods are recognized as part of the right-of-use lease assets and lease liabilities when it is reasonably certain that the option to extend the lease will be exercised or the option to terminate the lease will not be exercised, or is not at the Company’s option. The Company determines whether the reasonably certain threshold is met by considering contract-, asset-, market-, and entity-based factors.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portfolio approach is applied to certain lease contracts with similar characteristics. The Company’s lease agreements do not contain any significant residual value guarantees or material restrictive covenants imposed by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depreciable value of property, plant and equipment, net of any residual value, is depreciated on a straight line basis over the useful life of the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an asset is usually equivalent to its economic life. The useful lives of property, plant and equipment are as follows:</w:t>
      </w:r>
    </w:p>
    <w:p>
      <w:pPr>
        <w:spacing w:after="0" w:line="211" w:lineRule="exact"/>
        <w:rPr>
          <w:sz w:val="20"/>
          <w:szCs w:val="20"/>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10 years</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17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new revenue standard became effective for the Company on January 1, 2018, and was adopted using the modified retrospective method. Based on the Company’s evaluation of all of its product revenue contracts under the new revenue standard there was no cumulative adjustment recorded in the financial statements upon adoption of Accounting Standards Codification 606,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606) on January 1, 2018. For the year ended December 31, 2018, the timing and amount of revenue recognized under ASC 606 was not materially different from that under the previous guidance.</w:t>
      </w:r>
    </w:p>
    <w:p>
      <w:pPr>
        <w:spacing w:after="0" w:line="2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recognizes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57" w:right="239" w:bottom="1440" w:gutter="0" w:footer="0" w:header="0"/>
        </w:sectPr>
      </w:pPr>
    </w:p>
    <w:bookmarkStart w:id="68" w:name="page69"/>
    <w:bookmarkEnd w:id="68"/>
    <w:p>
      <w:pPr>
        <w:jc w:val="both"/>
        <w:spacing w:after="0" w:line="312" w:lineRule="auto"/>
        <w:rPr>
          <w:sz w:val="20"/>
          <w:szCs w:val="20"/>
          <w:color w:val="auto"/>
        </w:rPr>
      </w:pPr>
      <w:r>
        <w:rPr>
          <w:rFonts w:ascii="Arial" w:cs="Arial" w:eastAsia="Arial" w:hAnsi="Arial"/>
          <w:sz w:val="16"/>
          <w:szCs w:val="16"/>
          <w:color w:val="auto"/>
        </w:rPr>
        <w:t>when its customer obtains control of the promised goods, in an amount that reflects the consideration which the Company expects to receive in exchange for those goods. There are no contractual rights of returns, refunds or similar obligations related to MACI, kits, or Epicel as of December 31, 2019; however, in certain limited cases the Company will accept a product return if a surgery is canceled. Revenue is not recognized in certain canceled cases.</w:t>
      </w:r>
    </w:p>
    <w:p>
      <w:pPr>
        <w:spacing w:after="0" w:line="25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Currently, for MACI, MACI kits and Epicel there are no variable pricing arrangements related to warranties or rebates offered to customers. The majority of orders are due within 60 to 90 days of delivery. Shipping and handling fees are included as a component of revenue. The Company recognizes any commission fees as an expense when incurred. These fees are included in selling, general, and administrative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Company’s accounting for stock-based compensation requires it to determine the fair value of common stock issued in the form of stock option awards and restricted stock units. The Company uses the value of its common stock at the date of the grant in the calculation of the fair value of its share-based awards. The fair value of restricted stock units held by the employees is determined based on the fair value of the Company's common stock on the date of the grant.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estimates the expected forfeiture rate and only recognize expense for those stock options expected to vest over the service period. The estimated forfeiture rate considers the historical experience of the Company’s stock-based awards. If the actual forfeiture rate is different from the estimate, expense is adjusted accordingly. For certain non-employee consultants, stock option awards continue to vest post-termination.</w:t>
      </w:r>
    </w:p>
    <w:p>
      <w:pPr>
        <w:spacing w:after="0" w:line="18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Comprehensive loss is the change in stockholders’ equity during a period arising from any gain or loss unrealized related to the Company’s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that a portion or all of the deferred tax assets will not be realized.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193" w:lineRule="exact"/>
        <w:rPr>
          <w:sz w:val="20"/>
          <w:szCs w:val="20"/>
          <w:color w:val="auto"/>
        </w:rPr>
      </w:pPr>
    </w:p>
    <w:p>
      <w:pPr>
        <w:ind w:right="200" w:firstLine="243"/>
        <w:spacing w:after="0" w:line="34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Per Share Attributable to Common Shareholders</w:t>
      </w:r>
    </w:p>
    <w:p>
      <w:pPr>
        <w:spacing w:after="0" w:line="225"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8"/>
          <w:szCs w:val="18"/>
          <w:color w:val="auto"/>
        </w:rPr>
        <w:t>Basic and diluted earnings (loss) per share is calculated using the two-class method. Basic earnings (loss) per share which is based on an earnings allocation formula that determines earnings (loss) per share for the holders of the Company’s common shares. There were no undeclared dividends for the year ended December 31, 2019 or 2018. Diluted earnings (loss) per share includes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19" w:right="239" w:bottom="1440" w:gutter="0" w:footer="0" w:header="0"/>
        </w:sectPr>
      </w:pPr>
    </w:p>
    <w:bookmarkStart w:id="69" w:name="page70"/>
    <w:bookmarkEnd w:id="69"/>
    <w:p>
      <w:pPr>
        <w:jc w:val="both"/>
        <w:ind w:right="20"/>
        <w:spacing w:after="0" w:line="308" w:lineRule="auto"/>
        <w:rPr>
          <w:sz w:val="20"/>
          <w:szCs w:val="20"/>
          <w:color w:val="auto"/>
        </w:rPr>
      </w:pPr>
      <w:r>
        <w:rPr>
          <w:rFonts w:ascii="Arial" w:cs="Arial" w:eastAsia="Arial" w:hAnsi="Arial"/>
          <w:sz w:val="17"/>
          <w:szCs w:val="17"/>
          <w:color w:val="auto"/>
        </w:rPr>
        <w:t>convertible securities or common equivalent share (stock options and warrants) in addition to the Company’s common shares. Common equivalent shares and treasury stock are not included in the diluted per share calculation where the effect of their inclusion would be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297"/>
        <w:spacing w:after="0" w:line="308" w:lineRule="auto"/>
        <w:rPr>
          <w:sz w:val="20"/>
          <w:szCs w:val="20"/>
          <w:color w:val="auto"/>
        </w:rPr>
      </w:pPr>
      <w:r>
        <w:rPr>
          <w:rFonts w:ascii="Arial" w:cs="Arial" w:eastAsia="Arial" w:hAnsi="Arial"/>
          <w:sz w:val="17"/>
          <w:szCs w:val="17"/>
          <w:color w:val="auto"/>
        </w:rPr>
        <w:t>The Company’s financial instruments include receivables for which the current carrying amounts approximate market value, based upon their short-term nature and marketable debt securities which are classified as available-for-sale and carried at fair value on a settlement date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Warrants that meet the requirements for equity classification are recorded at fair value with no subsequent remeasurement.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change in estimated fair value of the warrant liability for those warrants that could be cash settled or have anti-dilution price protection provisions, could be materially different. As of December 31, 2019, there were no outstanding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The Financial Accounting Standards Board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The Accounting Standard Update 2016-02, </w:t>
      </w:r>
      <w:r>
        <w:rPr>
          <w:rFonts w:ascii="Arial" w:cs="Arial" w:eastAsia="Arial" w:hAnsi="Arial"/>
          <w:sz w:val="17"/>
          <w:szCs w:val="17"/>
          <w:i w:val="1"/>
          <w:iCs w:val="1"/>
          <w:color w:val="auto"/>
        </w:rPr>
        <w:t>Leases (Topic 842)</w:t>
      </w:r>
      <w:r>
        <w:rPr>
          <w:rFonts w:ascii="Arial" w:cs="Arial" w:eastAsia="Arial" w:hAnsi="Arial"/>
          <w:sz w:val="17"/>
          <w:szCs w:val="17"/>
          <w:color w:val="auto"/>
        </w:rPr>
        <w:t>, became effective for the Company on January 1, 2019 and was adopted using the modified retrospective method. See note 7 for further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This guidance will be issued through Accounting Standard Update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which will be effective for the Company January 1, 2020. The Company is currently in the process of evaluating the impact to its consolidated financial statements.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Fair Value Measurement Disclosure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FASB issued updated guidance through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The revised guidance is intended to develop a more consistent disclosure framework that will increase clarity,</w:t>
      </w:r>
      <w:r>
        <w:rPr>
          <w:rFonts w:ascii="Arial" w:cs="Arial" w:eastAsia="Arial" w:hAnsi="Arial"/>
          <w:sz w:val="18"/>
          <w:szCs w:val="18"/>
          <w:i w:val="1"/>
          <w:iCs w:val="1"/>
          <w:color w:val="auto"/>
        </w:rPr>
        <w:t xml:space="preserve"> </w:t>
      </w:r>
      <w:r>
        <w:rPr>
          <w:rFonts w:ascii="Arial" w:cs="Arial" w:eastAsia="Arial" w:hAnsi="Arial"/>
          <w:sz w:val="18"/>
          <w:szCs w:val="18"/>
          <w:color w:val="auto"/>
        </w:rPr>
        <w:t>remove, modify and add certain fair value disclosures to improve the effectiveness of the Company’s disclosures in the notes of the financial statements. This guidance will be effective for the Company January 1, 2020. The Company is currently in the process of evaluating the impact to its consolidated financial statements.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Simplifying the Accounting for Income Taxes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(ASC 740).</w:t>
      </w:r>
      <w:r>
        <w:rPr>
          <w:rFonts w:ascii="Arial" w:cs="Arial" w:eastAsia="Arial" w:hAnsi="Arial"/>
          <w:sz w:val="18"/>
          <w:szCs w:val="18"/>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57" w:right="2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7"/>
          <w:szCs w:val="17"/>
          <w:color w:val="auto"/>
        </w:rPr>
        <w:t>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Company is currently in the process of evaluating the impact to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As disclosed in note 2, the Company recognizes product revenue from sales of MACI Kits, MACI implants and Epicel grafts following the five-step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facility)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171"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7"/>
          <w:szCs w:val="17"/>
          <w:color w:val="auto"/>
        </w:rPr>
        <w:t>From July 1, 2017 until June 15, 2018 the Company sold MACI primarily to distributors and directly to hospitals or patients at contracted rates. Beginning on June 16, 2018, the Company contracted with a specialty pharmacy, Orsini Pharmaceutical Services, Inc. (Orsini) to distribute its MACI product in arrangements whereby the Company retains the credit and collection risk from the end customer. Since July 26, 2018, the Company has also contracted with AllCare Plus Pharmacy, Inc. (AllCare), a specialty pharmacy, in arrangements whereby the Company retains the credit and collection risk from the end customer. The Company pays both specialty pharmacies a fee for each patient to whom MACI is dispensed. Both Orsini and AllCare perform collection activities to receive payment from customers. The Company has engaged a third-party to provide services in connection with a patient support program to manage patient cases and to ensure complete and correct billing information is provided to the insurers and hospitals.</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In addition, the Company also sells MACI directly to DMS Pharmaceutical (DMS) for all military implants in 2019 and 2018. The Company sold MACI directly to UsBio Services (UsBio) for all military implants in 2017. The sales directly to DMS and UsBio are sold at a contracted rate.</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other than customary prompt pay discounts, there are typically no forms of variable consideration.</w:t>
      </w:r>
    </w:p>
    <w:p>
      <w:pPr>
        <w:spacing w:after="0" w:line="1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government fee schedules or past payer precedents. Net product revenue is recognized net of contractual allowances, which considers historical collection experience from both the payer and patient and the terms of the Company’s contractual arrangements. The Company estimates the amount of consideration it expects to receive for these transactions using the portfolio approach. These estimates include the impact of contractual allowances, which considers historical collection experience from both the payer and patient, denial rates and the terms of the Company’s contractual arrangements. The Company records a reduction to revenue at the time of sale for its estimate of the amount of consideration that will not be collected. The allowance for uncollectible consideration was $3.9 million and $2.0 million as of December 31, 2019, and 2018, respectively. Changes to the estimate of the amount of consideration that will not be collected could have a material impact to the revenue recognized. A 0.5% change to the estimated uncollectible percentage could result in approximately a $0.5 million decrease or increase in the revenue recognized for the year ended December 31,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57" w:right="239" w:bottom="1440" w:gutter="0" w:footer="0" w:header="0"/>
        </w:sectPr>
      </w:pPr>
    </w:p>
    <w:bookmarkStart w:id="71" w:name="page72"/>
    <w:bookmarkEnd w:id="71"/>
    <w:p>
      <w:pPr>
        <w:jc w:val="both"/>
        <w:ind w:firstLine="243"/>
        <w:spacing w:after="0" w:line="264" w:lineRule="auto"/>
        <w:rPr>
          <w:sz w:val="20"/>
          <w:szCs w:val="20"/>
          <w:color w:val="auto"/>
        </w:rPr>
      </w:pPr>
      <w:r>
        <w:rPr>
          <w:rFonts w:ascii="Arial" w:cs="Arial" w:eastAsia="Arial" w:hAnsi="Arial"/>
          <w:sz w:val="18"/>
          <w:szCs w:val="18"/>
          <w:color w:val="auto"/>
        </w:rPr>
        <w:t>Changes in estimates of the transaction price are recorded through revenue in the period in which such change occurs. Changes in estimates related to prior period sales resulted in an increase to revenue of $0.7 million and decrease of $0.2 million and $0.4 million for the years ended December 31, 2019, 2018, and 2017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Revenue</w:t>
      </w:r>
    </w:p>
    <w:p>
      <w:pPr>
        <w:spacing w:after="0" w:line="3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other revenue from contracts with customers related to license grants, milestone related payments and royalty-based payments by following the five-step model described in note 2.</w:t>
      </w:r>
    </w:p>
    <w:p>
      <w:pPr>
        <w:spacing w:after="0" w:line="11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May 10, 2017, the Company announced that it entered into a License Agreement (License Agreement) with Innovative Cellular Therapeutics CO., LTD. (ICT), a leading cell therapy company and developer of CAR-T cell therapy for cancer treatment, for the development, manufacturing and commercialization of the Company’s product portfolio in Greater China, South Korea, Singapore, and other countries in Asia. ICT acquired an exclusive license to certain patent rights, know-how and intellectual property relating to Carticel, MACI, ixmyelocel-T, and Epicel for the purpose of developing, manufacturing and commercializing the Company's products in the territory described above. The initiation of the technology transfer, the license grants in the License Agreement and the warrant purchase were contingent upon the Company’s receipt of the upfront payment. ICT will be responsible for funding the development of the programs and manufacturing of the products for commercialization in China and the rest of the territory. On December 21, 2017, the Company received $5.2 million (gross of withholding tax), of which $4.0 million was allocated to the warrant based on the fair value on the date of grant as described in note 12 and the remaining $1.2 million was recognized as described below.</w:t>
      </w:r>
    </w:p>
    <w:p>
      <w:pPr>
        <w:spacing w:after="0" w:line="18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license was delivered in December 2017, and revenue of $1.2 million was recorded in 2017 under the then applicable revenue accounting standard ASC 605. Based upon the Company’s evaluation under ASC 606 there was no change in amount or timing of revenue recognized for the agreement, and therefore no cumulative change adjustment was recorded upon adoption of the new revenue standard on January 1, 2018. The Company has no significant performance obligations remaining under the agreement.</w:t>
      </w:r>
    </w:p>
    <w:p>
      <w:pPr>
        <w:spacing w:after="0" w:line="1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License Agreement provides for future milestone payments due to the Company upon the achievement of certain developmental and commercial events. The Company evaluates these milestones under the new revenue recognition standard at contract inception and at each reporting period date. Based on the Company’s evaluations to date, the Company has not included any of the future milestones in its determination of the transaction price because the criteria for including these variable payments have not yet been met. This evaluation was based on 1) the pace and eventual achievement of the milestones are largely dependent on ICT’s performance of its contractual obligations and the Company has no prior experience to determine the likelihood of ICT performing those obligations, and 2) the transfer of the funds for each of the milestone payments by ICT to the Company, if achieved, is subject to approval by the State Administration of Foreign Exchange of the People’s Republic of China.</w:t>
      </w:r>
    </w:p>
    <w:p>
      <w:pPr>
        <w:spacing w:after="0" w:line="39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License Agreement contains future sales-based royalties to the Company in the low-to-mid double digits. These royalties meet the exception for sales-based or usage-based royalties because they predominantly relate to the license and will be recognized when and if the subsequent sales occur. As of December 31, 2019, we have not received any payments under the License Agreement.</w:t>
      </w:r>
    </w:p>
    <w:p>
      <w:pPr>
        <w:spacing w:after="0" w:line="3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57"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 and Carticel implants and kits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Implants based on contracted rate sold through a specialty pharmacy (a)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56,185</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42,926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37,796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Implants subject to third party reimbursement sold through a specialty pharmacy (b)</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1,299</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Implants sold direct based on contracted rates (c)</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3,393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Implants sold direct subject to third party reimbursement (d)</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Biopsy kits - direct bill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 related to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1,164</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117,850</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90,857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63,924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jc w:val="both"/>
        <w:ind w:left="40" w:right="20" w:hanging="5"/>
        <w:spacing w:after="0" w:line="257" w:lineRule="auto"/>
        <w:tabs>
          <w:tab w:leader="none" w:pos="2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implants sold through Orsini and AllCare in both 2019 and 2018 and Dohmen Life Science Services, LLC (DLSS) and Vital Care, Inc (Vital Care) in 2017 in which such specialty pharmacies have entered into a direct contract with the underlying insurance provider. The amount of reimbursement is based on contracted rates at the time of sale supported by the pharmacy's direct contracts. Also represents sales with DMS and UsBio, based on direct contracts the Company holds with the facilities. The Company sold implants through DLSS and Vital Care through June 2017 and began selling directly to Orsini based on a fixed transfer price under a distribution model until June 2018.</w:t>
      </w:r>
    </w:p>
    <w:p>
      <w:pPr>
        <w:spacing w:after="0" w:line="242" w:lineRule="exact"/>
        <w:rPr>
          <w:rFonts w:ascii="Arial" w:cs="Arial" w:eastAsia="Arial" w:hAnsi="Arial"/>
          <w:sz w:val="18"/>
          <w:szCs w:val="18"/>
          <w:color w:val="auto"/>
        </w:rPr>
      </w:pPr>
    </w:p>
    <w:p>
      <w:pPr>
        <w:ind w:left="40" w:right="20" w:hanging="5"/>
        <w:spacing w:after="0" w:line="277" w:lineRule="auto"/>
        <w:tabs>
          <w:tab w:leader="none" w:pos="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implants sold through Orsini, AllCare or DLSS in which such specialty pharmacy does not have a direct contract with the underlying payer. The amount of reimbursement is established based on a payer or state fee schedule and/or payer history.</w:t>
      </w:r>
    </w:p>
    <w:p>
      <w:pPr>
        <w:spacing w:after="0" w:line="224" w:lineRule="exact"/>
        <w:rPr>
          <w:rFonts w:ascii="Arial" w:cs="Arial" w:eastAsia="Arial" w:hAnsi="Arial"/>
          <w:sz w:val="18"/>
          <w:szCs w:val="18"/>
          <w:color w:val="auto"/>
        </w:rPr>
      </w:pPr>
    </w:p>
    <w:p>
      <w:pPr>
        <w:ind w:left="280" w:hanging="245"/>
        <w:spacing w:after="0"/>
        <w:tabs>
          <w:tab w:leader="none" w:pos="2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290" w:lineRule="exact"/>
        <w:rPr>
          <w:rFonts w:ascii="Arial" w:cs="Arial" w:eastAsia="Arial" w:hAnsi="Arial"/>
          <w:sz w:val="17"/>
          <w:szCs w:val="17"/>
          <w:color w:val="auto"/>
        </w:rPr>
      </w:pPr>
    </w:p>
    <w:p>
      <w:pPr>
        <w:ind w:left="40" w:right="20" w:hanging="5"/>
        <w:spacing w:after="0" w:line="277" w:lineRule="auto"/>
        <w:tabs>
          <w:tab w:leader="none" w:pos="3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From July 2016 through June 2017, the Company utilized a direct sales model and contracted with Dohmen Life Science Services, LLC (DLSS) to also provide administrative services associated with case management and reimbursement support and to provide billing and collection services for MACI. The Company also utilized Vital Care, Inc. (Vital Care) to provide similar billing and collection services for a subset of insurance payers and patients. In the second quarter of 2017, the Company and DLSS mutually terminated their agreement effective June 30, 2017. On May 15, 2017, the Company entered into a distribution agreement with Orsini Pharmaceutical Services, Inc. as a specialty pharmacy distributor of MACI and has engaged a third party services provider to provide the patient support program previously provided by DLSS and to manage patient cases for MACI. The Company’s receivables risk and credit risk became more concentrated from June 30, 2017 through June 15, 2018 due to the shift from DLSS to Orsini. Beginning June 16, 2018, the concentration of risk decreased because the Company retains the credit and collection risk from the end customer on implants after June 15, 2018. The Company sells Epicel directly to hospitals and not through a distributor.</w:t>
      </w:r>
    </w:p>
    <w:p>
      <w:pPr>
        <w:spacing w:after="0" w:line="18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from its largest customer of MACI and Epicel based on customers whose revenue or accounts receivable concentration is greater than 10% of total revenue or total accounts receivable in any of the periods disclosed below and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6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Revenue Concentration</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Accounts Receivable Concentration</w:t>
            </w:r>
          </w:p>
        </w:tc>
      </w:tr>
      <w:tr>
        <w:trPr>
          <w:trHeight w:val="53"/>
        </w:trPr>
        <w:tc>
          <w:tcPr>
            <w:tcW w:w="32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12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32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5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Borders>
              <w:bottom w:val="single" w:sz="8" w:color="auto"/>
            </w:tcBorders>
          </w:tcPr>
          <w:p>
            <w:pPr>
              <w:spacing w:after="0"/>
              <w:rPr>
                <w:sz w:val="21"/>
                <w:szCs w:val="21"/>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MACI (a)</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40" w:right="20" w:hanging="5"/>
        <w:spacing w:after="0" w:line="308" w:lineRule="auto"/>
        <w:tabs>
          <w:tab w:leader="none" w:pos="309" w:val="left"/>
        </w:tabs>
        <w:numPr>
          <w:ilvl w:val="1"/>
          <w:numId w:val="31"/>
        </w:numPr>
        <w:rPr>
          <w:rFonts w:ascii="Arial" w:cs="Arial" w:eastAsia="Arial" w:hAnsi="Arial"/>
          <w:sz w:val="17"/>
          <w:szCs w:val="17"/>
          <w:color w:val="auto"/>
        </w:rPr>
      </w:pPr>
      <w:r>
        <w:rPr>
          <w:rFonts w:ascii="Arial" w:cs="Arial" w:eastAsia="Arial" w:hAnsi="Arial"/>
          <w:sz w:val="17"/>
          <w:szCs w:val="17"/>
          <w:color w:val="auto"/>
        </w:rPr>
        <w:t>For MACI net revenue, the concentration of credit risk in 2018 and 2017 represents sales directly to Orsini. The comparable concentration in 2019 represents a different end customer under the sales model where the Company retains the credit and collection risk from the end customer.</w:t>
      </w:r>
    </w:p>
    <w:p>
      <w:pPr>
        <w:spacing w:after="0" w:line="385" w:lineRule="exact"/>
        <w:rPr>
          <w:rFonts w:ascii="Arial" w:cs="Arial" w:eastAsia="Arial" w:hAnsi="Arial"/>
          <w:sz w:val="17"/>
          <w:szCs w:val="17"/>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December 31, 2019 and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812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as of December 31, 2019 and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Financing right-of-use lease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years ended December 31, 2019, 2018 and 2017 were $1.7 million, $1.4 million and $1.6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December 31, 2019 and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Employee related accruals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1,559</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6,930</w:t>
            </w:r>
          </w:p>
        </w:tc>
      </w:tr>
      <w:tr>
        <w:trPr>
          <w:trHeight w:val="20"/>
        </w:trPr>
        <w:tc>
          <w:tcPr>
            <w:tcW w:w="8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738" w:right="239" w:bottom="1440" w:gutter="0" w:footer="0" w:header="0"/>
          <w:type w:val="continuous"/>
        </w:sectPr>
      </w:pPr>
    </w:p>
    <w:bookmarkStart w:id="74" w:name="page75"/>
    <w:bookmarkEnd w:id="74"/>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19, 2018, the Company prepaid in full all outstanding indebtedness under, and terminated, the Loan and Security Agreement dated as of September 9, 2016, by and between the Company, Silicon Valley Bank as Agent and Silicon Valley Bank, MidCap Financial Trust, MidCap Funding III Trust and other lenders listed therein as lenders (SVB Loan Agreement), as amended December 30, 2016, May 9, 2017 and December 6, 2017, which termination was effective December 19, 2018. Warrants were issued to SVB and MidCap in conjunction with the modified debt agreement as discussed in note 13. On the date of termination, the Company paid in full $17.1 million in outstanding borrowings at the time of termination. In connection with the termination of the SVB Loan Agreement, the Company paid an additional prepayment premium of 1.5% in the amount of $0.2 million and a final payment of 3.6% in the amount of $0.5 million.</w:t>
      </w:r>
    </w:p>
    <w:p>
      <w:pPr>
        <w:spacing w:after="0" w:line="18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prepayment of the debt in 2018 and the debt modification in 2017 were accounted for as debt extinguishments. The Company considered whether creditors remained the same or changed and whether the changes in debt terms were substantial. After performing the assessment in accordance with accounting guidance for the modification of debt arrangements, the term loan portion was determined to be accounted for as a debt extinguishment under the modified terms in 2017 and the repayment of both the term loans and revolving credit agreement in 2018 was also accounted for as a debt extinguishment. As a result, the unamortized deferred financing costs, prepayment penalty and the accelerated payment of the final payment was recognized as a loss on extinguishment of debt of $0.8 million for the year ended December 31, 2018. The unamortized deferred financing costs, lender fees and warrant issuance costs allocated to the term loan under the modified terms were recognized as a loss on extinguishment of debt of $0.9 million for the year-ended December 31, 2017.</w:t>
      </w:r>
    </w:p>
    <w:p>
      <w:pPr>
        <w:spacing w:after="0" w:line="18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and Cambridge, Massachusetts. The Ann Arbor facility supports office space, and the Cambridge facility includes clean rooms, laboratories for MACI and Epicel manufacturing and office space. The Company also leases offsite warehouse space, vehicles and computer equipment.</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adopted the new leasing standards using the modified retrospective transition approach, as of January 1, 2019, with no restatement of prior periods. As a result of adoption, no cumulative adjustment to retained earnings occurred. In addition, the Company elected the package of practical expedients permitted under the transition guidance within the new standard, which among other things, allowed the Company to carry forward prior conclusions related to whether any expired or existing contracts are or contain leases, the lease classification for any expired or existing leases and initial direct costs for existing leases.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for the year ended December 31, 2019, lease expense of less than $.1 million was recorded related to short-term leases.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Adoption of ASU 2016-02 resulted in the recording of additional right-of-use assets and lease liabilities of approximately $25.6 million and $27.8 million, respectively, as of January 1, 2019. There was an immaterial impact on the Company’s consolidated net earnings and cash flows upon adoption. The </w:t>
      </w:r>
      <w:r>
        <w:rPr>
          <w:rFonts w:ascii="Arial" w:cs="Arial" w:eastAsia="Arial" w:hAnsi="Arial"/>
          <w:sz w:val="17"/>
          <w:szCs w:val="17"/>
          <w:color w:val="222222"/>
        </w:rPr>
        <w:t xml:space="preserve">contribution toward the cost of tenant improvements is recorded as a reduction of the operating lease assets and reclassed from deferred rent to lease operating assets. For the year ended </w:t>
      </w:r>
      <w:r>
        <w:rPr>
          <w:rFonts w:ascii="Arial" w:cs="Arial" w:eastAsia="Arial" w:hAnsi="Arial"/>
          <w:sz w:val="17"/>
          <w:szCs w:val="17"/>
          <w:color w:val="000000"/>
        </w:rPr>
        <w:t>December 31, 2019</w:t>
      </w:r>
      <w:r>
        <w:rPr>
          <w:rFonts w:ascii="Arial" w:cs="Arial" w:eastAsia="Arial" w:hAnsi="Arial"/>
          <w:sz w:val="17"/>
          <w:szCs w:val="17"/>
          <w:color w:val="222222"/>
        </w:rPr>
        <w:t xml:space="preserve">, the Company recognized $5.4 million of operating lease expense and less than $0.1 million of financing lease expense. For the year ended December 31, 2018 (as reported under the prior leasing guidance) the Company recognized $5.2 million of operating lease expense and less than $0.1 million of financing lease expense, respectively. The </w:t>
      </w:r>
      <w:r>
        <w:rPr>
          <w:rFonts w:ascii="Arial" w:cs="Arial" w:eastAsia="Arial" w:hAnsi="Arial"/>
          <w:sz w:val="17"/>
          <w:szCs w:val="17"/>
          <w:color w:val="000000"/>
        </w:rPr>
        <w:t>Company’s leases contain non-lease components and activities that do not</w:t>
      </w:r>
      <w:r>
        <w:rPr>
          <w:rFonts w:ascii="Arial" w:cs="Arial" w:eastAsia="Arial" w:hAnsi="Arial"/>
          <w:sz w:val="17"/>
          <w:szCs w:val="17"/>
          <w:color w:val="222222"/>
        </w:rPr>
        <w:t xml:space="preserve"> </w:t>
      </w:r>
      <w:r>
        <w:rPr>
          <w:rFonts w:ascii="Arial" w:cs="Arial" w:eastAsia="Arial" w:hAnsi="Arial"/>
          <w:sz w:val="17"/>
          <w:szCs w:val="17"/>
          <w:color w:val="000000"/>
        </w:rPr>
        <w:t>transfer a good or service to the Company. The Company elected not to combine lease and non-lease components and therefore non-lease costs were not included in the net lease assets or lease liabilities.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53" w:right="239" w:bottom="1440" w:gutter="0" w:footer="0" w:header="0"/>
        </w:sectPr>
      </w:pPr>
    </w:p>
    <w:bookmarkStart w:id="75" w:name="page76"/>
    <w:bookmarkEnd w:id="75"/>
    <w:p>
      <w:pPr>
        <w:ind w:left="260"/>
        <w:spacing w:after="0"/>
        <w:rPr>
          <w:sz w:val="20"/>
          <w:szCs w:val="20"/>
          <w:color w:val="auto"/>
        </w:rPr>
      </w:pPr>
      <w:r>
        <w:rPr>
          <w:rFonts w:ascii="Arial" w:cs="Arial" w:eastAsia="Arial" w:hAnsi="Arial"/>
          <w:sz w:val="16"/>
          <w:szCs w:val="16"/>
          <w:color w:val="auto"/>
        </w:rPr>
        <w:t>Total leased assets and liabilities as reassessed under the updated guidance and classified on the balance sheet, as of December 31, 2019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8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Finance</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gridSpan w:val="2"/>
            <w:vMerge w:val="continue"/>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Current</w:t>
            </w:r>
          </w:p>
        </w:tc>
        <w:tc>
          <w:tcPr>
            <w:tcW w:w="8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67"/>
        </w:trPr>
        <w:tc>
          <w:tcPr>
            <w:tcW w:w="1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Non-current</w:t>
            </w:r>
          </w:p>
        </w:tc>
        <w:tc>
          <w:tcPr>
            <w:tcW w:w="8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22,352</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Cash paid for amounts affecting the measurement of the Company’s operating lease liabilities was $5.0 </w:t>
      </w:r>
      <w:r>
        <w:rPr>
          <w:rFonts w:ascii="Arial" w:cs="Arial" w:eastAsia="Arial" w:hAnsi="Arial"/>
          <w:sz w:val="16"/>
          <w:szCs w:val="16"/>
          <w:color w:val="222222"/>
        </w:rPr>
        <w:t>million</w:t>
      </w:r>
      <w:r>
        <w:rPr>
          <w:rFonts w:ascii="Arial" w:cs="Arial" w:eastAsia="Arial" w:hAnsi="Arial"/>
          <w:sz w:val="16"/>
          <w:szCs w:val="16"/>
          <w:color w:val="auto"/>
        </w:rPr>
        <w:t xml:space="preserve"> for the year ended December 31, 2019.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Maturity of lease liabilities as of December 31, 2019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 Leases</w:t>
            </w:r>
          </w:p>
        </w:tc>
        <w:tc>
          <w:tcPr>
            <w:tcW w:w="1580" w:type="dxa"/>
            <w:vAlign w:val="bottom"/>
          </w:tcPr>
          <w:p>
            <w:pPr>
              <w:jc w:val="right"/>
              <w:ind w:right="16"/>
              <w:spacing w:after="0"/>
              <w:rPr>
                <w:sz w:val="20"/>
                <w:szCs w:val="20"/>
                <w:color w:val="auto"/>
              </w:rPr>
            </w:pPr>
            <w:r>
              <w:rPr>
                <w:rFonts w:ascii="Arial" w:cs="Arial" w:eastAsia="Arial" w:hAnsi="Arial"/>
                <w:sz w:val="14"/>
                <w:szCs w:val="14"/>
                <w:b w:val="1"/>
                <w:bCs w:val="1"/>
                <w:color w:val="auto"/>
              </w:rPr>
              <w:t>Finance Leases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5,502</w:t>
            </w:r>
          </w:p>
        </w:tc>
      </w:tr>
      <w:tr>
        <w:trPr>
          <w:trHeight w:val="243"/>
        </w:trPr>
        <w:tc>
          <w:tcPr>
            <w:tcW w:w="4920" w:type="dxa"/>
            <w:vAlign w:val="bottom"/>
          </w:tcPr>
          <w:p>
            <w:pPr>
              <w:jc w:val="right"/>
              <w:ind w:right="52"/>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5,399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5,357</w:t>
            </w:r>
          </w:p>
        </w:tc>
      </w:tr>
      <w:tr>
        <w:trPr>
          <w:trHeight w:val="243"/>
        </w:trPr>
        <w:tc>
          <w:tcPr>
            <w:tcW w:w="4920" w:type="dxa"/>
            <w:vAlign w:val="bottom"/>
          </w:tcPr>
          <w:p>
            <w:pPr>
              <w:jc w:val="right"/>
              <w:ind w:right="52"/>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5,335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5,302</w:t>
            </w:r>
          </w:p>
        </w:tc>
      </w:tr>
      <w:tr>
        <w:trPr>
          <w:trHeight w:val="243"/>
        </w:trPr>
        <w:tc>
          <w:tcPr>
            <w:tcW w:w="5040" w:type="dxa"/>
            <w:vAlign w:val="bottom"/>
            <w:gridSpan w:val="2"/>
          </w:tcPr>
          <w:p>
            <w:pPr>
              <w:jc w:val="right"/>
              <w:ind w:right="260"/>
              <w:spacing w:after="0"/>
              <w:rPr>
                <w:sz w:val="20"/>
                <w:szCs w:val="20"/>
                <w:color w:val="auto"/>
              </w:rPr>
            </w:pPr>
            <w:r>
              <w:rPr>
                <w:rFonts w:ascii="Arial" w:cs="Arial" w:eastAsia="Arial" w:hAnsi="Arial"/>
                <w:sz w:val="18"/>
                <w:szCs w:val="18"/>
                <w:color w:val="auto"/>
              </w:rPr>
              <w:t>more than 5 years</w:t>
            </w:r>
          </w:p>
        </w:tc>
        <w:tc>
          <w:tcPr>
            <w:tcW w:w="30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11,270</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38,165</w:t>
            </w:r>
          </w:p>
        </w:tc>
      </w:tr>
      <w:tr>
        <w:trPr>
          <w:trHeight w:val="243"/>
        </w:trPr>
        <w:tc>
          <w:tcPr>
            <w:tcW w:w="5040" w:type="dxa"/>
            <w:vAlign w:val="bottom"/>
            <w:gridSpan w:val="2"/>
          </w:tcPr>
          <w:p>
            <w:pPr>
              <w:jc w:val="right"/>
              <w:ind w:right="26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(10,311)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27,703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27,854</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minimum future lease payments of approximately $2.1 million for a lease that has not commenced as of December 31, 2019 is not included in the consolidated financial statements, as the Company does not yet have control of the underlying asset. The lease is expected to commence in July 2020 with a lease term of 4.3 years.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 explicit rate is not provided in some of the Company’s leases, therefore the Company uses a mix of incremental borrowing rate based on the information available at commencement date, as well as implicit and explicit rates in determining the present value of lease payments.</w:t>
      </w:r>
    </w:p>
    <w:p>
      <w:pPr>
        <w:spacing w:after="0" w:line="17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options to renew lease terms for facilities and other assets.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the renewal period was accordingly included in the lease term and related calculations. Lease terms and discount rates as of December 31, 2019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57" w:right="239" w:bottom="1440" w:gutter="0" w:footer="0" w:header="0"/>
        </w:sectPr>
      </w:pPr>
    </w:p>
    <w:bookmarkStart w:id="76" w:name="page77"/>
    <w:bookmarkEnd w:id="76"/>
    <w:tbl>
      <w:tblPr>
        <w:tblLayout w:type="fixed"/>
        <w:tblInd w:w="240" w:type="dxa"/>
        <w:tblCellMar>
          <w:top w:w="0" w:type="dxa"/>
          <w:left w:w="0" w:type="dxa"/>
          <w:bottom w:w="0" w:type="dxa"/>
          <w:right w:w="0" w:type="dxa"/>
        </w:tblCellMar>
      </w:tblPr>
      <w:tr>
        <w:trPr>
          <w:trHeight w:val="192"/>
        </w:trPr>
        <w:tc>
          <w:tcPr>
            <w:tcW w:w="9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1720" w:type="dxa"/>
            <w:vAlign w:val="bottom"/>
          </w:tcPr>
          <w:p>
            <w:pPr>
              <w:jc w:val="right"/>
              <w:ind w:right="114"/>
              <w:spacing w:after="0"/>
              <w:rPr>
                <w:sz w:val="20"/>
                <w:szCs w:val="20"/>
                <w:color w:val="auto"/>
              </w:rPr>
            </w:pPr>
            <w:r>
              <w:rPr>
                <w:rFonts w:ascii="Arial" w:cs="Arial" w:eastAsia="Arial" w:hAnsi="Arial"/>
                <w:sz w:val="18"/>
                <w:szCs w:val="18"/>
                <w:color w:val="auto"/>
              </w:rPr>
              <w:t>6.8</w:t>
            </w:r>
          </w:p>
        </w:tc>
      </w:tr>
      <w:tr>
        <w:trPr>
          <w:trHeight w:val="27"/>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w:t>
            </w:r>
          </w:p>
        </w:tc>
      </w:tr>
      <w:tr>
        <w:trPr>
          <w:trHeight w:val="243"/>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720" w:type="dxa"/>
            <w:vAlign w:val="bottom"/>
          </w:tcPr>
          <w:p>
            <w:pPr>
              <w:spacing w:after="0"/>
              <w:rPr>
                <w:sz w:val="21"/>
                <w:szCs w:val="21"/>
                <w:color w:val="auto"/>
              </w:rPr>
            </w:pPr>
          </w:p>
        </w:tc>
      </w:tr>
      <w:tr>
        <w:trPr>
          <w:trHeight w:val="27"/>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43"/>
        </w:trPr>
        <w:tc>
          <w:tcPr>
            <w:tcW w:w="9240" w:type="dxa"/>
            <w:vAlign w:val="bottom"/>
            <w:gridSpan w:val="2"/>
          </w:tcPr>
          <w:p>
            <w:pPr>
              <w:ind w:left="160"/>
              <w:spacing w:after="0"/>
              <w:rPr>
                <w:sz w:val="20"/>
                <w:szCs w:val="20"/>
                <w:color w:val="auto"/>
              </w:rPr>
            </w:pPr>
            <w:r>
              <w:rPr>
                <w:rFonts w:ascii="Arial" w:cs="Arial" w:eastAsia="Arial" w:hAnsi="Arial"/>
                <w:sz w:val="18"/>
                <w:szCs w:val="18"/>
                <w:color w:val="auto"/>
              </w:rPr>
              <w:t>Finance leases</w:t>
            </w:r>
          </w:p>
        </w:tc>
        <w:tc>
          <w:tcPr>
            <w:tcW w:w="172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200" w:lineRule="exact"/>
        <w:rPr>
          <w:sz w:val="20"/>
          <w:szCs w:val="20"/>
          <w:color w:val="auto"/>
        </w:rPr>
      </w:pPr>
    </w:p>
    <w:p>
      <w:pPr>
        <w:spacing w:after="0" w:line="245"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Future minimum payments related to operating and capital leases, as reflected under the prior guidance, for the fiscal year ended December 31, 2018, are as follows with no changes from prior disclosure:</w:t>
      </w:r>
    </w:p>
    <w:p>
      <w:pPr>
        <w:spacing w:after="0" w:line="3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92"/>
        </w:trPr>
        <w:tc>
          <w:tcPr>
            <w:tcW w:w="3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Rent expense, as reflected under the prior guidance, for the years ended December 31, 2018 and 2017 was $5.5 million and $5.6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 and Investments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years ended December 31, 2019 and 2018, the Company purchased marketable debt securities, which are classified as available-for-sale and carried at fair value in the accompanying consolidated balance sheets on a settlement date basis. The following tables summarize the gross unrealized gains and losses of the Company’s marketable securities as of December 31, 2019 and December 31, 2018:</w:t>
      </w:r>
    </w:p>
    <w:p>
      <w:pPr>
        <w:spacing w:after="0" w:line="200" w:lineRule="exact"/>
        <w:rPr>
          <w:sz w:val="20"/>
          <w:szCs w:val="20"/>
          <w:color w:val="auto"/>
        </w:rPr>
      </w:pP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80" w:type="dxa"/>
            <w:vAlign w:val="bottom"/>
            <w:tcBorders>
              <w:bottom w:val="single" w:sz="8" w:color="BFE4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BFE4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BFE4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2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asset-backed securities</w:t>
            </w:r>
          </w:p>
        </w:tc>
        <w:tc>
          <w:tcPr>
            <w:tcW w:w="280" w:type="dxa"/>
            <w:vAlign w:val="bottom"/>
            <w:tcBorders>
              <w:bottom w:val="single" w:sz="8" w:color="BFE4FF"/>
            </w:tcBorders>
            <w:shd w:val="clear" w:color="auto" w:fill="BFE4FF"/>
          </w:tcPr>
          <w:p>
            <w:pPr>
              <w:spacing w:after="0"/>
              <w:rPr>
                <w:sz w:val="23"/>
                <w:szCs w:val="23"/>
                <w:color w:val="auto"/>
              </w:rPr>
            </w:pPr>
          </w:p>
        </w:tc>
        <w:tc>
          <w:tcPr>
            <w:tcW w:w="160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BFE4FF"/>
            </w:tcBorders>
            <w:shd w:val="clear" w:color="auto" w:fill="BFE4FF"/>
          </w:tcPr>
          <w:p>
            <w:pPr>
              <w:spacing w:after="0"/>
              <w:rPr>
                <w:sz w:val="23"/>
                <w:szCs w:val="23"/>
                <w:color w:val="auto"/>
              </w:rPr>
            </w:pPr>
          </w:p>
        </w:tc>
        <w:tc>
          <w:tcPr>
            <w:tcW w:w="6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3"/>
                <w:szCs w:val="23"/>
                <w:color w:val="auto"/>
              </w:rPr>
            </w:pPr>
          </w:p>
        </w:tc>
        <w:tc>
          <w:tcPr>
            <w:tcW w:w="16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57,436</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67"/>
        </w:trPr>
        <w:tc>
          <w:tcPr>
            <w:tcW w:w="338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Classified as:</w:t>
            </w:r>
          </w:p>
        </w:tc>
        <w:tc>
          <w:tcPr>
            <w:tcW w:w="280" w:type="dxa"/>
            <w:vAlign w:val="bottom"/>
            <w:tcBorders>
              <w:bottom w:val="single" w:sz="8" w:color="BFE4FF"/>
            </w:tcBorders>
            <w:shd w:val="clear" w:color="auto" w:fill="BFE4FF"/>
          </w:tcPr>
          <w:p>
            <w:pPr>
              <w:spacing w:after="0"/>
              <w:rPr>
                <w:sz w:val="20"/>
                <w:szCs w:val="20"/>
                <w:color w:val="auto"/>
              </w:rPr>
            </w:pPr>
          </w:p>
        </w:tc>
        <w:tc>
          <w:tcPr>
            <w:tcW w:w="16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60" w:type="dxa"/>
            <w:vAlign w:val="bottom"/>
            <w:tcBorders>
              <w:bottom w:val="single" w:sz="8" w:color="BFE4FF"/>
            </w:tcBorders>
            <w:shd w:val="clear" w:color="auto" w:fill="BFE4FF"/>
          </w:tcPr>
          <w:p>
            <w:pPr>
              <w:spacing w:after="0"/>
              <w:rPr>
                <w:sz w:val="20"/>
                <w:szCs w:val="20"/>
                <w:color w:val="auto"/>
              </w:rPr>
            </w:pPr>
          </w:p>
        </w:tc>
        <w:tc>
          <w:tcPr>
            <w:tcW w:w="13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62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Long term investments</w:t>
            </w: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6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60" w:type="dxa"/>
            <w:vAlign w:val="bottom"/>
            <w:tcBorders>
              <w:bottom w:val="single" w:sz="8" w:color="BFE4FF"/>
            </w:tcBorders>
          </w:tcPr>
          <w:p>
            <w:pPr>
              <w:spacing w:after="0"/>
              <w:rPr>
                <w:sz w:val="2"/>
                <w:szCs w:val="2"/>
                <w:color w:val="auto"/>
              </w:rPr>
            </w:pPr>
          </w:p>
        </w:tc>
        <w:tc>
          <w:tcPr>
            <w:tcW w:w="13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20" w:type="dxa"/>
            <w:vAlign w:val="bottom"/>
            <w:tcBorders>
              <w:bottom w:val="single" w:sz="8" w:color="BFE4FF"/>
            </w:tcBorders>
          </w:tcPr>
          <w:p>
            <w:pPr>
              <w:spacing w:after="0"/>
              <w:rPr>
                <w:sz w:val="2"/>
                <w:szCs w:val="2"/>
                <w:color w:val="auto"/>
              </w:rPr>
            </w:pPr>
          </w:p>
        </w:tc>
        <w:tc>
          <w:tcPr>
            <w:tcW w:w="116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BFE4FF"/>
            </w:tcBorders>
            <w:shd w:val="clear" w:color="auto" w:fill="BFE4FF"/>
          </w:tcPr>
          <w:p>
            <w:pPr>
              <w:spacing w:after="0"/>
              <w:rPr>
                <w:sz w:val="22"/>
                <w:szCs w:val="22"/>
                <w:color w:val="auto"/>
              </w:rPr>
            </w:pPr>
          </w:p>
        </w:tc>
        <w:tc>
          <w:tcPr>
            <w:tcW w:w="13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2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20"/>
        </w:trPr>
        <w:tc>
          <w:tcPr>
            <w:tcW w:w="338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77</w:t>
            </w:r>
          </w:p>
        </w:tc>
        <w:tc>
          <w:tcPr>
            <w:tcW w:w="13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BFE4FF"/>
            </w:tcBorders>
          </w:tcPr>
          <w:p>
            <w:pPr>
              <w:spacing w:after="0" w:line="20" w:lineRule="exact"/>
              <w:rPr>
                <w:sz w:val="1"/>
                <w:szCs w:val="1"/>
                <w:color w:val="auto"/>
              </w:rPr>
            </w:pPr>
          </w:p>
        </w:tc>
        <w:tc>
          <w:tcPr>
            <w:tcW w:w="11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77" w:name="page78"/>
    <w:bookmarkEnd w:id="77"/>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December 31, 2018</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0" w:type="dxa"/>
            <w:vAlign w:val="bottom"/>
            <w:gridSpan w:val="3"/>
          </w:tcPr>
          <w:p>
            <w:pPr>
              <w:ind w:left="840"/>
              <w:spacing w:after="0"/>
              <w:rPr>
                <w:sz w:val="20"/>
                <w:szCs w:val="20"/>
                <w:color w:val="auto"/>
              </w:rPr>
            </w:pPr>
            <w:r>
              <w:rPr>
                <w:rFonts w:ascii="Arial" w:cs="Arial" w:eastAsia="Arial" w:hAnsi="Arial"/>
                <w:sz w:val="14"/>
                <w:szCs w:val="14"/>
                <w:b w:val="1"/>
                <w:bCs w:val="1"/>
                <w:color w:val="auto"/>
                <w:w w:val="98"/>
              </w:rPr>
              <w:t>Gross Unrealized</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BFE4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BFE4FF"/>
            </w:tcBorders>
            <w:gridSpan w:val="2"/>
            <w:shd w:val="clear" w:color="auto" w:fill="BFE4FF"/>
          </w:tcPr>
          <w:p>
            <w:pPr>
              <w:ind w:left="10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gridSpan w:val="2"/>
            <w:shd w:val="clear" w:color="auto" w:fill="BFE4FF"/>
          </w:tcPr>
          <w:p>
            <w:pPr>
              <w:ind w:left="10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30,710</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10,167</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gridSpan w:val="2"/>
            <w:shd w:val="clear" w:color="auto" w:fill="BFE4FF"/>
          </w:tcPr>
          <w:p>
            <w:pPr>
              <w:ind w:left="10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75,515</w:t>
            </w:r>
          </w:p>
        </w:tc>
        <w:tc>
          <w:tcPr>
            <w:tcW w:w="10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BFE4FF"/>
            </w:tcBorders>
            <w:gridSpan w:val="2"/>
            <w:shd w:val="clear" w:color="auto" w:fill="BFE4FF"/>
          </w:tcPr>
          <w:p>
            <w:pPr>
              <w:ind w:left="10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32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64,638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56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BFE4FF"/>
            </w:tcBorders>
          </w:tcPr>
          <w:p>
            <w:pPr>
              <w:spacing w:after="0"/>
              <w:rPr>
                <w:sz w:val="2"/>
                <w:szCs w:val="2"/>
                <w:color w:val="auto"/>
              </w:rPr>
            </w:pPr>
          </w:p>
        </w:tc>
        <w:tc>
          <w:tcPr>
            <w:tcW w:w="13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00" w:type="dxa"/>
            <w:vAlign w:val="bottom"/>
            <w:tcBorders>
              <w:bottom w:val="single" w:sz="8" w:color="BFE4FF"/>
            </w:tcBorders>
          </w:tcPr>
          <w:p>
            <w:pPr>
              <w:spacing w:after="0"/>
              <w:rPr>
                <w:sz w:val="2"/>
                <w:szCs w:val="2"/>
                <w:color w:val="auto"/>
              </w:rPr>
            </w:pPr>
          </w:p>
        </w:tc>
        <w:tc>
          <w:tcPr>
            <w:tcW w:w="11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spacing w:after="0"/>
              <w:rPr>
                <w:sz w:val="22"/>
                <w:szCs w:val="22"/>
                <w:color w:val="auto"/>
              </w:rPr>
            </w:pPr>
          </w:p>
        </w:tc>
        <w:tc>
          <w:tcPr>
            <w:tcW w:w="13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00" w:type="dxa"/>
            <w:vAlign w:val="bottom"/>
            <w:tcBorders>
              <w:bottom w:val="single" w:sz="8" w:color="BFE4FF"/>
            </w:tcBorders>
            <w:shd w:val="clear" w:color="auto" w:fill="BFE4FF"/>
          </w:tcPr>
          <w:p>
            <w:pPr>
              <w:spacing w:after="0"/>
              <w:rPr>
                <w:sz w:val="22"/>
                <w:szCs w:val="22"/>
                <w:color w:val="auto"/>
              </w:rPr>
            </w:pPr>
          </w:p>
        </w:tc>
        <w:tc>
          <w:tcPr>
            <w:tcW w:w="11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32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5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tcBorders>
          </w:tcPr>
          <w:p>
            <w:pPr>
              <w:spacing w:after="0" w:line="20" w:lineRule="exact"/>
              <w:rPr>
                <w:sz w:val="1"/>
                <w:szCs w:val="1"/>
                <w:color w:val="auto"/>
              </w:rPr>
            </w:pPr>
          </w:p>
        </w:tc>
        <w:tc>
          <w:tcPr>
            <w:tcW w:w="13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00" w:type="dxa"/>
            <w:vAlign w:val="bottom"/>
            <w:tcBorders>
              <w:top w:val="single" w:sz="8" w:color="BFE4FF"/>
            </w:tcBorders>
          </w:tcPr>
          <w:p>
            <w:pPr>
              <w:spacing w:after="0" w:line="20" w:lineRule="exact"/>
              <w:rPr>
                <w:sz w:val="1"/>
                <w:szCs w:val="1"/>
                <w:color w:val="auto"/>
              </w:rPr>
            </w:pPr>
          </w:p>
        </w:tc>
        <w:tc>
          <w:tcPr>
            <w:tcW w:w="11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the year ended December 31, 2018, the Company invested $5.0 million in overnight repurchase agreement securities classified as cash equivalents on the balance sheet.</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December 31, 2019. The Company's investment strategy is to buy short-duration marketable securities with a high credit rating. As of December 31, 2019, all marketable securities held by the Company had remaining contractual maturities of three years or less.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 of operations. There have been no impairments of the Company’s assets measured and carried at fair value for the year ended December 31, 2019.</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18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2019 Omnibus Incentive Plan (2019 Plan) was approved on May 1, 2019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However, the expiration or forfeiture of options previously granted under the Prior Plans will increase the number of shares available for issuance under the 2019 Plan.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there were 3,344,242 shares available for future grant under the 2019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595,799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2020, employees purchased 19,076 shares resulting in proceeds from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33" w:right="2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sale of common stock of $0.2 million under the ESPP for the fourth quarter of 2019. The total share-based compensation expense for the ESPP for the years ended December 31, 2019, 2018, and 2017 was approximately $0.3 million, $0.3 million, and $0.2 million,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During the year ended December 31, 2019, the Company granted 2,033,760 service-based options to purchase common stock. The exercise price of the options is the fair market value per share of common stock on the grant date, generally vest over four years (other than 78,750 non-employee director options which vest over one year) and have a term of ten years. The Company issues new shares upon the exercise of stock options. The weighted average grant-date fair value of service-based options granted during the years ended December 31, 2019, 2018, and 2017 was $12.62, $6.96 and $1.99, respectively.</w:t>
      </w:r>
    </w:p>
    <w:p>
      <w:pPr>
        <w:spacing w:after="0" w:line="15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forfeitures) for the years ended December 31, 2019, 2018, and 2017 were $11.8 million, $6.9 million and $2.5 million, respectively.</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7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9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77.9-85.5%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 88.3%</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79.7 – 88.2%</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3.1%</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1.39 – 2.3%</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5.3 - 6.3</w:t>
            </w:r>
          </w:p>
        </w:tc>
        <w:tc>
          <w:tcPr>
            <w:tcW w:w="100" w:type="dxa"/>
            <w:vAlign w:val="bottom"/>
          </w:tcPr>
          <w:p>
            <w:pPr>
              <w:spacing w:after="0"/>
              <w:rPr>
                <w:sz w:val="21"/>
                <w:szCs w:val="21"/>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0"/>
              </w:rPr>
              <w:t>5.3 - 6.3</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5.5 - 6.3</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320" w:type="dxa"/>
            <w:vAlign w:val="bottom"/>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Weighted Average</w:t>
            </w:r>
          </w:p>
        </w:tc>
        <w:tc>
          <w:tcPr>
            <w:tcW w:w="10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3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6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80" w:type="dxa"/>
            <w:vAlign w:val="bottom"/>
          </w:tcPr>
          <w:p>
            <w:pPr>
              <w:spacing w:after="0"/>
              <w:rPr>
                <w:sz w:val="12"/>
                <w:szCs w:val="12"/>
                <w:color w:val="auto"/>
              </w:rPr>
            </w:pPr>
          </w:p>
        </w:tc>
        <w:tc>
          <w:tcPr>
            <w:tcW w:w="13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11,407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2,033,760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(36,561)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December 31, 2019</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5,052,950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10.35</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37,974</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2,385,824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25,113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As of December 31, 2019, 4,700,318 shares are vested and expected to vest. As of December 31, 2019, there was approximately $16.6 million, of total unrecognized compensation cost related to non-vested service-based stock options granted under the 2019 Plan and the Prior Plans. That cost is expected to be recognized over a weighted-average period of 3.2 years.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total intrinsic value of stock options vested for the years ended December 31, 2019, 2018, and 2017 was $12.4 million, $10.3 million and $0.7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restricted stock awards for the indicated periods: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57" w:right="239" w:bottom="1440" w:gutter="0" w:footer="0" w:header="0"/>
        </w:sectPr>
      </w:pPr>
    </w:p>
    <w:bookmarkStart w:id="79" w:name="page80"/>
    <w:bookmarkEnd w:id="79"/>
    <w:tbl>
      <w:tblPr>
        <w:tblLayout w:type="fixed"/>
        <w:tblInd w:w="180" w:type="dxa"/>
        <w:tblCellMar>
          <w:top w:w="0" w:type="dxa"/>
          <w:left w:w="0" w:type="dxa"/>
          <w:bottom w:w="0" w:type="dxa"/>
          <w:right w:w="0" w:type="dxa"/>
        </w:tblCellMar>
      </w:tblPr>
      <w:tr>
        <w:trPr>
          <w:trHeight w:val="161"/>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vMerge w:val="restart"/>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 Restricted</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 Grant</w:t>
            </w:r>
          </w:p>
        </w:tc>
        <w:tc>
          <w:tcPr>
            <w:tcW w:w="100" w:type="dxa"/>
            <w:vAlign w:val="bottom"/>
          </w:tcPr>
          <w:p>
            <w:pPr>
              <w:spacing w:after="0"/>
              <w:rPr>
                <w:sz w:val="14"/>
                <w:szCs w:val="14"/>
                <w:color w:val="auto"/>
              </w:rPr>
            </w:pPr>
          </w:p>
        </w:tc>
        <w:tc>
          <w:tcPr>
            <w:tcW w:w="1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Weighted Average Term</w:t>
            </w: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Aggregate Intrinsic Value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186,922</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680" w:type="dxa"/>
            <w:vAlign w:val="bottom"/>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157,030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17.80</w:t>
            </w:r>
          </w:p>
        </w:tc>
        <w:tc>
          <w:tcPr>
            <w:tcW w:w="18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grant-date fair value of restricted stock units granted in the year ended December 31, 2019 was $3.3 million. No restricted stock units were granted in 2018. The net compensation costs recorded for the service-based restricted stock units related to employees and directors (including the impact of forfeitures) for the year ended December 31, 2019 was $1.0 million.</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At December 31, 2019, the total unrecognized compensation cost related to the restricted stock awards was $1.8 million and the weighted average period over which that cost is expected to be recognized was 3.1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506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Public Equity Offering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June 2018, the Company sold 5,750,000 shares of its common stock in an underwritten public offering at a price of $13.00 per share. The Company received proceeds of $70.1 million, net of $4.7 million of underwriters’ discount and issuance costs consisting primarily of legal and accounting fees. The Company recorded these proceeds as a common stock issuance.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cash dividends have been declared or paid by the Company since its inception.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99"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11. 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(9,665)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 weighted-average common shares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44,180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40,242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33,355</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622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w w:val="95"/>
              </w:rPr>
              <w:t>Anti-dilutive shares excluded from the calculation of diluted earnings per share</w:t>
            </w:r>
            <w:r>
              <w:rPr>
                <w:rFonts w:ascii="Arial" w:cs="Arial" w:eastAsia="Arial" w:hAnsi="Arial"/>
                <w:sz w:val="25"/>
                <w:szCs w:val="25"/>
                <w:color w:val="auto"/>
                <w:w w:val="95"/>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in millions):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3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4.6</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 awards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40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33" w:lineRule="exact"/>
        <w:rPr>
          <w:sz w:val="20"/>
          <w:szCs w:val="20"/>
          <w:color w:val="auto"/>
        </w:rPr>
      </w:pPr>
    </w:p>
    <w:p>
      <w:pPr>
        <w:ind w:left="280" w:hanging="245"/>
        <w:spacing w:after="0"/>
        <w:tabs>
          <w:tab w:leader="none" w:pos="2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Common equivalent shares are not included in the diluted per share calculation where the effect of their inclusion would be anti-dilutive.</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of its common stock offerings. 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will remain at zero.</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During the year ended December 31, 2019, the Company issued 19,808 shares of common stock upon the exercise warrants with an exercise price of 4.27.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warrants outstanding 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ICT Warrants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21, 2017, the Company received $5.2 million (gross of withholding tax) from Innovative Cellular Therapeutics CO., LTD. (ICT), of which $4.0 million was allocated to the purchase of a warrant for 818,424 shares of the Company's common stock based on the fair value on the date of grant and the remaining $1.2 million was allocated as consideration for the license agreement described in note 4. The fair value of the warrant was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53" w:right="239" w:bottom="1440" w:gutter="0" w:footer="0" w:header="0"/>
        </w:sectPr>
      </w:pPr>
    </w:p>
    <w:bookmarkStart w:id="81" w:name="page82"/>
    <w:bookmarkEnd w:id="81"/>
    <w:p>
      <w:pPr>
        <w:jc w:val="both"/>
        <w:ind w:firstLine="243"/>
        <w:spacing w:after="0" w:line="273" w:lineRule="auto"/>
        <w:rPr>
          <w:sz w:val="20"/>
          <w:szCs w:val="20"/>
          <w:color w:val="auto"/>
        </w:rPr>
      </w:pPr>
      <w:r>
        <w:rPr>
          <w:rFonts w:ascii="Arial" w:cs="Arial" w:eastAsia="Arial" w:hAnsi="Arial"/>
          <w:sz w:val="17"/>
          <w:szCs w:val="17"/>
          <w:color w:val="auto"/>
        </w:rPr>
        <w:t>There was no movement between Level 1 and Level 2 or between Level 2 and Level 3.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40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Fair value measurement category</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Fair value measurement category</w:t>
            </w:r>
          </w:p>
        </w:tc>
      </w:tr>
      <w:tr>
        <w:trPr>
          <w:trHeight w:val="264"/>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11,892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2240" w:type="dxa"/>
            <w:vAlign w:val="bottom"/>
            <w:gridSpan w:val="2"/>
          </w:tcPr>
          <w:p>
            <w:pPr>
              <w:ind w:left="160"/>
              <w:spacing w:after="0"/>
              <w:rPr>
                <w:sz w:val="20"/>
                <w:szCs w:val="20"/>
                <w:color w:val="auto"/>
              </w:rPr>
            </w:pPr>
            <w:r>
              <w:rPr>
                <w:rFonts w:ascii="Arial" w:cs="Arial" w:eastAsia="Arial" w:hAnsi="Arial"/>
                <w:sz w:val="18"/>
                <w:szCs w:val="18"/>
                <w:color w:val="auto"/>
                <w:w w:val="95"/>
              </w:rPr>
              <w:t>U.S. government securities</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11,295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asset-backed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7"/>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75,476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fair values of the cash equivalents and marketable securities are based on observable market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 before income taxes for U.S and non-U.S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loss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Non U.S. loss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2017</w:t>
            </w: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(17,286)</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computed at federal statutory rate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(5,877)</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State taxes</w:t>
            </w:r>
          </w:p>
        </w:tc>
        <w:tc>
          <w:tcPr>
            <w:tcW w:w="4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(1,106)</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563</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and State Rate Change</w:t>
            </w:r>
          </w:p>
        </w:tc>
        <w:tc>
          <w:tcPr>
            <w:tcW w:w="44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113"/>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11,749</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ind w:right="113"/>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(5,445)</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Deferred tax assets (liabilities) consist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5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10,542</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10,969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Employee benefits and stock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costs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9,067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Inventory reserve</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2,339</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30,596</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25,936</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(25,936)</w:t>
            </w:r>
          </w:p>
        </w:tc>
      </w:tr>
      <w:tr>
        <w:trPr>
          <w:trHeight w:val="237"/>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net deferred tax assets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deferred tax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 and liabilities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As of December 31, 2019, the Company’s U.S. federal and state tax net operating loss carryforwards available to offset future profits, after considering the annual Section 382 limit described below, are $42.2 million and $24.5 million, respectively. These net operating loss carryforwards will expire between 2020 and 2039 with the exception of the federal net operating loss generated in 2018. The federal net operating loss of $1.5 million generated in 2018 can be carried forward indefinitely. The projected annual limitation on the use of the net operating losses that existed prior to September 17, 2014 as a result of our change in control in 2014 per Section 382 of the Internal Revenue Code is $0.8 million. As a result, a significant portion of the net operating losses and tax credit carryforwards will expire prior to their utilization, regardless of the level of future profitability.</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change in the valuation allowance was an increase of $4.1 million and $1.7 million for the years ended December 31, 2019 and 2018, respectively.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 The Company currently has not recorded any uncertain tax positions and does not anticipate that the unrecognized tax benefits will significantly increase or decrease within the next twelve months.</w:t>
      </w:r>
    </w:p>
    <w:p>
      <w:pPr>
        <w:spacing w:after="0" w:line="1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files U.S. federal and state income tax returns with varying statute of limitations. Due to the Company’s net operating loss carryforwards, federal income tax returns from incorporation are still subject to examination. Michigan tax returns for the year ended December 31, 2013 and forward are subject to examination. Massachusetts tax returns for the year ended December 31, 2015 and forward are subject to examination.</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December 22, 2017 the Tax Cuts and Jobs Act (Tax Act) was enacted. The Tax Act contains significant changes to corporate taxation, including the reduction of the corporate tax rate from 35 percent to 21 percent, increased deductions for capital spending, limitations on interest expense deductions, implementation of a territorial tax system, and imposition of a tax on deemed repatriated earnings of foreign subsidiaries. The Company remeasured the deferred taxes based on the enacted rate of 21 percent which resulted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78"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in an increase to tax expense of $11.7 million, which was recorded in 2017. The increase to tax expense was offset by the reversal of the valuation allowance. Our final determination of the Tax Act impact and the remeasurement of our deferred assets and liabilities was completed prior to the deadline of one year from enactment of the Tax Act. For the year ended December 31, 2018, there were no material changes to our analysis originally performed as of December 31, 2017.</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w:t>
      </w:r>
    </w:p>
    <w:p>
      <w:pPr>
        <w:spacing w:after="0" w:line="229"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$0.7 million, $0.6 million and $0.6 million for the years ended December 31, 2019,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NexoBrid License and Supply Agreements</w:t>
      </w:r>
    </w:p>
    <w:p>
      <w:pPr>
        <w:spacing w:after="0" w:line="22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any improvements to Nexobrid in all countries of North America. NexoBrid is a topically-administered biological product that enzymatically removes nonviable burn tissue, or eschar, in patients with deep partial and full-thickness thermal burns.</w:t>
      </w:r>
    </w:p>
    <w:p>
      <w:pPr>
        <w:spacing w:after="0" w:line="20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NexoBrid is currently in clinical development in North America, and pursuant to the terms of the license agreement, MediWound will continue to conduct all clinical activities described in the development plan to support the BLA filing with the United States Food and Drug Administration under the supervision of a Central Steering Committee comprised of members of each party.</w:t>
      </w:r>
    </w:p>
    <w:p>
      <w:pPr>
        <w:spacing w:after="0" w:line="18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May 2019, the Company paid MediWound $17.5 million in consideration of the license. The $17.5 million upfront payment was recorded to research and development expense in the year ended December 31, 2019 as the license is considered in process research and development. The Company is also obligated to pay MediWound $7.5 million upon U.S. regulatory approval of the BLA for NexoBrid and up to $125 million contingent upon meeting certain sales milestones. The first sales milestone of $7.5 million would be triggered when annual net sales of NexoBrid or improvements to it in North America exceed $75 million. The Company also will pay MediWound tiered royalties on net sales ranging from mid-high single-digit to mid-teen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 As of December 31, 2019, the milestone payments are not yet probable and therefore, not considered a commitment.</w:t>
      </w:r>
    </w:p>
    <w:p>
      <w:pPr>
        <w:spacing w:after="0" w:line="176" w:lineRule="exact"/>
        <w:rPr>
          <w:sz w:val="20"/>
          <w:szCs w:val="20"/>
          <w:color w:val="auto"/>
        </w:rPr>
      </w:pPr>
    </w:p>
    <w:p>
      <w:pPr>
        <w:ind w:left="260" w:right="8120" w:hanging="252"/>
        <w:spacing w:after="0" w:line="566" w:lineRule="auto"/>
        <w:tabs>
          <w:tab w:leader="none" w:pos="28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Manufacturing and Supply Agreements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Matricel — </w:t>
      </w:r>
      <w:r>
        <w:rPr>
          <w:rFonts w:ascii="Arial" w:cs="Arial" w:eastAsia="Arial" w:hAnsi="Arial"/>
          <w:sz w:val="18"/>
          <w:szCs w:val="18"/>
          <w:color w:val="auto"/>
        </w:rPr>
        <w:t>In October 2015, the Company signed a long-term supply agreement with Matricel GmbH for the ACI-Maix collagen membrane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MACI. Matricel supplied ACI-Maix membranes used in the production of MACI when it was previously marketed outside the U.S. by Genzyme Corporation, a Sanofi company. The Company and Matricel amended the agreement on March 17, 2018. Under the agreement, the Company has committed to purchase annually approximately $0.6 million per year, the Company has fulfilled this commitment for the years ended December 31, 2019, 2018 and 2017, respectively. The agreement is effective until December 31, 2022 and contains a 5-year renewal option by the Company and an additional 5-year automatic renewal, unless otherwise terminated.</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57" w:right="239" w:bottom="1440" w:gutter="0" w:footer="0" w:header="0"/>
        </w:sectPr>
      </w:pPr>
    </w:p>
    <w:bookmarkStart w:id="84" w:name="page85"/>
    <w:bookmarkEnd w:id="84"/>
    <w:p>
      <w:pPr>
        <w:ind w:firstLine="243"/>
        <w:spacing w:after="0" w:line="308" w:lineRule="auto"/>
        <w:rPr>
          <w:sz w:val="20"/>
          <w:szCs w:val="20"/>
          <w:color w:val="auto"/>
        </w:rPr>
      </w:pPr>
      <w:r>
        <w:rPr>
          <w:rFonts w:ascii="Arial" w:cs="Arial" w:eastAsia="Arial" w:hAnsi="Arial"/>
          <w:sz w:val="17"/>
          <w:szCs w:val="17"/>
          <w:color w:val="auto"/>
        </w:rPr>
        <w:t>The Company's purchase commitments consist of minimum purchase amounts of materials used in the Company's cell manufacturing process to manufacture its marketed cell therapy products. Future minimum purchase commitments related to our contractual obligations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8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75"/>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Purchase commitments</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1,821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Supplementary Quarterly Financial Information (unaudited)</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Quarterly earnings per share amounts may not sum to the totals for each of the years, since quarterly computations are based on weighted average common shares outstanding during each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First Quarter</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Second Quarter</w:t>
            </w: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Fourth Quarter</w:t>
            </w: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Year</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21,810</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26,151</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30,499</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117,850</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(11,251)</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 per share (Basic)</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(Diluted)</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8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18,027</w:t>
            </w:r>
          </w:p>
        </w:tc>
        <w:tc>
          <w:tcPr>
            <w:tcW w:w="120" w:type="dxa"/>
            <w:vAlign w:val="bottom"/>
          </w:tcPr>
          <w:p>
            <w:pPr>
              <w:spacing w:after="0"/>
              <w:rPr>
                <w:sz w:val="21"/>
                <w:szCs w:val="21"/>
                <w:color w:val="auto"/>
              </w:rPr>
            </w:pPr>
          </w:p>
        </w:tc>
        <w:tc>
          <w:tcPr>
            <w:tcW w:w="360" w:type="dxa"/>
            <w:vAlign w:val="bottom"/>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22,484</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31,335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90,857</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income per share (Basic)</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per share (Diluted)</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5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none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December 31, 2019, the Company’s Certifying Officers concluded that the Company’s disclosure controls and procedures were effective.</w:t>
      </w:r>
    </w:p>
    <w:p>
      <w:pPr>
        <w:spacing w:after="0" w:line="18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Management concluded our internal control over financial reporting was effective as of December 31, 2019.</w:t>
      </w:r>
    </w:p>
    <w:p>
      <w:pPr>
        <w:spacing w:after="0" w:line="178"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2019 has been audited by PricewaterhouseCoopers LLP, an independent registered public accounting firm, as stated in their report which appears in Item 8 of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December 31, 2019, there were no material changes made in our internal control over financial reporting (as such term is defined in Rules 13a-15(f) and 15d-15(f) of the Exchange Act).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6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2019 Annual Meeting of Shareholders scheduled for April 29,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The information relating to executive compensation is incorporated by reference to the Proxy Statement under the caption “Executive Compensation and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certain relationships and related person transactions is incorporated by reference to the Proxy Statement under the caption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principal accountant fees and services is incorporated by reference to the Proxy Statement under the caption “Ratification of Appointment of Independent Registered Public Accounting Firm.”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53" w:right="239" w:bottom="1440" w:gutter="0" w:footer="0" w:header="0"/>
        </w:sectPr>
      </w:pPr>
    </w:p>
    <w:bookmarkStart w:id="87" w:name="page88"/>
    <w:bookmarkEnd w:id="87"/>
    <w:p>
      <w:pPr>
        <w:ind w:left="53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11" w:lineRule="exact"/>
        <w:rPr>
          <w:sz w:val="20"/>
          <w:szCs w:val="20"/>
          <w:color w:val="auto"/>
        </w:rPr>
      </w:pPr>
    </w:p>
    <w:p>
      <w:pPr>
        <w:ind w:left="500" w:hanging="249"/>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248" w:lineRule="exact"/>
        <w:rPr>
          <w:rFonts w:ascii="Arial" w:cs="Arial" w:eastAsia="Arial" w:hAnsi="Arial"/>
          <w:sz w:val="16"/>
          <w:szCs w:val="16"/>
          <w:color w:val="auto"/>
        </w:rPr>
      </w:pPr>
    </w:p>
    <w:p>
      <w:pPr>
        <w:ind w:left="840" w:hanging="170"/>
        <w:spacing w:after="0"/>
        <w:tabs>
          <w:tab w:leader="none" w:pos="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 (see Item 8).</w:t>
      </w:r>
    </w:p>
    <w:p>
      <w:pPr>
        <w:spacing w:after="0" w:line="23" w:lineRule="exact"/>
        <w:rPr>
          <w:rFonts w:ascii="Arial" w:cs="Arial" w:eastAsia="Arial" w:hAnsi="Arial"/>
          <w:sz w:val="18"/>
          <w:szCs w:val="18"/>
          <w:color w:val="auto"/>
        </w:rPr>
      </w:pPr>
    </w:p>
    <w:p>
      <w:pPr>
        <w:ind w:left="840" w:hanging="170"/>
        <w:spacing w:after="0"/>
        <w:tabs>
          <w:tab w:leader="none" w:pos="8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information is included in the Financial Statements or Notes thereto.</w:t>
      </w:r>
    </w:p>
    <w:p>
      <w:pPr>
        <w:spacing w:after="0" w:line="20" w:lineRule="exact"/>
        <w:rPr>
          <w:rFonts w:ascii="Arial" w:cs="Arial" w:eastAsia="Arial" w:hAnsi="Arial"/>
          <w:sz w:val="17"/>
          <w:szCs w:val="17"/>
          <w:color w:val="auto"/>
        </w:rPr>
      </w:pPr>
    </w:p>
    <w:p>
      <w:pPr>
        <w:ind w:left="840" w:hanging="170"/>
        <w:spacing w:after="0"/>
        <w:tabs>
          <w:tab w:leader="none" w:pos="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19"/>
          </w:cols>
          <w:pgMar w:left="240" w:top="553"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180" w:type="dxa"/>
            <w:vAlign w:val="bottom"/>
            <w:gridSpan w:val="11"/>
          </w:tcPr>
          <w:p>
            <w:pPr>
              <w:ind w:left="78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95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13"/>
          </w:tcPr>
          <w:p>
            <w:pPr>
              <w:spacing w:after="0"/>
              <w:rPr>
                <w:rFonts w:ascii="Arial" w:cs="Arial" w:eastAsia="Arial" w:hAnsi="Arial"/>
                <w:sz w:val="18"/>
                <w:szCs w:val="18"/>
                <w:color w:val="0000FF"/>
                <w:w w:val="96"/>
              </w:rPr>
            </w:pPr>
            <w:hyperlink r:id="rId17">
              <w:r>
                <w:rPr>
                  <w:rFonts w:ascii="Arial" w:cs="Arial" w:eastAsia="Arial" w:hAnsi="Arial"/>
                  <w:sz w:val="18"/>
                  <w:szCs w:val="18"/>
                  <w:color w:val="0000FF"/>
                  <w:w w:val="96"/>
                </w:rPr>
                <w:t>Restated Articles of Incorporation of the Company, filed as Exhibit 4.1 to the Company’s Current Report on Form 8-K filed on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December 17, 2009,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Certificate of Amendment to Restated Articles of Incorporation of the Company dated February 9, 2010, filed as Exhibit 3.2 to the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Company’s Post-Effective Amendment No. 1 to Form S-1 filed on March 31, 2010,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Certificate of Amendment to Restated Articles of Incorporation of the Company dated March 22, 2011, attached as Exhibit 3.1 to</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the Company’s Current Report on Form 8-K filed on March 25, 2011,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7"/>
              </w:rPr>
            </w:pPr>
            <w:hyperlink r:id="rId20">
              <w:r>
                <w:rPr>
                  <w:rFonts w:ascii="Arial" w:cs="Arial" w:eastAsia="Arial" w:hAnsi="Arial"/>
                  <w:sz w:val="18"/>
                  <w:szCs w:val="18"/>
                  <w:color w:val="0000FF"/>
                  <w:w w:val="97"/>
                </w:rPr>
                <w:t>Certificate of Amendment to the Restated Articles of Incorporation of the Company, dated November 21, 2014, attached as</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w w:val="98"/>
              </w:rPr>
            </w:pPr>
            <w:hyperlink r:id="rId20">
              <w:r>
                <w:rPr>
                  <w:rFonts w:ascii="Arial" w:cs="Arial" w:eastAsia="Arial" w:hAnsi="Arial"/>
                  <w:sz w:val="18"/>
                  <w:szCs w:val="18"/>
                  <w:color w:val="0000FF"/>
                  <w:w w:val="98"/>
                </w:rPr>
                <w:t>Exhibit 3.1 to the Company’s Current Report on Form 8-K filed on November 24, 2014, incorporated herein by reference</w:t>
              </w:r>
              <w:r>
                <w:rPr>
                  <w:rFonts w:ascii="Arial" w:cs="Arial" w:eastAsia="Arial" w:hAnsi="Arial"/>
                  <w:sz w:val="18"/>
                  <w:szCs w:val="18"/>
                  <w:color w:val="000000"/>
                  <w:w w:val="98"/>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Certificate of Designations, Preferences and Rights and Limitations of Series A Convertible Preferred Stock (incorporated herein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by reference as Exhibit 3.7 to the Company's Annual Report on Form 10-K, filed March 14, 2016)</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8"/>
              </w:rPr>
            </w:pPr>
            <w:hyperlink r:id="rId22">
              <w:r>
                <w:rPr>
                  <w:rFonts w:ascii="Arial" w:cs="Arial" w:eastAsia="Arial" w:hAnsi="Arial"/>
                  <w:sz w:val="18"/>
                  <w:szCs w:val="18"/>
                  <w:color w:val="0000FF"/>
                  <w:w w:val="98"/>
                </w:rPr>
                <w:t>Bylaws, as amended, attached as Exhibit 3.1 to the Company’s Current Report on Form 8-K filed on November 12, 2010,</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Form of Senior Indenture for Senior Debt Securities, filed as Exhibit 4.2 to the Company’s Registration Statement on Form S-3</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on August 16, 2018 and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Form of Indenture for Subordinated Debt Securities, filed as Exhibit 4.3 to the Company’s Registration Statement on Form S-3</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filed on August 16, 2018 and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Shareholder Rights Agreement, dated as of August 11, 2011, between the Company and Continental Stock Transfer &amp; Trust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Company, as Rights Agent, attached as Exhibit 4.3 to the Company’s Current Report on Form 8-A filed on August 12, 2011,</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Amendment to Shareholder Rights Agreement, dated as of March 9, 2012, between the Company and Continental Stock Transfer &amp;</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Trust Company, as Rights Agent, attached as Exhibit 4.1 to the Company’s Current Report on Form 8-K filed on March 9, 2012,</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Borders>
              <w:top w:val="single" w:sz="8" w:color="0000FF"/>
            </w:tcBorders>
            <w:gridSpan w:val="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Description of Capital Stock</w:t>
              </w:r>
            </w:hyperlink>
          </w:p>
        </w:tc>
        <w:tc>
          <w:tcPr>
            <w:tcW w:w="7180" w:type="dxa"/>
            <w:vAlign w:val="bottom"/>
            <w:gridSpan w:val="11"/>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2004 Equity Incentive Plan, attached as Exhibit 10.82 to Amendment No. 1 to the Company’s Quarterly Report on Form 10-Q/A</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for the quarter ended September 30, 2004,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10.2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Option and Restricted Stock Award Agreements for Grants under 2004 Equity Incentive Plan, attached as Exhibit 10.84 to</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the Company’s Annual Report on Form 10-K for the year ended June 30, 2005,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4320" w:type="dxa"/>
            <w:vAlign w:val="bottom"/>
            <w:tcBorders>
              <w:left w:val="single" w:sz="8" w:color="0000FF"/>
            </w:tcBorders>
            <w:gridSpan w:val="5"/>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9"/>
              </w:rPr>
            </w:pPr>
            <w:hyperlink r:id="rId29">
              <w:r>
                <w:rPr>
                  <w:rFonts w:ascii="Arial" w:cs="Arial" w:eastAsia="Arial" w:hAnsi="Arial"/>
                  <w:sz w:val="18"/>
                  <w:szCs w:val="18"/>
                  <w:color w:val="0000FF"/>
                  <w:w w:val="99"/>
                </w:rPr>
                <w:t>2004 Equity Incentive Plan, as amended, attached as Exhibit 99.1 to the Company’s Current Report on Form 8-K filed on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November 8, 2006,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4"/>
          </w:tcPr>
          <w:p>
            <w:pPr>
              <w:ind w:left="3740"/>
              <w:spacing w:after="0"/>
              <w:rPr>
                <w:sz w:val="20"/>
                <w:szCs w:val="20"/>
                <w:color w:val="auto"/>
              </w:rPr>
            </w:pPr>
            <w:r>
              <w:rPr>
                <w:rFonts w:ascii="Arial" w:cs="Arial" w:eastAsia="Arial" w:hAnsi="Arial"/>
                <w:sz w:val="18"/>
                <w:szCs w:val="18"/>
                <w:color w:val="auto"/>
              </w:rPr>
              <w:t>89</w:t>
            </w: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87"/>
              </w:rPr>
              <w:t>10.4 #</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22"/>
          </w:tcPr>
          <w:p>
            <w:pPr>
              <w:spacing w:after="0" w:line="202" w:lineRule="exact"/>
              <w:rPr>
                <w:rFonts w:ascii="Arial" w:cs="Arial" w:eastAsia="Arial" w:hAnsi="Arial"/>
                <w:sz w:val="18"/>
                <w:szCs w:val="18"/>
                <w:color w:val="0000FF"/>
                <w:w w:val="97"/>
              </w:rPr>
            </w:pPr>
            <w:hyperlink r:id="rId30">
              <w:r>
                <w:rPr>
                  <w:rFonts w:ascii="Arial" w:cs="Arial" w:eastAsia="Arial" w:hAnsi="Arial"/>
                  <w:sz w:val="18"/>
                  <w:szCs w:val="18"/>
                  <w:color w:val="0000FF"/>
                  <w:w w:val="97"/>
                </w:rPr>
                <w:t>Forms of Grant Notice and Stock Option Agreement for Grants under 2004 Equity Incentive Plan, as amended, attached as</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w w:val="98"/>
              </w:rPr>
            </w:pPr>
            <w:hyperlink r:id="rId30">
              <w:r>
                <w:rPr>
                  <w:rFonts w:ascii="Arial" w:cs="Arial" w:eastAsia="Arial" w:hAnsi="Arial"/>
                  <w:sz w:val="18"/>
                  <w:szCs w:val="18"/>
                  <w:color w:val="0000FF"/>
                  <w:w w:val="98"/>
                </w:rPr>
                <w:t>Exhibit 99.2 to the Company’s Current Report on Form 8-K filed on November 8, 2006, incorporated herein by reference</w:t>
              </w:r>
              <w:r>
                <w:rPr>
                  <w:rFonts w:ascii="Arial" w:cs="Arial" w:eastAsia="Arial" w:hAnsi="Arial"/>
                  <w:sz w:val="18"/>
                  <w:szCs w:val="18"/>
                  <w:color w:val="000000"/>
                  <w:w w:val="98"/>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10.5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Form of Indemnification Agreement entered into between the Company and each of its directors, attached as Exhibit 10.1 to the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Company’s Current Report on Form 8-K filed on August 31, 2010,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Senior Executive Incentive Bonus Plan (incorporated herein by reference to Exhibit 10.3 to the Company’s Current Report on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Form 8-K, filed on March 25, 2011)</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10.7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Executive Employment Agreement, executed March 4, 2013 and effective March 1, 2013, by and between the Company and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Dominick C. Colangelo (incorporated herein by reference to Exhibit 10.1 to the Company’s Report on Form 8-K, filed on March 8,</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60" w:type="dxa"/>
            <w:vAlign w:val="bottom"/>
            <w:gridSpan w:val="3"/>
          </w:tcPr>
          <w:p>
            <w:pPr>
              <w:ind w:left="40"/>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2013)</w:t>
              </w:r>
              <w:r>
                <w:rPr>
                  <w:rFonts w:ascii="Arial" w:cs="Arial" w:eastAsia="Arial" w:hAnsi="Arial"/>
                  <w:sz w:val="18"/>
                  <w:szCs w:val="18"/>
                  <w:color w:val="000000"/>
                </w:rPr>
                <w:t>.</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Asset Purchase Agreement, dated as of April 19, 2014, by and between the Company and Sanofi (incorporated herein by reference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to Exhibit 2.1 to the Company’s Current Report on Form 8-K filed on April 23, 2014)</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10.9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Second Amended and Restated 2009 Omnibus Incentive Plan (previously filed as Appendix II to the Company’s definitive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statement on Schedule 14A, filed on October 21, 2014 and incorporated herein by reference)</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8"/>
              </w:rPr>
            </w:pPr>
            <w:hyperlink r:id="rId36">
              <w:r>
                <w:rPr>
                  <w:rFonts w:ascii="Arial" w:cs="Arial" w:eastAsia="Arial" w:hAnsi="Arial"/>
                  <w:sz w:val="18"/>
                  <w:szCs w:val="18"/>
                  <w:color w:val="0000FF"/>
                  <w:w w:val="98"/>
                </w:rPr>
                <w:t>Lease Agreement, dated November 30, 2005, by and between the Company and Up 64 Sidney Street, LLC, as amended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w w:val="98"/>
              </w:rPr>
            </w:pPr>
            <w:hyperlink r:id="rId36">
              <w:r>
                <w:rPr>
                  <w:rFonts w:ascii="Arial" w:cs="Arial" w:eastAsia="Arial" w:hAnsi="Arial"/>
                  <w:sz w:val="18"/>
                  <w:szCs w:val="18"/>
                  <w:color w:val="0000FF"/>
                  <w:w w:val="98"/>
                </w:rPr>
                <w:t>(incorporated herein by reference as Exhibit 10.57 to the Company's Annual Report on Form 10-K, filed March 14, 2016)</w:t>
              </w:r>
              <w:r>
                <w:rPr>
                  <w:rFonts w:ascii="Arial" w:cs="Arial" w:eastAsia="Arial" w:hAnsi="Arial"/>
                  <w:sz w:val="18"/>
                  <w:szCs w:val="18"/>
                  <w:color w:val="000000"/>
                  <w:w w:val="98"/>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Lease Agreement, dated January 23, 2008, by and between the Company and Up 64 Sidney Street, LLC, as amended (incorporated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herein by reference as Exhibit 10.58 to the Company's Annual Report on Form 10-K, filed March 14, 2016)</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21"/>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Vericel Corporation 2015 Employee Stock Purchase Plan (incorporated herein by reference to Appendix I of the Company’s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Statement on Schedule 14A for the fiscal year ended December 31, 2014, filed on March 25, 2015)</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Services Agreement, dated April 5, 2016 between the Company and Dohmen Life Science Services, LLC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reference to Exhibit 10.2 of the Company’s Quarterly Report on Form 10-Q filed with the SEC on May 10, 2016)</w:t>
              </w:r>
              <w:r>
                <w:rPr>
                  <w:rFonts w:ascii="Arial" w:cs="Arial" w:eastAsia="Arial" w:hAnsi="Arial"/>
                  <w:sz w:val="18"/>
                  <w:szCs w:val="18"/>
                  <w:color w:val="000000"/>
                </w:rPr>
                <w:t>.</w:t>
              </w:r>
            </w:hyperlink>
          </w:p>
        </w:tc>
        <w:tc>
          <w:tcPr>
            <w:tcW w:w="22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First Amendment to the Services Agreement, dated April 5, 2016 between the Company and Dohmen Life Science Services, LLC,</w:t>
              </w:r>
            </w:hyperlink>
          </w:p>
        </w:tc>
        <w:tc>
          <w:tcPr>
            <w:tcW w:w="14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dated May 31, 2016 (incorporated herein by reference to Exhibit 10.2 of the Company’s Quarterly Report on Form 10-Q filed with</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the SEC on August 8, 2016)</w:t>
              </w:r>
              <w:r>
                <w:rPr>
                  <w:rFonts w:ascii="Arial" w:cs="Arial" w:eastAsia="Arial" w:hAnsi="Arial"/>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10.15 †</w:t>
            </w:r>
          </w:p>
        </w:tc>
        <w:tc>
          <w:tcPr>
            <w:tcW w:w="4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Second Amendment to the Services Agreement, dated April 5, 2016 between the Company and Dohmen Life Science Services,</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82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LLC, dated July 1, 2016 (incorporated herein by reference to Exhibit 10.3 of the Company’s Quarterly Report on Form 10-Q filed</w:t>
              </w:r>
            </w:hyperlink>
          </w:p>
        </w:tc>
        <w:tc>
          <w:tcPr>
            <w:tcW w:w="1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with the SEC on August 8, 2016)</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10.16 †</w:t>
            </w:r>
          </w:p>
        </w:tc>
        <w:tc>
          <w:tcPr>
            <w:tcW w:w="40" w:type="dxa"/>
            <w:vAlign w:val="bottom"/>
          </w:tcPr>
          <w:p>
            <w:pPr>
              <w:spacing w:after="0"/>
              <w:rPr>
                <w:sz w:val="24"/>
                <w:szCs w:val="24"/>
                <w:color w:val="auto"/>
              </w:rPr>
            </w:pPr>
          </w:p>
        </w:tc>
        <w:tc>
          <w:tcPr>
            <w:tcW w:w="9000" w:type="dxa"/>
            <w:vAlign w:val="bottom"/>
            <w:tcBorders>
              <w:bottom w:val="single" w:sz="8" w:color="0000FF"/>
            </w:tcBorders>
            <w:gridSpan w:val="14"/>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Warrants issued by the Company to the Lenders (incorporated herein by reference to Exhibit 10.1 on Form 8-K filed</w:t>
              </w:r>
            </w:hyperlink>
          </w:p>
        </w:tc>
        <w:tc>
          <w:tcPr>
            <w:tcW w:w="54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September 14, 2016, as amended on December 30, 2016)</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10.17 †</w:t>
            </w:r>
          </w:p>
        </w:tc>
        <w:tc>
          <w:tcPr>
            <w:tcW w:w="40" w:type="dxa"/>
            <w:vAlign w:val="bottom"/>
          </w:tcPr>
          <w:p>
            <w:pPr>
              <w:spacing w:after="0"/>
              <w:rPr>
                <w:sz w:val="24"/>
                <w:szCs w:val="24"/>
                <w:color w:val="auto"/>
              </w:rPr>
            </w:pPr>
          </w:p>
        </w:tc>
        <w:tc>
          <w:tcPr>
            <w:tcW w:w="8940" w:type="dxa"/>
            <w:vAlign w:val="bottom"/>
            <w:tcBorders>
              <w:bottom w:val="single" w:sz="8" w:color="0000FF"/>
            </w:tcBorders>
            <w:gridSpan w:val="13"/>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Third Amendment to Services Agreement, dated October 12, 2016, by and between the Company and Dohmen Life Science</w:t>
              </w:r>
            </w:hyperlink>
          </w:p>
        </w:tc>
        <w:tc>
          <w:tcPr>
            <w:tcW w:w="6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Services, LLC (incorporated herein by reference to Exhibit 10.4 of the Company’s Quarterly Report on Form 10-Q filed with the</w:t>
              </w:r>
            </w:hyperlink>
          </w:p>
        </w:tc>
        <w:tc>
          <w:tcPr>
            <w:tcW w:w="2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SEC on November 7, 2016)</w:t>
              </w:r>
              <w:r>
                <w:rPr>
                  <w:rFonts w:ascii="Arial" w:cs="Arial" w:eastAsia="Arial" w:hAnsi="Arial"/>
                  <w:sz w:val="18"/>
                  <w:szCs w:val="18"/>
                  <w:color w:val="000000"/>
                </w:rPr>
                <w:t>.</w:t>
              </w:r>
            </w:hyperlink>
          </w:p>
        </w:tc>
      </w:tr>
      <w:tr>
        <w:trPr>
          <w:trHeight w:val="77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Borders>
              <w:top w:val="single" w:sz="8" w:color="0000FF"/>
            </w:tcBorders>
            <w:gridSpan w:val="2"/>
          </w:tcPr>
          <w:p>
            <w:pPr>
              <w:spacing w:after="0"/>
              <w:rPr>
                <w:sz w:val="24"/>
                <w:szCs w:val="24"/>
                <w:color w:val="auto"/>
              </w:rPr>
            </w:pPr>
          </w:p>
        </w:tc>
        <w:tc>
          <w:tcPr>
            <w:tcW w:w="210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11"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540" w:type="dxa"/>
            <w:vAlign w:val="bottom"/>
            <w:tcBorders>
              <w:bottom w:val="single" w:sz="8" w:color="auto"/>
            </w:tcBorders>
            <w:gridSpan w:val="23"/>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8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10.18 †</w:t>
            </w:r>
          </w:p>
        </w:tc>
        <w:tc>
          <w:tcPr>
            <w:tcW w:w="40" w:type="dxa"/>
            <w:vAlign w:val="bottom"/>
          </w:tcPr>
          <w:p>
            <w:pPr>
              <w:spacing w:after="0"/>
              <w:rPr>
                <w:sz w:val="17"/>
                <w:szCs w:val="17"/>
                <w:color w:val="auto"/>
              </w:rPr>
            </w:pPr>
          </w:p>
        </w:tc>
        <w:tc>
          <w:tcPr>
            <w:tcW w:w="916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Fourth Amendment, dated November 19, 2016 to Services Agreement by and between the Company and Dohmen Life Science</w:t>
              </w:r>
            </w:hyperlink>
          </w:p>
        </w:tc>
        <w:tc>
          <w:tcPr>
            <w:tcW w:w="3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Services, LLC, dated April 5, 2016, as amended (incorporated herein by reference to Exhibit 10.2 on Form 8-K filed November 25,</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ind w:left="40"/>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2016)</w:t>
              </w:r>
              <w:r>
                <w:rPr>
                  <w:rFonts w:ascii="Arial" w:cs="Arial" w:eastAsia="Arial" w:hAnsi="Arial"/>
                  <w:sz w:val="18"/>
                  <w:szCs w:val="18"/>
                  <w:color w:val="000000"/>
                </w:rPr>
                <w:t>.</w:t>
              </w:r>
            </w:hyperlink>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10.19 †</w:t>
            </w:r>
          </w:p>
        </w:tc>
        <w:tc>
          <w:tcPr>
            <w:tcW w:w="40" w:type="dxa"/>
            <w:vAlign w:val="bottom"/>
          </w:tcPr>
          <w:p>
            <w:pPr>
              <w:spacing w:after="0"/>
              <w:rPr>
                <w:sz w:val="24"/>
                <w:szCs w:val="24"/>
                <w:color w:val="auto"/>
              </w:rPr>
            </w:pPr>
          </w:p>
        </w:tc>
        <w:tc>
          <w:tcPr>
            <w:tcW w:w="9020" w:type="dxa"/>
            <w:vAlign w:val="bottom"/>
            <w:tcBorders>
              <w:bottom w:val="single" w:sz="8" w:color="0000FF"/>
            </w:tcBorders>
            <w:gridSpan w:val="11"/>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Warrant issued by the Company to ICT (incorporated herein by reference to Exhibit 10.1 on Form 8-K filed May 15,</w:t>
              </w:r>
            </w:hyperlink>
          </w:p>
        </w:tc>
        <w:tc>
          <w:tcPr>
            <w:tcW w:w="52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ind w:left="40"/>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2017)</w:t>
              </w:r>
              <w:r>
                <w:rPr>
                  <w:rFonts w:ascii="Arial" w:cs="Arial" w:eastAsia="Arial" w:hAnsi="Arial"/>
                  <w:sz w:val="18"/>
                  <w:szCs w:val="18"/>
                  <w:color w:val="000000"/>
                </w:rPr>
                <w:t>.</w:t>
              </w:r>
            </w:hyperlink>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10.20 †</w:t>
            </w:r>
          </w:p>
        </w:tc>
        <w:tc>
          <w:tcPr>
            <w:tcW w:w="40" w:type="dxa"/>
            <w:vAlign w:val="bottom"/>
          </w:tcPr>
          <w:p>
            <w:pPr>
              <w:spacing w:after="0"/>
              <w:rPr>
                <w:sz w:val="24"/>
                <w:szCs w:val="24"/>
                <w:color w:val="auto"/>
              </w:rPr>
            </w:pPr>
          </w:p>
        </w:tc>
        <w:tc>
          <w:tcPr>
            <w:tcW w:w="9400" w:type="dxa"/>
            <w:vAlign w:val="bottom"/>
            <w:tcBorders>
              <w:bottom w:val="single" w:sz="8" w:color="0000FF"/>
            </w:tcBorders>
            <w:gridSpan w:val="18"/>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Distribution Agreement by and between Orsini Pharmaceutical Services, Inc. and the Company, dated May 15, 2017 (incorporated</w:t>
              </w:r>
            </w:hyperlink>
          </w:p>
        </w:tc>
        <w:tc>
          <w:tcPr>
            <w:tcW w:w="14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herein by reference to Exhibit 10.1 on Form 8-K/A filed June 2, 2017)</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10.21 †</w:t>
            </w: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Fifth Amendment, dated May 15, 2017, to the Services Agreement by and between the Company and Dohmen Life Science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Services, LLC, dated April 5, 2016, as amended (incorporated herein by reference to Exhibit 10.2 on Form 8-K/A filed June 2,</w:t>
              </w:r>
            </w:hyperlink>
          </w:p>
        </w:tc>
        <w:tc>
          <w:tcPr>
            <w:tcW w:w="42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ind w:left="40"/>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2017)</w:t>
              </w:r>
              <w:r>
                <w:rPr>
                  <w:rFonts w:ascii="Arial" w:cs="Arial" w:eastAsia="Arial" w:hAnsi="Arial"/>
                  <w:sz w:val="18"/>
                  <w:szCs w:val="18"/>
                  <w:color w:val="000000"/>
                </w:rPr>
                <w:t>.</w:t>
              </w:r>
            </w:hyperlink>
          </w:p>
        </w:tc>
        <w:tc>
          <w:tcPr>
            <w:tcW w:w="2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10.22 †</w:t>
            </w:r>
          </w:p>
        </w:tc>
        <w:tc>
          <w:tcPr>
            <w:tcW w:w="40" w:type="dxa"/>
            <w:vAlign w:val="bottom"/>
          </w:tcPr>
          <w:p>
            <w:pPr>
              <w:spacing w:after="0"/>
              <w:rPr>
                <w:sz w:val="24"/>
                <w:szCs w:val="24"/>
                <w:color w:val="auto"/>
              </w:rPr>
            </w:pPr>
          </w:p>
        </w:tc>
        <w:tc>
          <w:tcPr>
            <w:tcW w:w="9040" w:type="dxa"/>
            <w:vAlign w:val="bottom"/>
            <w:tcBorders>
              <w:bottom w:val="single" w:sz="8" w:color="0000FF"/>
            </w:tcBorders>
            <w:gridSpan w:val="1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License Agreement between the Company and Innovative Cellular Therapeutics CO., LTD., dated May 9, 2017 (incorporated</w:t>
              </w:r>
            </w:hyperlink>
          </w:p>
        </w:tc>
        <w:tc>
          <w:tcPr>
            <w:tcW w:w="500" w:type="dxa"/>
            <w:vAlign w:val="bottom"/>
            <w:gridSpan w:val="11"/>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herein by reference to Exhibit 10.2 on Form 8-K/A filed June 2,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First Amendment to Executive Employment Agreement by and between Dominick C. Colangelo and the Company,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40" w:type="dxa"/>
            <w:vAlign w:val="bottom"/>
            <w:tcBorders>
              <w:top w:val="single" w:sz="8" w:color="0000FF"/>
            </w:tcBorders>
            <w:gridSpan w:val="9"/>
          </w:tcPr>
          <w:p>
            <w:pPr>
              <w:spacing w:after="0" w:line="196"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September 14, 2017 (incorporated herein by reference to Exhibit 10.1 on Form 8-K filed September 19, 2017)</w:t>
              </w:r>
              <w:r>
                <w:rPr>
                  <w:rFonts w:ascii="Arial" w:cs="Arial" w:eastAsia="Arial" w:hAnsi="Arial"/>
                  <w:sz w:val="18"/>
                  <w:szCs w:val="18"/>
                  <w:color w:val="000000"/>
                  <w:w w:val="99"/>
                </w:rPr>
                <w:t>.</w:t>
              </w:r>
            </w:hyperlink>
          </w:p>
        </w:tc>
        <w:tc>
          <w:tcPr>
            <w:tcW w:w="800" w:type="dxa"/>
            <w:vAlign w:val="bottom"/>
            <w:gridSpan w:val="1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Amended and Restated Employment Agreement by and between Daniel Orlando and the Company, dated September 14,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(incorporated herein by reference to Exhibit 10.2 on Form 8-K filed September 19, 2017)</w:t>
              </w:r>
              <w:r>
                <w:rPr>
                  <w:rFonts w:ascii="Arial" w:cs="Arial" w:eastAsia="Arial" w:hAnsi="Arial"/>
                  <w:sz w:val="18"/>
                  <w:szCs w:val="18"/>
                  <w:color w:val="000000"/>
                </w:rPr>
                <w:t>.</w:t>
              </w:r>
            </w:hyperlink>
          </w:p>
        </w:tc>
        <w:tc>
          <w:tcPr>
            <w:tcW w:w="46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10.25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Amended and Restated Employment Agreement by and between Gerard Michel and the Company, dated September 15,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(incorporated herein by reference to Exhibit 10.3 on Form 8-K filed September 19, 2017)</w:t>
              </w:r>
              <w:r>
                <w:rPr>
                  <w:rFonts w:ascii="Arial" w:cs="Arial" w:eastAsia="Arial" w:hAnsi="Arial"/>
                  <w:sz w:val="18"/>
                  <w:szCs w:val="18"/>
                  <w:color w:val="000000"/>
                </w:rPr>
                <w:t>.</w:t>
              </w:r>
            </w:hyperlink>
          </w:p>
        </w:tc>
        <w:tc>
          <w:tcPr>
            <w:tcW w:w="520" w:type="dxa"/>
            <w:vAlign w:val="bottom"/>
            <w:gridSpan w:val="1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40" w:type="dxa"/>
            <w:vAlign w:val="bottom"/>
            <w:tcBorders>
              <w:bottom w:val="single" w:sz="8" w:color="0000FF"/>
            </w:tcBorders>
            <w:gridSpan w:val="15"/>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First Amendment to Distribution Agreement between Orsini Pharmaceutical Services, Inc. and the Company, dated August 10,</w:t>
              </w:r>
            </w:hyperlink>
          </w:p>
        </w:tc>
        <w:tc>
          <w:tcPr>
            <w:tcW w:w="40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2017 (incorporated herein by reference to Exhibit 10.8 on Form 10-Q filed November 7, 2017)</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10.27 †</w:t>
            </w:r>
          </w:p>
        </w:tc>
        <w:tc>
          <w:tcPr>
            <w:tcW w:w="40" w:type="dxa"/>
            <w:vAlign w:val="bottom"/>
          </w:tcPr>
          <w:p>
            <w:pPr>
              <w:spacing w:after="0"/>
              <w:rPr>
                <w:sz w:val="24"/>
                <w:szCs w:val="24"/>
                <w:color w:val="auto"/>
              </w:rPr>
            </w:pPr>
          </w:p>
        </w:tc>
        <w:tc>
          <w:tcPr>
            <w:tcW w:w="9440" w:type="dxa"/>
            <w:vAlign w:val="bottom"/>
            <w:tcBorders>
              <w:bottom w:val="single" w:sz="8" w:color="0000FF"/>
            </w:tcBorders>
            <w:gridSpan w:val="1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Form of Warrant issued by the Company to each of SVB and MidCap (incorporated herein by reference to Exhibit 10.2 on Form 8-</w:t>
              </w:r>
            </w:hyperlink>
          </w:p>
        </w:tc>
        <w:tc>
          <w:tcPr>
            <w:tcW w:w="10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K filed December 8, 2017)</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11"/>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Warrant issued by the Company to ICT (incorporated herein by reference to Exhibit 10.7 on Form 8-K filed December 28,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11"/>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3"/>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10.29 †</w:t>
            </w: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Second Amendment to Distribution Agreement between Orsini Pharmaceutical Services, Inc. and the Company, dated October 13,</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2017 (incorporated herein by reference to Exhibit 10.56 on Form 10-K filed March 8,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10.30 †</w:t>
            </w:r>
          </w:p>
        </w:tc>
        <w:tc>
          <w:tcPr>
            <w:tcW w:w="4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Third Amendment to Distribution Agreement between Orsini Pharmaceutical Services, Inc. and the Company, dated November 14,</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2017 (incorporated herein by reference to Exhibit 10.57 on Form 10-K filed March 8, 2018)</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10.31 †</w:t>
            </w:r>
          </w:p>
        </w:tc>
        <w:tc>
          <w:tcPr>
            <w:tcW w:w="4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Fourth Amendment to Distribution Agreement between Orsini Pharmaceutical Services, Inc. and the Company, dated July 25, 2018</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(incorporated herein by reference to Exhibit 10.1 on Form 10-Q filed November 6,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1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10.32 †</w:t>
            </w:r>
          </w:p>
        </w:tc>
        <w:tc>
          <w:tcPr>
            <w:tcW w:w="4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Dispensing Agreement by and between AllCare Plus Pharmacy and the Company, dated July 26, 2018 (incorporated herein by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3"/>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reference to Exhibit 10.2 on Form 10-Q, filed November 6, 2018)</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1"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711" w:right="2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540" w:type="dxa"/>
            <w:vAlign w:val="bottom"/>
            <w:tcBorders>
              <w:bottom w:val="single" w:sz="8" w:color="auto"/>
            </w:tcBorders>
            <w:gridSpan w:val="20"/>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8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10.33 †</w:t>
            </w:r>
          </w:p>
        </w:tc>
        <w:tc>
          <w:tcPr>
            <w:tcW w:w="40" w:type="dxa"/>
            <w:vAlign w:val="bottom"/>
          </w:tcPr>
          <w:p>
            <w:pPr>
              <w:spacing w:after="0"/>
              <w:rPr>
                <w:sz w:val="17"/>
                <w:szCs w:val="17"/>
                <w:color w:val="auto"/>
              </w:rPr>
            </w:pPr>
          </w:p>
        </w:tc>
        <w:tc>
          <w:tcPr>
            <w:tcW w:w="9540" w:type="dxa"/>
            <w:vAlign w:val="bottom"/>
            <w:tcBorders>
              <w:bottom w:val="single" w:sz="8" w:color="0000FF"/>
            </w:tcBorders>
            <w:gridSpan w:val="20"/>
          </w:tcPr>
          <w:p>
            <w:pPr>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Fifth Amendment to Distribution Agreement between Orsini Pharmaceutical Services, Inc. and the Company, dated October 18,</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2018 (incorporated herein by reference to Exhibit 10.3 on Form 10-Q filed November 6, 2018)</w:t>
              </w:r>
              <w:r>
                <w:rPr>
                  <w:rFonts w:ascii="Arial" w:cs="Arial" w:eastAsia="Arial" w:hAnsi="Arial"/>
                  <w:sz w:val="18"/>
                  <w:szCs w:val="18"/>
                  <w:color w:val="000000"/>
                </w:rPr>
                <w:t>.</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20" w:type="dxa"/>
            <w:vAlign w:val="bottom"/>
            <w:tcBorders>
              <w:bottom w:val="single" w:sz="8" w:color="0000FF"/>
            </w:tcBorders>
            <w:gridSpan w:val="17"/>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Amended and Restated Non-employee Director Compensation Guidelines (incorporated herein by reference to Exhibit 10.58 on</w:t>
              </w:r>
            </w:hyperlink>
          </w:p>
        </w:tc>
        <w:tc>
          <w:tcPr>
            <w:tcW w:w="32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Form 10-K filed March 5, 2018)</w:t>
              </w:r>
              <w:r>
                <w:rPr>
                  <w:rFonts w:ascii="Arial" w:cs="Arial" w:eastAsia="Arial" w:hAnsi="Arial"/>
                  <w:sz w:val="18"/>
                  <w:szCs w:val="18"/>
                  <w:color w:val="000000"/>
                </w:rPr>
                <w:t>.</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10.35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Amended and Restated ACI-Maix Supply Agreement, dated March 17, 2018, as amended, by and between the Company and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Matricel GMBH (incorporated herein by reference to Exhibit 10.1 on Form 10-Q filed May 8, 2018)</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2017 Omnibus Incentive Plan (previously filed as Appendix I to the Company's definitive proxy statement on Schedule 14A, filed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March 20, 2017 and 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10.37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rPr>
            </w:pPr>
            <w:hyperlink r:id="rId63">
              <w:r>
                <w:rPr>
                  <w:rFonts w:ascii="Arial" w:cs="Arial" w:eastAsia="Arial" w:hAnsi="Arial"/>
                  <w:sz w:val="18"/>
                  <w:szCs w:val="18"/>
                  <w:color w:val="0000FF"/>
                </w:rPr>
                <w:t>Form of New Hire Incentive Stock Option Agreement under the 2017 Omnibus Incentive Plan.</w:t>
              </w:r>
            </w:hyperlink>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10.38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tcBorders>
              <w:top w:val="single" w:sz="8" w:color="0000FF"/>
            </w:tcBorders>
            <w:gridSpan w:val="15"/>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Form of Incentive Stock Option Award Agreement under the 2017 Omnibus Incentive Plan.</w:t>
              </w:r>
            </w:hyperlink>
          </w:p>
        </w:tc>
        <w:tc>
          <w:tcPr>
            <w:tcW w:w="2700" w:type="dxa"/>
            <w:vAlign w:val="bottom"/>
            <w:gridSpan w:val="5"/>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10.39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rPr>
            </w:pPr>
            <w:hyperlink r:id="rId65">
              <w:r>
                <w:rPr>
                  <w:rFonts w:ascii="Arial" w:cs="Arial" w:eastAsia="Arial" w:hAnsi="Arial"/>
                  <w:sz w:val="18"/>
                  <w:szCs w:val="18"/>
                  <w:color w:val="0000FF"/>
                </w:rPr>
                <w:t>Form of Non-Employee Director Award Agreement under the 2017 Omnibus Incentive Plan.</w:t>
              </w:r>
            </w:hyperlink>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10.40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80" w:type="dxa"/>
            <w:vAlign w:val="bottom"/>
            <w:tcBorders>
              <w:top w:val="single" w:sz="8" w:color="0000FF"/>
            </w:tcBorders>
            <w:gridSpan w:val="13"/>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Form of Restricted Stock Unit Award Agreement under the 2017 Omnibus Incentive Plan</w:t>
              </w:r>
            </w:hyperlink>
            <w:r>
              <w:rPr>
                <w:rFonts w:ascii="Arial" w:cs="Arial" w:eastAsia="Arial" w:hAnsi="Arial"/>
                <w:sz w:val="18"/>
                <w:szCs w:val="18"/>
                <w:color w:val="000000"/>
                <w:w w:val="93"/>
              </w:rPr>
              <w:t>.</w:t>
            </w:r>
          </w:p>
        </w:tc>
        <w:tc>
          <w:tcPr>
            <w:tcW w:w="2860" w:type="dxa"/>
            <w:vAlign w:val="bottom"/>
            <w:gridSpan w:val="7"/>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Vericel Corporation 2019 Omnibus Incentive Plan (incorporated herein by reference to Exhibit 10.1 on Form 8-K filed May 1,</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3"/>
          </w:tcPr>
          <w:p>
            <w:pPr>
              <w:ind w:left="40"/>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2019).</w:t>
              </w:r>
            </w:hyperlink>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10.42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tcBorders>
              <w:bottom w:val="single" w:sz="8" w:color="0000FF"/>
            </w:tcBorders>
            <w:gridSpan w:val="20"/>
          </w:tcPr>
          <w:p>
            <w:pP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Form of Incentive Stock Option Agreement for employees under the 2019 Omnibus Incentive Plan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reference to Exhibit 10.2 on Form 8-K filed May 1, 2019).</w:t>
              </w:r>
            </w:hyperlink>
          </w:p>
        </w:tc>
        <w:tc>
          <w:tcPr>
            <w:tcW w:w="5320" w:type="dxa"/>
            <w:vAlign w:val="bottom"/>
            <w:gridSpan w:val="12"/>
          </w:tcPr>
          <w:p>
            <w:pPr>
              <w:spacing w:after="0"/>
              <w:rPr>
                <w:sz w:val="17"/>
                <w:szCs w:val="17"/>
                <w:color w:val="auto"/>
              </w:rPr>
            </w:pPr>
          </w:p>
        </w:tc>
      </w:tr>
      <w:tr>
        <w:trPr>
          <w:trHeight w:val="1006"/>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Form of Incentive Stock Option Agreement for New Hires under the 2019 Omnibus Incentive Plan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reference to Exhibit 10.3 on Form 8-K filed May 1, 2019).</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Form of Non-Qualified Stock Option Agreement under the 2019 Omnibus Incentive Plan (incorporated herein by reference to</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Exhibit 10.4 on Form 8-K filed May 1, 2019).</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10.45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Form of Restricted Stock Unit Award Agreement for Employees under the 2019 Omnibus Incentive Plan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reference to Exhibit 10.5 on Form 8-K filed May 1, 2019).</w:t>
              </w:r>
            </w:hyperlink>
          </w:p>
        </w:tc>
        <w:tc>
          <w:tcPr>
            <w:tcW w:w="528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79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2"/>
              </w:rPr>
            </w:pPr>
            <w:hyperlink r:id="rId72">
              <w:r>
                <w:rPr>
                  <w:rFonts w:ascii="Arial" w:cs="Arial" w:eastAsia="Arial" w:hAnsi="Arial"/>
                  <w:sz w:val="18"/>
                  <w:szCs w:val="18"/>
                  <w:color w:val="0000FF"/>
                  <w:w w:val="92"/>
                </w:rPr>
                <w:t>Form of Restricted Stock Unit Award Agreement for Non-employees under the 2019 Omnibus Incentive Plan (incorporated herein</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by reference to Exhibit 10.6 on Form 8-K filed May 1, 2019).</w:t>
              </w:r>
            </w:hyperlink>
          </w:p>
        </w:tc>
        <w:tc>
          <w:tcPr>
            <w:tcW w:w="506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79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Sixth Amendment to Distribution Agreement between Orsini Pharmaceutical Services, Inc. and the Company, dated April 18, 2019</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(incorporated herein by reference to Exhibit 10.1 on Form 10-Q filed August 6, 2019).</w:t>
              </w:r>
            </w:hyperlink>
          </w:p>
        </w:tc>
        <w:tc>
          <w:tcPr>
            <w:tcW w:w="40" w:type="dxa"/>
            <w:vAlign w:val="bottom"/>
            <w:gridSpan w:val="2"/>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10.48 †</w:t>
            </w:r>
          </w:p>
        </w:tc>
        <w:tc>
          <w:tcPr>
            <w:tcW w:w="40" w:type="dxa"/>
            <w:vAlign w:val="bottom"/>
          </w:tcPr>
          <w:p>
            <w:pPr>
              <w:spacing w:after="0"/>
              <w:rPr>
                <w:sz w:val="24"/>
                <w:szCs w:val="24"/>
                <w:color w:val="auto"/>
              </w:rPr>
            </w:pPr>
          </w:p>
        </w:tc>
        <w:tc>
          <w:tcPr>
            <w:tcW w:w="9520" w:type="dxa"/>
            <w:vAlign w:val="bottom"/>
            <w:tcBorders>
              <w:bottom w:val="single" w:sz="8" w:color="0000FF"/>
            </w:tcBorders>
            <w:gridSpan w:val="19"/>
          </w:tcPr>
          <w:p>
            <w:pPr>
              <w:spacing w:after="0"/>
              <w:rPr>
                <w:rFonts w:ascii="Arial" w:cs="Arial" w:eastAsia="Arial" w:hAnsi="Arial"/>
                <w:sz w:val="18"/>
                <w:szCs w:val="18"/>
                <w:color w:val="0000FF"/>
                <w:w w:val="97"/>
              </w:rPr>
            </w:pPr>
            <w:hyperlink r:id="rId74">
              <w:r>
                <w:rPr>
                  <w:rFonts w:ascii="Arial" w:cs="Arial" w:eastAsia="Arial" w:hAnsi="Arial"/>
                  <w:sz w:val="18"/>
                  <w:szCs w:val="18"/>
                  <w:color w:val="0000FF"/>
                  <w:w w:val="97"/>
                </w:rPr>
                <w:t>First Amendment to Dispensing Agreement by and between AllCare Plus Pharmacy and the Company, dated May 1, 2019</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0"/>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(incorporated herein by reference to Exhibit 10.2 on Form 10-Q, filed August 6, 2019)</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20" w:type="dxa"/>
            <w:vAlign w:val="bottom"/>
            <w:gridSpan w:val="6"/>
            <w:shd w:val="clear" w:color="auto" w:fill="0000FF"/>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22"/>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10.49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License Agreement between the Company and Mediwound LTD., dated May 6, 2019 (incorporated herein by reference to Exhibit</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r>
                <w:rPr>
                  <w:rFonts w:ascii="Arial" w:cs="Arial" w:eastAsia="Arial" w:hAnsi="Arial"/>
                  <w:sz w:val="18"/>
                  <w:szCs w:val="18"/>
                  <w:color w:val="0000FF"/>
                  <w:w w:val="91"/>
                </w:rPr>
                <w:t xml:space="preserve"> on Form 10-Q filed August 6, 2019).</w:t>
              </w:r>
            </w:hyperlink>
          </w:p>
        </w:tc>
        <w:tc>
          <w:tcPr>
            <w:tcW w:w="6480" w:type="dxa"/>
            <w:vAlign w:val="bottom"/>
            <w:tcBorders>
              <w:top w:val="single" w:sz="8" w:color="0000FF"/>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74"/>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10.50 †</w:t>
            </w:r>
          </w:p>
        </w:tc>
        <w:tc>
          <w:tcPr>
            <w:tcW w:w="40" w:type="dxa"/>
            <w:vAlign w:val="bottom"/>
          </w:tcPr>
          <w:p>
            <w:pPr>
              <w:spacing w:after="0"/>
              <w:rPr>
                <w:sz w:val="24"/>
                <w:szCs w:val="24"/>
                <w:color w:val="auto"/>
              </w:rPr>
            </w:pPr>
          </w:p>
        </w:tc>
        <w:tc>
          <w:tcPr>
            <w:tcW w:w="9540" w:type="dxa"/>
            <w:vAlign w:val="bottom"/>
            <w:gridSpan w:val="20"/>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Supply Agreement between the Company and Mediwound LTD., dated May 6, 2019 (incorporated herein by reference to Exhibit</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on Form 10-Q filed August 6, 2019).</w:t>
              </w:r>
            </w:hyperlink>
          </w:p>
        </w:tc>
        <w:tc>
          <w:tcPr>
            <w:tcW w:w="4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711" w:right="239" w:bottom="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019"/>
          </w:cols>
          <w:pgMar w:left="1440" w:top="34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38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rPr>
              <w:t>10.51 #</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40" w:type="dxa"/>
            <w:vAlign w:val="bottom"/>
            <w:tcBorders>
              <w:top w:val="single" w:sz="8" w:color="auto"/>
            </w:tcBorders>
            <w:gridSpan w:val="4"/>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Amended and Restated Employment Agreement by and between Michael Halpin and the Company, dated September 14,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(incorporated herein by reference to Exhibit 10.11 on Form 10-Q filed August 6, 2019).</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25"/>
        </w:trPr>
        <w:tc>
          <w:tcPr>
            <w:tcW w:w="1380" w:type="dxa"/>
            <w:vAlign w:val="bottom"/>
          </w:tcPr>
          <w:p>
            <w:pPr>
              <w:jc w:val="right"/>
              <w:ind w:right="216"/>
              <w:spacing w:after="0"/>
              <w:rPr>
                <w:sz w:val="20"/>
                <w:szCs w:val="20"/>
                <w:color w:val="auto"/>
              </w:rPr>
            </w:pPr>
            <w:r>
              <w:rPr>
                <w:rFonts w:ascii="Arial" w:cs="Arial" w:eastAsia="Arial" w:hAnsi="Arial"/>
                <w:sz w:val="18"/>
                <w:szCs w:val="18"/>
                <w:color w:val="auto"/>
              </w:rPr>
              <w:t>10.52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color w:val="0000FF"/>
                <w:w w:val="93"/>
              </w:rPr>
            </w:pPr>
            <w:hyperlink r:id="rId78">
              <w:r>
                <w:rPr>
                  <w:rFonts w:ascii="Arial" w:cs="Arial" w:eastAsia="Arial" w:hAnsi="Arial"/>
                  <w:sz w:val="18"/>
                  <w:szCs w:val="18"/>
                  <w:color w:val="0000FF"/>
                  <w:w w:val="93"/>
                </w:rPr>
                <w:t>First Amendment to Executive Employment Agreement, executed and effective June 3, 2019, by and between the Company and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Michael Halpin (incorporated herein by reference to Exhibit 10.12 on Form 10-Q, filed August 6, 2019).</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21.1**</w:t>
            </w:r>
          </w:p>
        </w:tc>
        <w:tc>
          <w:tcPr>
            <w:tcW w:w="9240" w:type="dxa"/>
            <w:vAlign w:val="bottom"/>
            <w:gridSpan w:val="1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Subsidiaries of Registrant</w:t>
              </w:r>
            </w:hyperlink>
            <w:r>
              <w:rPr>
                <w:rFonts w:ascii="Arial" w:cs="Arial" w:eastAsia="Arial" w:hAnsi="Arial"/>
                <w:sz w:val="18"/>
                <w:szCs w:val="18"/>
                <w:color w:val="000000"/>
              </w:rPr>
              <w:t>.</w:t>
            </w:r>
          </w:p>
        </w:tc>
      </w:tr>
      <w:tr>
        <w:trPr>
          <w:trHeight w:val="20"/>
        </w:trPr>
        <w:tc>
          <w:tcPr>
            <w:tcW w:w="170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23.1**</w:t>
            </w:r>
          </w:p>
        </w:tc>
        <w:tc>
          <w:tcPr>
            <w:tcW w:w="9240" w:type="dxa"/>
            <w:vAlign w:val="bottom"/>
            <w:gridSpan w:val="12"/>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Consent of Independent Registered Public Accounting Firm</w:t>
              </w:r>
            </w:hyperlink>
            <w:r>
              <w:rPr>
                <w:rFonts w:ascii="Arial" w:cs="Arial" w:eastAsia="Arial" w:hAnsi="Arial"/>
                <w:sz w:val="18"/>
                <w:szCs w:val="18"/>
                <w:color w:val="000000"/>
              </w:rPr>
              <w:t>.</w:t>
            </w:r>
          </w:p>
        </w:tc>
      </w:tr>
      <w:tr>
        <w:trPr>
          <w:trHeight w:val="20"/>
        </w:trPr>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31.1**</w:t>
            </w:r>
          </w:p>
        </w:tc>
        <w:tc>
          <w:tcPr>
            <w:tcW w:w="9240" w:type="dxa"/>
            <w:vAlign w:val="bottom"/>
            <w:gridSpan w:val="12"/>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Certification of Chief Executive Officer pursuant to Section 302 of the Sarbanes-Oxley Act of 2002</w:t>
              </w:r>
            </w:hyperlink>
            <w:r>
              <w:rPr>
                <w:rFonts w:ascii="Arial" w:cs="Arial" w:eastAsia="Arial" w:hAnsi="Arial"/>
                <w:sz w:val="18"/>
                <w:szCs w:val="18"/>
                <w:color w:val="000000"/>
              </w:rPr>
              <w:t>.</w:t>
            </w:r>
          </w:p>
        </w:tc>
      </w:tr>
      <w:tr>
        <w:trPr>
          <w:trHeight w:val="52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31.2**</w:t>
            </w:r>
          </w:p>
        </w:tc>
        <w:tc>
          <w:tcPr>
            <w:tcW w:w="7180" w:type="dxa"/>
            <w:vAlign w:val="bottom"/>
            <w:tcBorders>
              <w:top w:val="single" w:sz="8" w:color="0000FF"/>
            </w:tcBorders>
            <w:gridSpan w:val="10"/>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Certification of Chief Financial Officer pursuant to Section 302 of the Sarbanes-Oxley Act of 2002</w:t>
              </w:r>
            </w:hyperlink>
            <w:r>
              <w:rPr>
                <w:rFonts w:ascii="Arial" w:cs="Arial" w:eastAsia="Arial" w:hAnsi="Arial"/>
                <w:sz w:val="18"/>
                <w:szCs w:val="18"/>
                <w:color w:val="000000"/>
                <w:w w:val="92"/>
              </w:rPr>
              <w:t>.</w:t>
            </w:r>
          </w:p>
        </w:tc>
        <w:tc>
          <w:tcPr>
            <w:tcW w:w="2060" w:type="dxa"/>
            <w:vAlign w:val="bottom"/>
            <w:gridSpan w:val="2"/>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5"/>
              </w:rPr>
              <w:t>32.1*</w:t>
            </w:r>
          </w:p>
        </w:tc>
        <w:tc>
          <w:tcPr>
            <w:tcW w:w="9240" w:type="dxa"/>
            <w:vAlign w:val="bottom"/>
            <w:gridSpan w:val="12"/>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Certification of Chief Executive Officer and Chief Financial Officer pursuant to Section 906 of the Sarbanes-Oxley Act of 2002</w:t>
              </w:r>
            </w:hyperlink>
            <w:r>
              <w:rPr>
                <w:rFonts w:ascii="Arial" w:cs="Arial" w:eastAsia="Arial" w:hAnsi="Arial"/>
                <w:sz w:val="18"/>
                <w:szCs w:val="18"/>
                <w:color w:val="000000"/>
                <w:w w:val="92"/>
              </w:rPr>
              <w:t>.</w:t>
            </w: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101.INS**</w:t>
            </w:r>
          </w:p>
        </w:tc>
        <w:tc>
          <w:tcPr>
            <w:tcW w:w="1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XBRL Instance Document</w:t>
            </w:r>
          </w:p>
        </w:tc>
        <w:tc>
          <w:tcPr>
            <w:tcW w:w="7280" w:type="dxa"/>
            <w:vAlign w:val="bottom"/>
            <w:tcBorders>
              <w:top w:val="single" w:sz="8" w:color="0000FF"/>
            </w:tcBorders>
            <w:gridSpan w:val="9"/>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101.SCH**</w:t>
            </w:r>
          </w:p>
        </w:tc>
        <w:tc>
          <w:tcPr>
            <w:tcW w:w="3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XBRL Taxonomy Extension Schema Document</w:t>
            </w:r>
          </w:p>
        </w:tc>
        <w:tc>
          <w:tcPr>
            <w:tcW w:w="5780" w:type="dxa"/>
            <w:vAlign w:val="bottom"/>
            <w:gridSpan w:val="9"/>
          </w:tcPr>
          <w:p>
            <w:pPr>
              <w:spacing w:after="0"/>
              <w:rPr>
                <w:sz w:val="24"/>
                <w:szCs w:val="24"/>
                <w:color w:val="auto"/>
              </w:rPr>
            </w:pP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101.CAL**</w:t>
            </w:r>
          </w:p>
        </w:tc>
        <w:tc>
          <w:tcPr>
            <w:tcW w:w="9240" w:type="dxa"/>
            <w:vAlign w:val="bottom"/>
            <w:gridSpan w:val="12"/>
          </w:tcPr>
          <w:p>
            <w:pPr>
              <w:spacing w:after="0"/>
              <w:rPr>
                <w:sz w:val="20"/>
                <w:szCs w:val="20"/>
                <w:color w:val="auto"/>
              </w:rPr>
            </w:pPr>
            <w:r>
              <w:rPr>
                <w:rFonts w:ascii="Arial" w:cs="Arial" w:eastAsia="Arial" w:hAnsi="Arial"/>
                <w:sz w:val="18"/>
                <w:szCs w:val="18"/>
                <w:color w:val="0000FF"/>
              </w:rPr>
              <w:t>XBRL Taxonomy Extension Calculation Linkbase Document</w:t>
            </w: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101.LAB**</w:t>
            </w:r>
          </w:p>
        </w:tc>
        <w:tc>
          <w:tcPr>
            <w:tcW w:w="44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XBRL Taxonomy Extension Label Linkbase Document</w:t>
            </w:r>
          </w:p>
        </w:tc>
        <w:tc>
          <w:tcPr>
            <w:tcW w:w="4820" w:type="dxa"/>
            <w:vAlign w:val="bottom"/>
            <w:gridSpan w:val="5"/>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101.PRE**</w:t>
            </w:r>
          </w:p>
        </w:tc>
        <w:tc>
          <w:tcPr>
            <w:tcW w:w="9240" w:type="dxa"/>
            <w:vAlign w:val="bottom"/>
            <w:gridSpan w:val="12"/>
          </w:tcPr>
          <w:p>
            <w:pPr>
              <w:spacing w:after="0"/>
              <w:rPr>
                <w:sz w:val="20"/>
                <w:szCs w:val="20"/>
                <w:color w:val="auto"/>
              </w:rPr>
            </w:pPr>
            <w:r>
              <w:rPr>
                <w:rFonts w:ascii="Arial" w:cs="Arial" w:eastAsia="Arial" w:hAnsi="Arial"/>
                <w:sz w:val="18"/>
                <w:szCs w:val="18"/>
                <w:color w:val="0000FF"/>
              </w:rPr>
              <w:t>XBRL Taxonomy Extension Presentation Linkbase Document</w:t>
            </w:r>
          </w:p>
        </w:tc>
      </w:tr>
      <w:tr>
        <w:trPr>
          <w:trHeight w:val="520"/>
        </w:trPr>
        <w:tc>
          <w:tcPr>
            <w:tcW w:w="170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3"/>
              </w:rPr>
              <w:t>XBRL Taxonomy Extension Definition Linkbase Document</w:t>
            </w:r>
          </w:p>
        </w:tc>
        <w:tc>
          <w:tcPr>
            <w:tcW w:w="140" w:type="dxa"/>
            <w:vAlign w:val="bottom"/>
            <w:tcBorders>
              <w:top w:val="single" w:sz="8" w:color="0000FF"/>
            </w:tcBorders>
            <w:gridSpan w:val="2"/>
          </w:tcPr>
          <w:p>
            <w:pPr>
              <w:spacing w:after="0"/>
              <w:rPr>
                <w:sz w:val="24"/>
                <w:szCs w:val="24"/>
                <w:color w:val="auto"/>
              </w:rPr>
            </w:pPr>
          </w:p>
        </w:tc>
        <w:tc>
          <w:tcPr>
            <w:tcW w:w="4760" w:type="dxa"/>
            <w:vAlign w:val="bottom"/>
            <w:gridSpan w:val="4"/>
          </w:tcPr>
          <w:p>
            <w:pPr>
              <w:spacing w:after="0"/>
              <w:rPr>
                <w:sz w:val="24"/>
                <w:szCs w:val="24"/>
                <w:color w:val="auto"/>
              </w:rPr>
            </w:pPr>
          </w:p>
        </w:tc>
      </w:tr>
    </w:tbl>
    <w:p>
      <w:pPr>
        <w:spacing w:after="0" w:line="256"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covering executive officers or directors of Vericel.</w:t>
      </w:r>
    </w:p>
    <w:p>
      <w:pPr>
        <w:spacing w:after="0" w:line="50"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Confidential treatment status has been granted as to certain portions thereto, which portions are omitted and filed separately with the Securities and</w:t>
      </w:r>
    </w:p>
    <w:p>
      <w:pPr>
        <w:spacing w:after="0" w:line="277" w:lineRule="exact"/>
        <w:rPr>
          <w:sz w:val="20"/>
          <w:szCs w:val="20"/>
          <w:color w:val="auto"/>
        </w:rPr>
      </w:pPr>
    </w:p>
    <w:p>
      <w:pPr>
        <w:ind w:right="9840" w:firstLine="8"/>
        <w:spacing w:after="0" w:line="342" w:lineRule="auto"/>
        <w:tabs>
          <w:tab w:leader="none" w:pos="1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Furnished herewith. ** Filed herewith.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1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Vericel Corporation</w:t>
      </w:r>
    </w:p>
    <w:p>
      <w:pPr>
        <w:spacing w:after="0" w:line="33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February 25, 2020 by the following persons in the capacities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13"/>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DOMINICK C. COLANGELO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Dominick C. Colangelo</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GERARD J. MICHEL</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 and Vice President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of Corporate Development</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Gerard J. Michel</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ROBERT L. ZERBE, M.D.</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Robert L. Zerbe, M.D.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ALAN L. RUBINO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Alan L. Rubino</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HEIDI M. HAGEN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Heidi M. Hagen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STEVEN C. GILMAN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Steven C. Gilman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KEVIN F. MCLAUGHLIN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Kevin F. McLaughlin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PAUL K. WOTTON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Paul K. Wotton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50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Description of the Registrant’s Securities Registered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Section 12 of the Securities Exchange Act of 1934, as amended</w:t>
      </w:r>
    </w:p>
    <w:p>
      <w:pPr>
        <w:spacing w:after="0" w:line="21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common stock, no par value per share (“Common Stock”), of Vericel Corporation (“Vericel,” “we,” or “our”) is registered under Section 12 of the Securities Exchange Act of 1934, as amended. The following description sets forth certain general terms and provisions of our Common Stock. These descriptions are in all respects subject to and qualified in their entirety by, and should be read in conjunction with, the applicable provisions of our Amended and Restated Certificate of Incorporation (our “Charter”)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the Michigan Business Corporation Act (the “MBCA”).</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Our authorized capital stock consists of 75,000,000 shares of Common Stock, no par value per share, and 5,000,000 shares of preferred stock, no par value per share (“Preferred Stock”).</w:t>
      </w:r>
    </w:p>
    <w:p>
      <w:pPr>
        <w:spacing w:after="0" w:line="177"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We are subject to certain anti-takeover provisions of the MBCA that could delay or make more difficult a merger or tender offer involving us. Chapter 7A of the MBCA prevents, in general, an “interested shareholder” (defined generally as a person owning 10% or more of a corporation’s outstanding voting shares) from engaging in a “business combination” (as defined therein) with a Michigan corporation unless:</w:t>
      </w:r>
    </w:p>
    <w:p>
      <w:pPr>
        <w:spacing w:after="0" w:line="1" w:lineRule="exact"/>
        <w:rPr>
          <w:sz w:val="20"/>
          <w:szCs w:val="20"/>
          <w:color w:val="auto"/>
        </w:rPr>
      </w:pPr>
    </w:p>
    <w:p>
      <w:pPr>
        <w:ind w:right="60" w:firstLine="8"/>
        <w:spacing w:after="0" w:line="271"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of directors issues an advisory statement, holders of 90% of the shares of each class of stock entitled to vote approve the transaction, and holders of two-thirds of the “disinterested” shares of each class of stock approve the transaction; (b) the interested shareholder has been an interested shareholder for at least five years and has not acquired beneficial ownership of any additional shares of the corporation subsequent to the transaction which resulted in such shareholder being classified as an interested shareholder, and meets certain requirements, including provisions relating to the fairness of the price and the form of consideration paid; or (c) the board of directors, by resolution, exempts a particular interested shareholder from these provisions prior to the interested shareholder becoming an interested shareholder. The MBCA also contains certain other provisions that could have anti-takeover effects.</w:t>
      </w:r>
    </w:p>
    <w:p>
      <w:pPr>
        <w:spacing w:after="0" w:line="171"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Our Charter does not provide shareholders with the right to act without a meeting and does not provide for cumulative voting in the election of directors. The amendment of any of these provisions would require approval by holders of at least a majority of the shares of our outstanding Common Stock.</w:t>
      </w:r>
    </w:p>
    <w:p>
      <w:pPr>
        <w:spacing w:after="0" w:line="18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These and other provisions of our Charter or our By-laws could have the effect of deterring certain takeovers or delaying or preventing certain changes in control or changes in our management, including transactions in which shareholders might otherwise receive a premium for their shares over then-current market prices.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22"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Holders of our Common Stock are entitled to one vote for each share held of record on all matters submitted to a vote of shareholders. We do not have a classified board of directors and shareholders do not have cumulative voting rights. Holders of Common Stock have no preemptive, redemption or conversion rights and are not subject to future calls or assessments. No sinking fund provisions apply to our Common Stock. All outstanding shares are fully-paid and non-assessable. In the event of our liquidation, dissolution or winding up, holders of Common Stock are entitled to share ratably in assets available for distribution, subject to any prior distribution rights of any Preferred Stock then outstanding. Holders of Common Stock are entitled to receive proportionately any such dividends declared by our Board, out of legally available funds for dividends, subject to any preferences that may be applicable to any shares of Preferred Stock that may be outstanding at that time. The rights, preferences and</w:t>
      </w:r>
    </w:p>
    <w:p>
      <w:pPr>
        <w:sectPr>
          <w:pgSz w:w="11900" w:h="16838" w:orient="portrait"/>
          <w:cols w:equalWidth="0" w:num="1">
            <w:col w:w="11420"/>
          </w:cols>
          <w:pgMar w:left="240" w:top="549" w:right="239" w:bottom="1440" w:gutter="0" w:footer="0" w:header="0"/>
        </w:sectPr>
      </w:pPr>
    </w:p>
    <w:bookmarkStart w:id="96" w:name="page97"/>
    <w:bookmarkEnd w:id="96"/>
    <w:p>
      <w:pPr>
        <w:ind w:right="400"/>
        <w:spacing w:after="0" w:line="260" w:lineRule="auto"/>
        <w:rPr>
          <w:sz w:val="20"/>
          <w:szCs w:val="20"/>
          <w:color w:val="auto"/>
        </w:rPr>
      </w:pPr>
      <w:r>
        <w:rPr>
          <w:rFonts w:ascii="Arial" w:cs="Arial" w:eastAsia="Arial" w:hAnsi="Arial"/>
          <w:sz w:val="20"/>
          <w:szCs w:val="20"/>
          <w:color w:val="auto"/>
        </w:rPr>
        <w:t>privileges of holders of Common Stock are set forth in our Charter, which may be amended by the holders of a majority of the outstanding shares of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Our Board is authorized to issue up to 5,000,000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 The issuance of Preferred Stock, while providing desirable flexibility in connection with possible acquisitions and other corporate purposes, could make it more difficult for a third party to acquire, or could discourage a third party from acquiring, a majority of our outstanding voting stock. The rights of holders of our Common Stock described above, will be subject to, and may be adversely affected by, the rights of any Preferred Stock that we may designate and issue in the future.</w:t>
      </w:r>
    </w:p>
    <w:p>
      <w:pPr>
        <w:spacing w:after="0" w:line="179" w:lineRule="exact"/>
        <w:rPr>
          <w:sz w:val="20"/>
          <w:szCs w:val="20"/>
          <w:color w:val="auto"/>
        </w:rPr>
      </w:pPr>
    </w:p>
    <w:p>
      <w:pPr>
        <w:jc w:val="both"/>
        <w:ind w:right="180"/>
        <w:spacing w:after="0" w:line="245" w:lineRule="auto"/>
        <w:rPr>
          <w:sz w:val="20"/>
          <w:szCs w:val="20"/>
          <w:color w:val="auto"/>
        </w:rPr>
      </w:pPr>
      <w:r>
        <w:rPr>
          <w:rFonts w:ascii="Arial" w:cs="Arial" w:eastAsia="Arial" w:hAnsi="Arial"/>
          <w:sz w:val="20"/>
          <w:szCs w:val="20"/>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dividend rights;</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dividend rates;</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conversion rights;</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voting rights;</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terms of redemption; and</w:t>
      </w: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20"/>
          <w:szCs w:val="20"/>
          <w:color w:val="auto"/>
        </w:rPr>
        <w:t>liquidation preferences.</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We will incorporate by reference as an exhibit to the registration statement the form of any certificate of designation that describes the terms of the series of Preferred Stock we are offering. This description and the applicable prospectus supplement will include:</w:t>
      </w:r>
    </w:p>
    <w:p>
      <w:pPr>
        <w:spacing w:after="0" w:line="1"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title and stated value;</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number of shares authorized;</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liquidation preference per share;</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purchase price;</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dividend rate, period and payment date, and method of calculation for dividends;</w:t>
      </w: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9"/>
          <w:szCs w:val="19"/>
          <w:color w:val="auto"/>
        </w:rPr>
        <w:t>whether dividends will be cumulative or non-cumulative and, if cumulative, the date from which dividends will accumulate;</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procedures for any auction and remarketing, if any;</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provisions for a sinking fund, if any;</w:t>
      </w:r>
    </w:p>
    <w:p>
      <w:pPr>
        <w:ind w:left="980" w:right="420" w:hanging="324"/>
        <w:spacing w:after="0" w:line="23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provisions for redemption or repurchase, if applicable, and any restrictions on our ability to exercise those redemption and repurchase rights;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any listing of the Preferred Stock on any securities exchange or market;</w:t>
      </w:r>
    </w:p>
    <w:p>
      <w:pPr>
        <w:ind w:left="980" w:right="120" w:hanging="324"/>
        <w:spacing w:after="0" w:line="23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whether the Preferred Stock will be convertible into our Common Stock, and, if applicable, the conversion price, or how it will be calculated, and the conversion period;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20"/>
          <w:szCs w:val="20"/>
          <w:color w:val="auto"/>
        </w:rPr>
        <w:t>whether the Preferred Stock will be exchangeable into debt securities, and, if applicable, the exchange</w:t>
      </w:r>
    </w:p>
    <w:p>
      <w:pPr>
        <w:sectPr>
          <w:pgSz w:w="11900" w:h="16838" w:orient="portrait"/>
          <w:cols w:equalWidth="0" w:num="1">
            <w:col w:w="11380"/>
          </w:cols>
          <w:pgMar w:left="240" w:top="555" w:right="279" w:bottom="1440" w:gutter="0" w:footer="0" w:header="0"/>
        </w:sectPr>
      </w:pPr>
    </w:p>
    <w:bookmarkStart w:id="97" w:name="page98"/>
    <w:bookmarkEnd w:id="97"/>
    <w:p>
      <w:pPr>
        <w:ind w:left="980"/>
        <w:spacing w:after="0"/>
        <w:rPr>
          <w:sz w:val="20"/>
          <w:szCs w:val="20"/>
          <w:color w:val="auto"/>
        </w:rPr>
      </w:pPr>
      <w:r>
        <w:rPr>
          <w:rFonts w:ascii="Arial" w:cs="Arial" w:eastAsia="Arial" w:hAnsi="Arial"/>
          <w:sz w:val="20"/>
          <w:szCs w:val="20"/>
          <w:color w:val="auto"/>
        </w:rPr>
        <w:t>price, or how it will be calculated, and the exchange period;</w:t>
      </w:r>
    </w:p>
    <w:p>
      <w:pPr>
        <w:spacing w:after="0" w:line="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voting rights, if any, of the Preferred Stock;</w:t>
      </w: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preemptive rights, if any;</w:t>
      </w: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restrictions on transfer, sale or other assignment, if any;</w:t>
      </w: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whether interests in the Preferred Stock will be represented by depositary shares;</w:t>
      </w: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a discussion of any material United States federal income tax considerations applicable to the Preferred Stock;</w:t>
      </w:r>
    </w:p>
    <w:p>
      <w:pPr>
        <w:ind w:left="980" w:right="120" w:hanging="324"/>
        <w:spacing w:after="0" w:line="23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the relative ranking and preferences of the Preferred Stock as to dividend rights and rights if we liquidate, dissolve or wind up our affairs;</w:t>
      </w:r>
    </w:p>
    <w:p>
      <w:pPr>
        <w:spacing w:after="0" w:line="1" w:lineRule="exact"/>
        <w:rPr>
          <w:rFonts w:ascii="Arial" w:cs="Arial" w:eastAsia="Arial" w:hAnsi="Arial"/>
          <w:sz w:val="18"/>
          <w:szCs w:val="18"/>
          <w:color w:val="auto"/>
        </w:rPr>
      </w:pPr>
    </w:p>
    <w:p>
      <w:pPr>
        <w:ind w:left="980" w:right="360" w:hanging="324"/>
        <w:spacing w:after="0" w:line="23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any other specific terms, preferences, rights or limitations of, or restrictions on, the Preferred Stock.</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When we issue shares of Preferred Stock under such prospectus, the shares will fully be paid and nonassessable and will not have, or be subject to, any preemptive or similar rights.</w:t>
      </w:r>
    </w:p>
    <w:p>
      <w:pPr>
        <w:spacing w:after="0" w:line="177"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Michigan Business Corporation Act, or the MBCA, provides that the holders of Preferred Stock will have the right to vote separately as a class on any proposal involving an increase or decrease in the authorized number of shares of that class, or changes in the powers, preferences or special rights of holders of that Preferred Stock so as to affect the class adversely. This right is in addition to any voting rights that may be provided for in the applicable certificate of designation.</w:t>
      </w:r>
    </w:p>
    <w:p>
      <w:pPr>
        <w:sectPr>
          <w:pgSz w:w="11900" w:h="16838" w:orient="portrait"/>
          <w:cols w:equalWidth="0" w:num="1">
            <w:col w:w="11380"/>
          </w:cols>
          <w:pgMar w:left="240" w:top="555" w:right="2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Marrow Donation, LLC, a California limited liability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Vericel Denmark ApS, a Danish private limited company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Vericel Security Corporation, a Massachusetts corporation</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333-226873) and Form S-8 (Nos. 333-231163, 333-205338, 333-187346, 333-174758, 333-163832, 333-140624, 333-121006, and 333-217741) of Vericel Corporation of our report dated February 25, 2020 relating to the financial statements and the effectiveness of internal control over financial reporting, which appears in this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440" w:hanging="189"/>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2019;</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1420"/>
          </w:cols>
          <w:pgMar w:left="240" w:top="553"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2019;</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25, 2020</w:t>
      </w:r>
    </w:p>
    <w:p>
      <w:pPr>
        <w:sectPr>
          <w:pgSz w:w="11900" w:h="16838" w:orient="portrait"/>
          <w:cols w:equalWidth="0" w:num="1">
            <w:col w:w="11420"/>
          </w:cols>
          <w:pgMar w:left="240" w:top="553"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In connection with the Annual Report of Vericel Corporation (Company) on Form 10-K for the year ended December 31, 2019,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81" w:lineRule="exact"/>
        <w:rPr>
          <w:sz w:val="20"/>
          <w:szCs w:val="20"/>
          <w:color w:val="auto"/>
        </w:rPr>
      </w:pPr>
    </w:p>
    <w:p>
      <w:pPr>
        <w:ind w:left="780" w:hanging="25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25, 2020</w:t>
      </w:r>
    </w:p>
    <w:p>
      <w:pPr>
        <w:spacing w:after="0" w:line="252"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decimal"/>
      <w:start w:val="1"/>
    </w:lvl>
    <w:lvl w:ilvl="1">
      <w:lvlJc w:val="left"/>
      <w:lvlText w:val="(%2)"/>
      <w:numFmt w:val="lowerLetter"/>
      <w:start w:val="1"/>
    </w:lvl>
  </w:abstractNum>
  <w:abstractNum w:abstractNumId="31">
    <w:nsid w:val="580BD78F"/>
    <w:multiLevelType w:val="hybridMultilevel"/>
    <w:lvl w:ilvl="0">
      <w:lvlJc w:val="left"/>
      <w:lvlText w:val="%1."/>
      <w:numFmt w:val="decimal"/>
      <w:start w:val="5"/>
    </w:lvl>
    <w:lvl w:ilvl="1">
      <w:lvlJc w:val="left"/>
      <w:lvlText w:val="%2"/>
      <w:numFmt w:val="lowerLetter"/>
      <w:start w:val="1"/>
    </w:lvl>
  </w:abstractNum>
  <w:abstractNum w:abstractNumId="32">
    <w:nsid w:val="153EA438"/>
    <w:multiLevelType w:val="hybridMultilevel"/>
    <w:lvl w:ilvl="0">
      <w:lvlJc w:val="left"/>
      <w:lvlText w:val="%1."/>
      <w:numFmt w:val="decimal"/>
      <w:start w:val="6"/>
    </w:lvl>
  </w:abstractNum>
  <w:abstractNum w:abstractNumId="33">
    <w:nsid w:val="3855585C"/>
    <w:multiLevelType w:val="hybridMultilevel"/>
    <w:lvl w:ilvl="0">
      <w:lvlJc w:val="left"/>
      <w:lvlText w:val="%1."/>
      <w:numFmt w:val="decimal"/>
      <w:start w:val="7"/>
    </w:lvl>
  </w:abstractNum>
  <w:abstractNum w:abstractNumId="34">
    <w:nsid w:val="70A64E2A"/>
    <w:multiLevelType w:val="hybridMultilevel"/>
    <w:lvl w:ilvl="0">
      <w:lvlJc w:val="left"/>
      <w:lvlText w:val="%1"/>
      <w:numFmt w:val="decimal"/>
      <w:start w:val="1"/>
    </w:lvl>
    <w:lvl w:ilvl="1">
      <w:lvlJc w:val="left"/>
      <w:lvlText w:val="(%2)"/>
      <w:numFmt w:val="lowerLetter"/>
      <w:start w:val="1"/>
    </w:lvl>
  </w:abstractNum>
  <w:abstractNum w:abstractNumId="35">
    <w:nsid w:val="6A2342EC"/>
    <w:multiLevelType w:val="hybridMultilevel"/>
    <w:lvl w:ilvl="0">
      <w:lvlJc w:val="left"/>
      <w:lvlText w:val="%1."/>
      <w:numFmt w:val="decimal"/>
      <w:start w:val="12"/>
    </w:lvl>
    <w:lvl w:ilvl="1">
      <w:lvlJc w:val="left"/>
      <w:lvlText w:val="%2"/>
      <w:numFmt w:val="lowerLetter"/>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7"/>
    </w:lvl>
  </w:abstractNum>
  <w:abstractNum w:abstractNumId="38">
    <w:nsid w:val="725A06FB"/>
    <w:multiLevelType w:val="hybridMultilevel"/>
    <w:lvl w:ilvl="0">
      <w:lvlJc w:val="left"/>
      <w:lvlText w:val="(%1)"/>
      <w:numFmt w:val="lowerLetter"/>
      <w:start w:val="1"/>
    </w:lvl>
    <w:lvl w:ilvl="1">
      <w:lvlJc w:val="left"/>
      <w:lvlText w:val="%2."/>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79" Type="http://schemas.openxmlformats.org/officeDocument/2006/relationships/image" Target="media/image10.png"/><Relationship Id="rId80" Type="http://schemas.openxmlformats.org/officeDocument/2006/relationships/image" Target="media/image11.png"/><Relationship Id="rId81" Type="http://schemas.openxmlformats.org/officeDocument/2006/relationships/image" Target="media/image12.png"/><Relationship Id="rId82" Type="http://schemas.openxmlformats.org/officeDocument/2006/relationships/image" Target="media/image13.png"/><Relationship Id="rId83" Type="http://schemas.openxmlformats.org/officeDocument/2006/relationships/image" Target="media/image14.png"/><Relationship Id="rId17" Type="http://schemas.openxmlformats.org/officeDocument/2006/relationships/hyperlink" Target="http://www.sec.gov/Archives/edgar/data/887359/000129993309004957/0001299933-09-004957-index.htm" TargetMode="External"/><Relationship Id="rId18" Type="http://schemas.openxmlformats.org/officeDocument/2006/relationships/hyperlink" Target="http://www.sec.gov/Archives/edgar/data/887359/000095012310030777/b80276exv3w2.htm" TargetMode="External"/><Relationship Id="rId19" Type="http://schemas.openxmlformats.org/officeDocument/2006/relationships/hyperlink" Target="http://www.sec.gov/Archives/edgar/data/887359/000095012311029237/a59068exv3w1.htm" TargetMode="External"/><Relationship Id="rId20" Type="http://schemas.openxmlformats.org/officeDocument/2006/relationships/hyperlink" Target="http://www.sec.gov/Archives/edgar/data/887359/000110465914083052/a14-25082_1ex3d1.htm" TargetMode="External"/><Relationship Id="rId21" Type="http://schemas.openxmlformats.org/officeDocument/2006/relationships/hyperlink" Target="http://www.sec.gov/Archives/edgar/data/887359/000162828016012668/ex37stonepine-vericelxbloc.htm" TargetMode="External"/><Relationship Id="rId22" Type="http://schemas.openxmlformats.org/officeDocument/2006/relationships/hyperlink" Target="http://www.sec.gov/Archives/edgar/data/887359/000129993310004053/exhibit1.htm" TargetMode="External"/><Relationship Id="rId23" Type="http://schemas.openxmlformats.org/officeDocument/2006/relationships/hyperlink" Target="http://www.sec.gov/Archives/edgar/data/887359/000110465915048492/a15-14884_1ex4d1.htm" TargetMode="External"/><Relationship Id="rId24" Type="http://schemas.openxmlformats.org/officeDocument/2006/relationships/hyperlink" Target="http://www.sec.gov/Archives/edgar/data/887359/000110465915048492/a15-14884_1ex4d3.htm" TargetMode="External"/><Relationship Id="rId25" Type="http://schemas.openxmlformats.org/officeDocument/2006/relationships/hyperlink" Target="http://www.sec.gov/Archives/edgar/data/887359/000110465911046570/a11-24195_2ex4d1.htm" TargetMode="External"/><Relationship Id="rId26" Type="http://schemas.openxmlformats.org/officeDocument/2006/relationships/hyperlink" Target="http://www.sec.gov/Archives/edgar/data/887359/000110465912017111/a12-6864_1ex4d1.htm" TargetMode="External"/><Relationship Id="rId27" Type="http://schemas.openxmlformats.org/officeDocument/2006/relationships/hyperlink" Target="http://www.sec.gov/Archives/edgar/data/887359/000095013704010704/a03811a1exv10w82.txt" TargetMode="External"/><Relationship Id="rId28" Type="http://schemas.openxmlformats.org/officeDocument/2006/relationships/hyperlink" Target="http://www.sec.gov/Archives/edgar/data/887359/000093639205000299/a10790exv10w84.txt" TargetMode="External"/><Relationship Id="rId29" Type="http://schemas.openxmlformats.org/officeDocument/2006/relationships/hyperlink" Target="http://www.sec.gov/Archives/edgar/data/887359/000129993306007268/exhibit1.htm" TargetMode="External"/><Relationship Id="rId30" Type="http://schemas.openxmlformats.org/officeDocument/2006/relationships/hyperlink" Target="http://www.sec.gov/Archives/edgar/data/887359/000129993306007268/exhibit2.htm" TargetMode="External"/><Relationship Id="rId31" Type="http://schemas.openxmlformats.org/officeDocument/2006/relationships/hyperlink" Target="http://www.sec.gov/Archives/edgar/data/887359/000129993310003245/exhibit1.htm" TargetMode="External"/><Relationship Id="rId32" Type="http://schemas.openxmlformats.org/officeDocument/2006/relationships/hyperlink" Target="http://www.sec.gov/Archives/edgar/data/887359/000095012311029237/a59068exv10w3.htm" TargetMode="External"/><Relationship Id="rId33" Type="http://schemas.openxmlformats.org/officeDocument/2006/relationships/hyperlink" Target="http://www.sec.gov/Archives/edgar/data/887359/000110465913018868/a13-6963_1ex10d1.htm" TargetMode="External"/><Relationship Id="rId34" Type="http://schemas.openxmlformats.org/officeDocument/2006/relationships/hyperlink" Target="http://www.sec.gov/Archives/edgar/data/887359/000110465914029503/a14-10941_1ex2d1.htm" TargetMode="External"/><Relationship Id="rId35" Type="http://schemas.openxmlformats.org/officeDocument/2006/relationships/hyperlink" Target="http://www.sec.gov/Archives/edgar/data/887359/000104746914008427/a2221856zdef14a.htm" TargetMode="External"/><Relationship Id="rId36" Type="http://schemas.openxmlformats.org/officeDocument/2006/relationships/hyperlink" Target="http://www.sec.gov/Archives/edgar/data/887359/000162828016012668/ex1057vericel-cambridgelea.htm" TargetMode="External"/><Relationship Id="rId37" Type="http://schemas.openxmlformats.org/officeDocument/2006/relationships/hyperlink" Target="http://www.sec.gov/Archives/edgar/data/887359/000162828016012668/ex1058vericel-cambridgelea.htm" TargetMode="External"/><Relationship Id="rId38" Type="http://schemas.openxmlformats.org/officeDocument/2006/relationships/hyperlink" Target="http://www.sec.gov/Archives/edgar/data/887359/000104746915002731/a2223905zdef14a.htm" TargetMode="External"/><Relationship Id="rId39" Type="http://schemas.openxmlformats.org/officeDocument/2006/relationships/hyperlink" Target="http://www.sec.gov/Archives/edgar/data/887359/000162828016016063/ex102dohmenservicesagreeme.htm" TargetMode="External"/><Relationship Id="rId40" Type="http://schemas.openxmlformats.org/officeDocument/2006/relationships/hyperlink" Target="http://www.sec.gov/Archives/edgar/data/887359/000162828016018710/ex102dohmen-1stamendmentto.htm" TargetMode="External"/><Relationship Id="rId41" Type="http://schemas.openxmlformats.org/officeDocument/2006/relationships/hyperlink" Target="http://www.sec.gov/Archives/edgar/data/887359/000162828016018710/ex103dohmen-2ndamendmentto.htm" TargetMode="External"/><Relationship Id="rId42" Type="http://schemas.openxmlformats.org/officeDocument/2006/relationships/hyperlink" Target="http://www.sec.gov/Archives/edgar/data/887359/000110465916144652/a16-18432_1ex10d2.htm" TargetMode="External"/><Relationship Id="rId43" Type="http://schemas.openxmlformats.org/officeDocument/2006/relationships/hyperlink" Target="http://www.sec.gov/Archives/edgar/data/887359/000162828016020936/ex104dohmen3rdamendmenttos.htm" TargetMode="External"/><Relationship Id="rId44" Type="http://schemas.openxmlformats.org/officeDocument/2006/relationships/hyperlink" Target="http://www.sec.gov/Archives/edgar/data/887359/000110465916158965/a16-22122_1ex10d2.htm" TargetMode="External"/><Relationship Id="rId45" Type="http://schemas.openxmlformats.org/officeDocument/2006/relationships/hyperlink" Target="http://www.sec.gov/Archives/edgar/data/887359/000110465917032855/a17-13123_1ex10d1.htm" TargetMode="External"/><Relationship Id="rId46" Type="http://schemas.openxmlformats.org/officeDocument/2006/relationships/hyperlink" Target="http://www.sec.gov/Archives/edgar/data/887359/000110465917037229/a17-14185_3ex10d1.htm" TargetMode="External"/><Relationship Id="rId47" Type="http://schemas.openxmlformats.org/officeDocument/2006/relationships/hyperlink" Target="http://www.sec.gov/Archives/edgar/data/887359/000110465917037229/a17-14185_3ex10d2.htm" TargetMode="External"/><Relationship Id="rId48" Type="http://schemas.openxmlformats.org/officeDocument/2006/relationships/hyperlink" Target="http://www.sec.gov/Archives/edgar/data/887359/000110465917037227/a17-14185_2ex10d2.htm" TargetMode="External"/><Relationship Id="rId49" Type="http://schemas.openxmlformats.org/officeDocument/2006/relationships/hyperlink" Target="http://www.sec.gov/Archives/edgar/data/887359/000110465917057884/a17-22104_1ex10d1.htm" TargetMode="External"/><Relationship Id="rId50" Type="http://schemas.openxmlformats.org/officeDocument/2006/relationships/hyperlink" Target="http://www.sec.gov/Archives/edgar/data/887359/000110465917057884/a17-22104_1ex10d2.htm" TargetMode="External"/><Relationship Id="rId51" Type="http://schemas.openxmlformats.org/officeDocument/2006/relationships/hyperlink" Target="http://www.sec.gov/Archives/edgar/data/887359/000110465917057884/a17-22104_1ex10d3.htm" TargetMode="External"/><Relationship Id="rId52" Type="http://schemas.openxmlformats.org/officeDocument/2006/relationships/hyperlink" Target="http://www.sec.gov/Archives/edgar/data/887359/000162828017011022/ex108amendment1toorsiniagr.htm" TargetMode="External"/><Relationship Id="rId53" Type="http://schemas.openxmlformats.org/officeDocument/2006/relationships/hyperlink" Target="http://www.sec.gov/Archives/edgar/data/887359/000110465917072521/a17-28111_1ex10d2.htm" TargetMode="External"/><Relationship Id="rId54" Type="http://schemas.openxmlformats.org/officeDocument/2006/relationships/hyperlink" Target="http://www.sec.gov/Archives/edgar/data/887359/000110465917075423/a17-28775_1ex10d7.htm" TargetMode="External"/><Relationship Id="rId55" Type="http://schemas.openxmlformats.org/officeDocument/2006/relationships/hyperlink" Target="http://www.sec.gov/Archives/edgar/data/887359/000162828018002753/ex1056secondamendmenttothe.htm" TargetMode="External"/><Relationship Id="rId56" Type="http://schemas.openxmlformats.org/officeDocument/2006/relationships/hyperlink" Target="http://www.sec.gov/Archives/edgar/data/887359/000162828018002753/ex1057thirdamendmenttodist.htm" TargetMode="External"/><Relationship Id="rId57" Type="http://schemas.openxmlformats.org/officeDocument/2006/relationships/hyperlink" Target="http://www.sec.gov/Archives/edgar/data/887359/000162828018013767/a101redactedfinalvericel-f.htm" TargetMode="External"/><Relationship Id="rId58" Type="http://schemas.openxmlformats.org/officeDocument/2006/relationships/hyperlink" Target="http://www.sec.gov/Archives/edgar/data/887359/000162828018013767/a102redactedversionfinal72.htm" TargetMode="External"/><Relationship Id="rId59" Type="http://schemas.openxmlformats.org/officeDocument/2006/relationships/hyperlink" Target="http://www.sec.gov/Archives/edgar/data/887359/000162828018013767/a103redactedvericelfiftham.htm" TargetMode="External"/><Relationship Id="rId60" Type="http://schemas.openxmlformats.org/officeDocument/2006/relationships/hyperlink" Target="http://www.sec.gov/Archives/edgar/data/887359/000162828018002753/ex1058amendedandrestatedno.htm" TargetMode="External"/><Relationship Id="rId61" Type="http://schemas.openxmlformats.org/officeDocument/2006/relationships/hyperlink" Target="http://www.sec.gov/Archives/edgar/data/887359/000162828018006239/ex101-amendedmatricelagree.htm" TargetMode="External"/><Relationship Id="rId62" Type="http://schemas.openxmlformats.org/officeDocument/2006/relationships/hyperlink" Target="http://www.sec.gov/Archives/edgar/data/887359/000104746917001792/a2231357zdef14a.htm" TargetMode="External"/><Relationship Id="rId63" Type="http://schemas.openxmlformats.org/officeDocument/2006/relationships/hyperlink" Target="http://www.sec.gov/Archives/edgar/data/887359/000162828019002007/ex1048formofnewhireisoagre.htm" TargetMode="External"/><Relationship Id="rId64" Type="http://schemas.openxmlformats.org/officeDocument/2006/relationships/hyperlink" Target="http://www.sec.gov/Archives/edgar/data/887359/000162828019002007/ex1049formofisoagreement20.htm" TargetMode="External"/><Relationship Id="rId65" Type="http://schemas.openxmlformats.org/officeDocument/2006/relationships/hyperlink" Target="http://www.sec.gov/Archives/edgar/data/887359/000162828019002007/ex1050formofnonemployeeiso.htm" TargetMode="External"/><Relationship Id="rId66" Type="http://schemas.openxmlformats.org/officeDocument/2006/relationships/hyperlink" Target="http://www.sec.gov/Archives/edgar/data/887359/000162828019002007/ex1051formofrsuawardagreem.htm" TargetMode="External"/><Relationship Id="rId67" Type="http://schemas.openxmlformats.org/officeDocument/2006/relationships/hyperlink" Target="http://www.sec.gov/Archives/edgar/data/887359/000110465919026009/a19-9116_1ex10d1.htm" TargetMode="External"/><Relationship Id="rId68" Type="http://schemas.openxmlformats.org/officeDocument/2006/relationships/hyperlink" Target="http://www.sec.gov/Archives/edgar/data/887359/000110465919026009/a19-9116_1ex10d2.htm" TargetMode="External"/><Relationship Id="rId69" Type="http://schemas.openxmlformats.org/officeDocument/2006/relationships/hyperlink" Target="http://www.sec.gov/Archives/edgar/data/887359/000110465919026009/a19-9116_1ex10d3.htm" TargetMode="External"/><Relationship Id="rId70" Type="http://schemas.openxmlformats.org/officeDocument/2006/relationships/hyperlink" Target="http://www.sec.gov/Archives/edgar/data/887359/000110465919026009/a19-9116_1ex10d4.htm" TargetMode="External"/><Relationship Id="rId71" Type="http://schemas.openxmlformats.org/officeDocument/2006/relationships/hyperlink" Target="http://www.sec.gov/Archives/edgar/data/887359/000110465919026009/a19-9116_1ex10d5.htm" TargetMode="External"/><Relationship Id="rId72" Type="http://schemas.openxmlformats.org/officeDocument/2006/relationships/hyperlink" Target="http://www.sec.gov/Archives/edgar/data/887359/000110465919026009/a19-9116_1ex10d6.htm" TargetMode="External"/><Relationship Id="rId73" Type="http://schemas.openxmlformats.org/officeDocument/2006/relationships/hyperlink" Target="http://www.sec.gov/Archives/edgar/data/887359/000162828019010077/ex101-6thamendmenttodi.htm" TargetMode="External"/><Relationship Id="rId74" Type="http://schemas.openxmlformats.org/officeDocument/2006/relationships/hyperlink" Target="http://www.sec.gov/Archives/edgar/data/887359/000162828019010077/ex102-1stamendmenttodi.htm" TargetMode="External"/><Relationship Id="rId75" Type="http://schemas.openxmlformats.org/officeDocument/2006/relationships/hyperlink" Target="http://www.sec.gov/Archives/edgar/data/887359/000162828019010077/ex109-mediwoundlicense.htm" TargetMode="External"/><Relationship Id="rId76" Type="http://schemas.openxmlformats.org/officeDocument/2006/relationships/hyperlink" Target="http://www.sec.gov/Archives/edgar/data/887359/000162828019010077/ex1010-mediwoundsupply.htm" TargetMode="External"/><Relationship Id="rId77" Type="http://schemas.openxmlformats.org/officeDocument/2006/relationships/hyperlink" Target="http://www.sec.gov/Archives/edgar/data/887359/000162828019010077/ex1011amendedandrestat.htm" TargetMode="External"/><Relationship Id="rId78" Type="http://schemas.openxmlformats.org/officeDocument/2006/relationships/hyperlink" Target="http://www.sec.gov/Archives/edgar/data/887359/000162828019010077/ex1012-1stamendmentt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2020-02-25T17:34:10Z</dcterms:created>
  <dcterms:modified xsi:type="dcterms:W3CDTF">2020-02-25T17:34:10Z</dcterms:modified>
</cp:coreProperties>
</file>