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SIEGAL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BLUE SKY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Vericel Corp</w:t>
              </w:r>
            </w:hyperlink>
            <w:r>
              <w:rPr/>
              <w:t xml:space="preserve"> [ </w:t>
            </w:r>
            <w:r>
              <w:rPr>
                <w:rFonts w:ascii="Times;serif" w:hAnsi="Times;serif"/>
                <w:color w:val="0000FF"/>
                <w:sz w:val="24"/>
                <w:shd w:fill="FFFFFF" w:val="clear"/>
              </w:rPr>
              <w:t>VCEL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98"/>
        <w:gridCol w:w="756"/>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2,578</w:t>
            </w:r>
            <w:r>
              <w:rPr>
                <w:rFonts w:ascii="Times;serif" w:hAnsi="Times;serif"/>
                <w:color w:val="008000"/>
                <w:position w:val="7"/>
                <w:sz w:val="16"/>
                <w:sz w:val="20"/>
                <w:shd w:fill="FFFFFF" w:val="clear"/>
              </w:rPr>
              <w:t>(1)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1,078</w:t>
            </w:r>
            <w:r>
              <w:rPr>
                <w:rFonts w:ascii="Times;serif" w:hAnsi="Times;serif"/>
                <w:color w:val="008000"/>
                <w:position w:val="7"/>
                <w:sz w:val="16"/>
                <w:sz w:val="20"/>
                <w:shd w:fill="FFFFFF" w:val="clear"/>
              </w:rPr>
              <w:t>(1)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3,578</w:t>
            </w:r>
            <w:r>
              <w:rPr>
                <w:rFonts w:ascii="Times;serif" w:hAnsi="Times;serif"/>
                <w:color w:val="008000"/>
                <w:position w:val="7"/>
                <w:sz w:val="16"/>
                <w:sz w:val="20"/>
                <w:shd w:fill="FFFFFF" w:val="clear"/>
              </w:rPr>
              <w:t>(1)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1,078</w:t>
            </w:r>
            <w:r>
              <w:rPr>
                <w:rFonts w:ascii="Times;serif" w:hAnsi="Times;serif"/>
                <w:color w:val="008000"/>
                <w:position w:val="7"/>
                <w:sz w:val="16"/>
                <w:sz w:val="20"/>
                <w:shd w:fill="FFFFFF" w:val="clear"/>
              </w:rPr>
              <w:t>(1)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1,578</w:t>
            </w:r>
            <w:r>
              <w:rPr>
                <w:rFonts w:ascii="Times;serif" w:hAnsi="Times;serif"/>
                <w:color w:val="008000"/>
                <w:position w:val="7"/>
                <w:sz w:val="16"/>
                <w:sz w:val="20"/>
                <w:shd w:fill="FFFFFF" w:val="clear"/>
              </w:rPr>
              <w:t>(1)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1,078</w:t>
            </w:r>
            <w:r>
              <w:rPr>
                <w:rFonts w:ascii="Times;serif" w:hAnsi="Times;serif"/>
                <w:color w:val="008000"/>
                <w:position w:val="7"/>
                <w:sz w:val="16"/>
                <w:sz w:val="20"/>
                <w:shd w:fill="FFFFFF" w:val="clear"/>
              </w:rPr>
              <w:t>(1)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29.82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include shares acquired pursuant to the Issuer's 2015 Employee Stock Purchase Plan in transactions that were exempt under both Rule 16b-3(d) and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by an automatic sale pursuant to a Rule 10b5-1 trading plan adopted by the reporting person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representing the right to purchase 4,198 shares, became exercisable in equal quarterly installments, contingent upon continued service to the Company, with the first vesting date on May 18, 2022, which was one quarter after the date on which the option was granted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representing the right to purchase 9,000 shares, became exercisable in equal quarterly installments, contingent upon continued service to the Company, with the first vesting date on May 17, 2023, which was one quarter after the date on which the option was granted.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Flynn, as Attorney-in-Fact for Jonathan Siegal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6145" TargetMode="External"/><Relationship Id="rId5" Type="http://schemas.openxmlformats.org/officeDocument/2006/relationships/hyperlink" Target="http://www.sec.gov/cgi-bin/browse-edgar?action=getcompany&amp;CIK=0000887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4302</Characters>
  <CharactersWithSpaces>4964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